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left"/>
      </w:pPr>
      <w:r>
        <w:rPr>
          <w:rFonts w:ascii="Times New Roman" w:hAnsi="Times New Roman"/>
          <w:b/>
          <w:i w:val="0"/>
          <w:sz w:val="24"/>
        </w:rPr>
        <w:t>Table III. C-peptide and HOMA-IR according to rs12255372 genotype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single" w:sz="4" w:color="000000"/>
          <w:left w:val="nil"/>
          <w:right w:val="nil"/>
          <w:insideV w:val="nil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Outcome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GG (n=175)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GT (n=6)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P value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C-peptide (nmol/L)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0.70 (0.50–0.83)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0.79 (0.70–0.86)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0.157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HOMA-IR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2.7 (1.6–3.6)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3.0 (1.9–3.7)</w:t>
            </w:r>
          </w:p>
        </w:tc>
        <w:tc>
          <w:tcPr>
            <w:tcW w:type="dxa" w:w="2256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0.609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Data are median (interquartile range). Exploratory analyses included the full genotyped cohort. P values were calculated using the Mann-Whitney U test. Abbreviation: HOMA-IR, homeostasis model assessment of insulin resistance.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