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jc w:val="left"/>
      </w:pPr>
      <w:r>
        <w:rPr>
          <w:rFonts w:ascii="Times New Roman" w:hAnsi="Times New Roman"/>
          <w:b/>
          <w:i w:val="0"/>
          <w:sz w:val="24"/>
        </w:rPr>
        <w:t>Table IV. Multivariable logistic regression model for T2DM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insideH w:val="single" w:sz="4" w:color="000000"/>
          <w:left w:val="nil"/>
          <w:right w:val="nil"/>
          <w:insideV w:val="nil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Variable</w:t>
            </w:r>
          </w:p>
        </w:tc>
        <w:tc>
          <w:tcPr>
            <w:tcW w:type="dxa" w:w="2256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Adjusted OR</w:t>
            </w:r>
          </w:p>
        </w:tc>
        <w:tc>
          <w:tcPr>
            <w:tcW w:type="dxa" w:w="2256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95% CI</w:t>
            </w:r>
          </w:p>
        </w:tc>
        <w:tc>
          <w:tcPr>
            <w:tcW w:type="dxa" w:w="2256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P value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rs12255372 genotype</w:t>
            </w:r>
          </w:p>
        </w:tc>
        <w:tc>
          <w:tcPr>
            <w:tcW w:type="dxa" w:w="2256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0.646</w:t>
            </w:r>
          </w:p>
        </w:tc>
        <w:tc>
          <w:tcPr>
            <w:tcW w:type="dxa" w:w="2256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0.070–5.969</w:t>
            </w:r>
          </w:p>
        </w:tc>
        <w:tc>
          <w:tcPr>
            <w:tcW w:type="dxa" w:w="2256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0.700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Age</w:t>
            </w:r>
          </w:p>
        </w:tc>
        <w:tc>
          <w:tcPr>
            <w:tcW w:type="dxa" w:w="2256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1.323</w:t>
            </w:r>
          </w:p>
        </w:tc>
        <w:tc>
          <w:tcPr>
            <w:tcW w:type="dxa" w:w="2256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1.199–1.459</w:t>
            </w:r>
          </w:p>
        </w:tc>
        <w:tc>
          <w:tcPr>
            <w:tcW w:type="dxa" w:w="2256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&lt;0.001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BMI</w:t>
            </w:r>
          </w:p>
        </w:tc>
        <w:tc>
          <w:tcPr>
            <w:tcW w:type="dxa" w:w="2256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0.752</w:t>
            </w:r>
          </w:p>
        </w:tc>
        <w:tc>
          <w:tcPr>
            <w:tcW w:type="dxa" w:w="2256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0.677–0.835</w:t>
            </w:r>
          </w:p>
        </w:tc>
        <w:tc>
          <w:tcPr>
            <w:tcW w:type="dxa" w:w="2256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&lt;0.001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Sex</w:t>
            </w:r>
          </w:p>
        </w:tc>
        <w:tc>
          <w:tcPr>
            <w:tcW w:type="dxa" w:w="2256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3.077</w:t>
            </w:r>
          </w:p>
        </w:tc>
        <w:tc>
          <w:tcPr>
            <w:tcW w:type="dxa" w:w="2256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1.020–9.283</w:t>
            </w:r>
          </w:p>
        </w:tc>
        <w:tc>
          <w:tcPr>
            <w:tcW w:type="dxa" w:w="2256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0.046</w:t>
            </w:r>
          </w:p>
        </w:tc>
      </w:tr>
    </w:tbl>
    <w:p>
      <w:pPr>
        <w:spacing w:line="360" w:lineRule="auto" w:before="0" w:after="0"/>
        <w:jc w:val="left"/>
      </w:pPr>
      <w:r>
        <w:rPr>
          <w:rFonts w:ascii="Times New Roman" w:hAnsi="Times New Roman"/>
          <w:b w:val="0"/>
          <w:i w:val="0"/>
          <w:sz w:val="24"/>
        </w:rPr>
        <w:t>Adjusted ORs were estimated using multivariable logistic regression. Outcome coding: non-diabetic=0 and T2DM=1. Genotype coding: GG=0 and GT=1. Sex coding: female=0 and male=1. Abbreviations: T2DM, type 2 diabetes mellitus; OR, odds ratio; CI, confidence interval; BMI, body mass index.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