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sz w:val="28"/>
        </w:rPr>
        <w:t>Association of Periodontitis with Cognitive Impairment, Dementia, and Selected Neurodegenerative Outcomes: A Systematic Review and Meta-Analysis of Observational Studies</w:t>
      </w:r>
    </w:p>
    <w:p>
      <w:pPr>
        <w:spacing w:line="360" w:lineRule="auto" w:after="120"/>
        <w:jc w:val="center"/>
      </w:pPr>
      <w:r>
        <w:rPr>
          <w:rFonts w:ascii="Times New Roman" w:hAnsi="Times New Roman" w:eastAsia="Times New Roman"/>
          <w:i/>
          <w:sz w:val="24"/>
        </w:rPr>
        <w:t>Systematic Review and Meta Analysis</w:t>
      </w:r>
    </w:p>
    <w:p>
      <w:pPr>
        <w:spacing w:line="360" w:lineRule="auto" w:after="120"/>
        <w:jc w:val="center"/>
      </w:pPr>
      <w:r>
        <w:rPr>
          <w:rFonts w:ascii="Times New Roman" w:hAnsi="Times New Roman"/>
          <w:sz w:val="24"/>
        </w:rPr>
        <w:t>Short title: Periodontitis and cognitive outcomes</w:t>
      </w:r>
    </w:p>
    <w:p>
      <w:pPr>
        <w:spacing w:line="360" w:lineRule="auto" w:after="120"/>
      </w:pPr>
    </w:p>
    <w:p>
      <w:pPr>
        <w:spacing w:after="120" w:before="0" w:line="360" w:lineRule="auto"/>
        <w:jc w:val="left"/>
      </w:pPr>
      <w:r>
        <w:rPr>
          <w:rFonts w:ascii="Times New Roman" w:hAnsi="Times New Roman" w:eastAsia="Times New Roman"/>
          <w:b w:val="0"/>
          <w:i w:val="0"/>
          <w:sz w:val="24"/>
        </w:rPr>
        <w:t>Yoifah Rizka Wedarti1,2*, Soetjipto3, Agung Krismariono4</w:t>
      </w:r>
    </w:p>
    <w:p>
      <w:pPr>
        <w:spacing w:after="120" w:before="0" w:line="360" w:lineRule="auto"/>
        <w:jc w:val="left"/>
      </w:pPr>
      <w:r>
        <w:rPr>
          <w:rFonts w:ascii="Times New Roman" w:hAnsi="Times New Roman" w:eastAsia="Times New Roman"/>
          <w:b w:val="0"/>
          <w:i w:val="0"/>
          <w:sz w:val="24"/>
        </w:rPr>
        <w:t>1 Doctoral Program of Medical Science, Faculty of Medicine, Universitas Airlangga, Surabaya, Indonesia.</w:t>
      </w:r>
    </w:p>
    <w:p>
      <w:pPr>
        <w:spacing w:after="120" w:before="0" w:line="360" w:lineRule="auto"/>
        <w:jc w:val="left"/>
      </w:pPr>
      <w:r>
        <w:rPr>
          <w:rFonts w:ascii="Times New Roman" w:hAnsi="Times New Roman" w:eastAsia="Times New Roman"/>
          <w:b w:val="0"/>
          <w:i w:val="0"/>
          <w:sz w:val="24"/>
        </w:rPr>
        <w:t>2 Department of Periodontology, Faculty of Dentistry, Universitas Hang Tuah, Surabaya, Indonesia.</w:t>
      </w:r>
    </w:p>
    <w:p>
      <w:pPr>
        <w:spacing w:after="120" w:before="0" w:line="360" w:lineRule="auto"/>
        <w:jc w:val="left"/>
      </w:pPr>
      <w:r>
        <w:rPr>
          <w:rFonts w:ascii="Times New Roman" w:hAnsi="Times New Roman" w:eastAsia="Times New Roman"/>
          <w:b w:val="0"/>
          <w:i w:val="0"/>
          <w:sz w:val="24"/>
        </w:rPr>
        <w:t>3 Department of Physiology and Biochemistry, Faculty of Medicine, Universitas Airlangga, Surabaya, Indonesia.</w:t>
      </w:r>
    </w:p>
    <w:p>
      <w:pPr>
        <w:spacing w:after="120" w:before="0" w:line="360" w:lineRule="auto"/>
        <w:jc w:val="left"/>
      </w:pPr>
      <w:r>
        <w:rPr>
          <w:rFonts w:ascii="Times New Roman" w:hAnsi="Times New Roman" w:eastAsia="Times New Roman"/>
          <w:b w:val="0"/>
          <w:i w:val="0"/>
          <w:sz w:val="24"/>
        </w:rPr>
        <w:t>4 Department of Periodontology, Faculty of Dentistry, Universitas Airlangga, Surabaya, Indonesia.</w:t>
      </w:r>
    </w:p>
    <w:p>
      <w:pPr>
        <w:spacing w:after="120" w:before="0" w:line="360" w:lineRule="auto"/>
        <w:jc w:val="left"/>
      </w:pPr>
      <w:r>
        <w:rPr>
          <w:rFonts w:ascii="Times New Roman" w:hAnsi="Times New Roman" w:eastAsia="Times New Roman"/>
          <w:b w:val="0"/>
          <w:i w:val="0"/>
          <w:sz w:val="24"/>
        </w:rPr>
        <w:t>*Corresponding author: Yoifah Rizka Wedarti, Doctoral Program of Medical Science, Faculty of Medicine, Universitas Airlangga, Surabaya, Indonesia; Department of Periodontology, Faculty of Dentistry, Universitas Hang Tuah, Surabaya, Indonesia.</w:t>
      </w:r>
    </w:p>
    <w:p>
      <w:pPr>
        <w:spacing w:after="120" w:before="0" w:line="360" w:lineRule="auto"/>
        <w:jc w:val="left"/>
      </w:pPr>
      <w:r>
        <w:rPr>
          <w:rFonts w:ascii="Times New Roman" w:hAnsi="Times New Roman" w:eastAsia="Times New Roman"/>
          <w:b w:val="0"/>
          <w:i w:val="0"/>
          <w:sz w:val="24"/>
        </w:rPr>
        <w:t>Address: Jl. Pucang Asri V/2, Surabaya, Indonesia.</w:t>
      </w:r>
    </w:p>
    <w:p>
      <w:pPr>
        <w:spacing w:after="120" w:before="0" w:line="360" w:lineRule="auto"/>
        <w:jc w:val="left"/>
      </w:pPr>
      <w:r>
        <w:rPr>
          <w:rFonts w:ascii="Times New Roman" w:hAnsi="Times New Roman" w:eastAsia="Times New Roman"/>
          <w:b w:val="0"/>
          <w:i w:val="0"/>
          <w:sz w:val="24"/>
        </w:rPr>
        <w:t>Email: yoifah.rizka.wedarti-2022@fk.unair.ac.id; yoifah.rizka@hangtuah.ac.id</w:t>
      </w:r>
    </w:p>
    <w:p>
      <w:pPr>
        <w:spacing w:after="120" w:before="0" w:line="360" w:lineRule="auto"/>
        <w:jc w:val="left"/>
      </w:pPr>
      <w:r>
        <w:rPr>
          <w:rFonts w:ascii="Times New Roman" w:hAnsi="Times New Roman" w:eastAsia="Times New Roman"/>
          <w:b w:val="0"/>
          <w:i w:val="0"/>
          <w:sz w:val="24"/>
        </w:rPr>
        <w:t>Phone/Cell: +62 816 5411 815</w:t>
      </w:r>
    </w:p>
    <w:p>
      <w:pPr>
        <w:spacing w:after="120" w:before="0" w:line="360" w:lineRule="auto"/>
        <w:jc w:val="left"/>
      </w:pPr>
      <w:r>
        <w:rPr>
          <w:rFonts w:ascii="Times New Roman" w:hAnsi="Times New Roman" w:eastAsia="Times New Roman"/>
          <w:b w:val="0"/>
          <w:i w:val="0"/>
          <w:sz w:val="24"/>
        </w:rPr>
        <w:t>ORCID: Yoifah Rizka Wedarti (0000-0001-6780-2233); Soetjipto (0000-0003-2203-5565); Agung Krismariono (0000-0002-6590-8402)</w:t>
      </w:r>
    </w:p>
    <w:p>
      <w:pPr>
        <w:spacing w:line="360" w:lineRule="auto" w:after="120"/>
      </w:pPr>
      <w:r>
        <w:rPr>
          <w:rFonts w:ascii="Times New Roman" w:hAnsi="Times New Roman" w:eastAsia="Times New Roman"/>
          <w:sz w:val="24"/>
        </w:rPr>
        <w:br w:type="page"/>
      </w:r>
    </w:p>
    <w:p>
      <w:pPr>
        <w:pStyle w:val="Heading1"/>
        <w:spacing w:before="160" w:after="120" w:line="360" w:lineRule="auto"/>
        <w:jc w:val="left"/>
      </w:pPr>
      <w:r>
        <w:rPr>
          <w:rFonts w:ascii="Times New Roman" w:hAnsi="Times New Roman" w:eastAsia="Times New Roman"/>
          <w:b/>
          <w:sz w:val="24"/>
        </w:rPr>
        <w:t>Abstract</w:t>
      </w:r>
    </w:p>
    <w:p>
      <w:pPr>
        <w:spacing w:line="360" w:lineRule="auto" w:after="120"/>
        <w:jc w:val="both"/>
      </w:pPr>
      <w:r>
        <w:rPr>
          <w:rFonts w:ascii="Times New Roman" w:hAnsi="Times New Roman"/>
          <w:sz w:val="24"/>
        </w:rPr>
        <w:t>Objectives: This systematic review and meta-analysis evaluated the association of periodontitis with cognitive impairment, dementia, and selected neurodegenerative outcomes in observational human studies. Data: Quantitative data were extracted from studies reporting periodontal exposure, cognitive or neurodegenerative outcomes, effect estimates, confidence intervals, and p-values. Sources: PubMed/MEDLINE, Scopus, and Web of Science were searched for articles published from 2017 to 2025. The final search was conducted in December 2025. Study selection: Eligible studies involved adult or older adult populations and evaluated periodontitis or periodontal disease as the exposure. Twelve studies involving 7,335,538 participants were included. The meta-analysis used a random-effects model, and risk of bias was assessed using Joanna Briggs Institute critical appraisal tools. The pooled effect estimate was 0.15, representing a standardized effect size, with a 95% confidence interval of 0.05–0.26 and p = 0.007. Heterogeneity was substantial, with Q(11) = 39.24, p &lt; 0.001, and I² = 72.0%. Conclusions: Periodontitis may be associated with cognitive impairment, dementia, and selected neurodegenerative outcomes. The findings should be interpreted cautiously because of clinical and methodological heterogeneity.</w:t>
      </w:r>
    </w:p>
    <w:p>
      <w:pPr>
        <w:spacing w:line="360" w:lineRule="auto" w:after="120"/>
        <w:jc w:val="left"/>
      </w:pPr>
      <w:r>
        <w:rPr>
          <w:rFonts w:ascii="Times New Roman" w:hAnsi="Times New Roman" w:eastAsia="Times New Roman"/>
          <w:sz w:val="24"/>
        </w:rPr>
        <w:t>Keywords: Alzheimer Disease; Cognitive Dysfunction; Dementia; Neurodegenerative Diseases; Periodontitis</w:t>
      </w:r>
    </w:p>
    <w:p>
      <w:pPr>
        <w:pStyle w:val="Heading1"/>
        <w:spacing w:before="160" w:after="120" w:line="360" w:lineRule="auto"/>
        <w:jc w:val="left"/>
      </w:pPr>
      <w:r>
        <w:rPr>
          <w:rFonts w:ascii="Times New Roman" w:hAnsi="Times New Roman" w:eastAsia="Times New Roman"/>
          <w:b/>
          <w:sz w:val="24"/>
        </w:rPr>
        <w:t>Introduction</w:t>
      </w:r>
    </w:p>
    <w:p>
      <w:pPr>
        <w:spacing w:line="360" w:lineRule="auto" w:after="120"/>
        <w:jc w:val="both"/>
      </w:pPr>
      <w:r>
        <w:rPr>
          <w:rFonts w:ascii="Times New Roman" w:hAnsi="Times New Roman"/>
          <w:sz w:val="24"/>
        </w:rPr>
        <w:t>Periodontitis is a chronic inflammatory disease affecting the supporting tissues of the teeth. It is characterized by gingival inflammation, periodontal pocket formation, clinical attachment loss, alveolar bone destruction, and, in advanced stages, tooth loss. Beyond its local effects on oral function, mastication, nutrition, and quality of life, periodontitis has increasingly been discussed as a chronic inflammatory condition that may be associated with systemic health outcomes (1).</w:t>
      </w:r>
    </w:p>
    <w:p>
      <w:pPr>
        <w:spacing w:line="360" w:lineRule="auto" w:after="120"/>
        <w:jc w:val="both"/>
      </w:pPr>
      <w:r>
        <w:rPr>
          <w:rFonts w:ascii="Times New Roman" w:hAnsi="Times New Roman"/>
          <w:sz w:val="24"/>
        </w:rPr>
        <w:t>Cognitive impairment and neurodegenerative diseases are major health problems in adult and older populations. Dementia is associated with progressive decline in memory, thinking, behavior, and daily functioning, while Alzheimer disease, vascular dementia, Parkinson disease, and related conditions contribute substantially to disability in older adults (2). The coexistence of periodontal disease and cognitive decline in aging populations raises an important question regarding whether periodontal health is associated with cognitive and neurological outcomes.</w:t>
      </w:r>
    </w:p>
    <w:p>
      <w:pPr>
        <w:spacing w:line="360" w:lineRule="auto" w:after="120"/>
        <w:jc w:val="both"/>
      </w:pPr>
      <w:r>
        <w:rPr>
          <w:rFonts w:ascii="Times New Roman" w:hAnsi="Times New Roman"/>
          <w:sz w:val="24"/>
        </w:rPr>
        <w:t>Several biological mechanisms have been proposed to explain this possible association. Periodontal pathogens and periodontal inflammation can stimulate the release of inflammatory mediators, including interleukin-1β, interleukin-6, tumor necrosis factor-α, and C-reactive protein. These mediators may enter systemic circulation and may contribute to endothelial dysfunction, oxidative stress, blood-brain barrier disruption, and neuroinflammatory processes. The oral-brain axis has been proposed as one possible pathway linking periodontal inflammation with pathological processes in the brain (3).</w:t>
      </w:r>
    </w:p>
    <w:p>
      <w:pPr>
        <w:spacing w:line="360" w:lineRule="auto" w:after="120"/>
        <w:jc w:val="both"/>
      </w:pPr>
      <w:r>
        <w:rPr>
          <w:rFonts w:ascii="Times New Roman" w:hAnsi="Times New Roman"/>
          <w:i/>
          <w:sz w:val="24"/>
        </w:rPr>
        <w:t>Porphyromonas gingivalis</w:t>
      </w:r>
      <w:r>
        <w:rPr>
          <w:rFonts w:ascii="Times New Roman" w:hAnsi="Times New Roman"/>
          <w:sz w:val="24"/>
        </w:rPr>
        <w:t xml:space="preserve"> has received particular attention because of its lipopolysaccharides, gingipains, and other virulence factors. Previous evidence suggests that </w:t>
      </w:r>
      <w:r>
        <w:rPr>
          <w:rFonts w:ascii="Times New Roman" w:hAnsi="Times New Roman"/>
          <w:i/>
          <w:sz w:val="24"/>
        </w:rPr>
        <w:t>Porphyromonas gingivalis</w:t>
      </w:r>
      <w:r>
        <w:rPr>
          <w:rFonts w:ascii="Times New Roman" w:hAnsi="Times New Roman"/>
          <w:sz w:val="24"/>
        </w:rPr>
        <w:t xml:space="preserve"> may contribute to neuroinflammatory pathways, while experimental findings have reported that </w:t>
      </w:r>
      <w:r>
        <w:rPr>
          <w:rFonts w:ascii="Times New Roman" w:hAnsi="Times New Roman"/>
          <w:i/>
          <w:sz w:val="24"/>
        </w:rPr>
        <w:t>Porphyromonas gingivalis</w:t>
      </w:r>
      <w:r>
        <w:rPr>
          <w:rFonts w:ascii="Times New Roman" w:hAnsi="Times New Roman"/>
          <w:sz w:val="24"/>
        </w:rPr>
        <w:t>-induced periodontitis may promote neuroinflammation, tau hyperphosphorylation, neuronal loss, and dysfunction of the brain barrier (4,5). These mechanisms provide biological plausibility, but they do not establish causality in human observational evidence.</w:t>
      </w:r>
    </w:p>
    <w:p>
      <w:pPr>
        <w:spacing w:line="360" w:lineRule="auto" w:after="120"/>
        <w:jc w:val="both"/>
      </w:pPr>
      <w:r>
        <w:rPr>
          <w:rFonts w:ascii="Times New Roman" w:hAnsi="Times New Roman"/>
          <w:sz w:val="24"/>
        </w:rPr>
        <w:t>Previous systematic reviews have reported associations between periodontal disease, tooth loss, cognitive impairment, dementia, and Alzheimer disease-related pathology (6-12). However, important uncertainties remain because existing studies vary in periodontal exposure definitions, neurological outcome categories, study designs, follow-up periods, and statistical measures. Some reviews have focused mainly on dementia or Alzheimer disease, whereas others have combined broader oral health indicators and cognitive outcomes. As a result, the extent to which periodontitis itself is associated with cognitive impairment and selected neurodegenerative outcomes remains difficult to interpret.</w:t>
      </w:r>
    </w:p>
    <w:p>
      <w:pPr>
        <w:spacing w:line="360" w:lineRule="auto" w:after="120"/>
        <w:jc w:val="both"/>
      </w:pPr>
      <w:r>
        <w:rPr>
          <w:rFonts w:ascii="Times New Roman" w:hAnsi="Times New Roman"/>
          <w:sz w:val="24"/>
        </w:rPr>
        <w:t>This review therefore aimed to synthesize contemporary observational evidence from 2017 to 2025 on the association of periodontitis or periodontal disease with cognitive impairment, dementia, Alzheimer disease, Parkinson disease, vascular dementia, and related neurodegenerative outcomes. The review also aimed to clarify heterogeneity across periodontal exposure definitions, outcome categories, comparison groups, and reported effect measures, and to interpret the pooled estimate as evidence of association rather than causality.</w:t>
      </w:r>
    </w:p>
    <w:p>
      <w:pPr>
        <w:pStyle w:val="Heading1"/>
        <w:spacing w:before="160" w:after="120" w:line="360" w:lineRule="auto"/>
        <w:jc w:val="left"/>
      </w:pPr>
      <w:r>
        <w:rPr>
          <w:rFonts w:ascii="Times New Roman" w:hAnsi="Times New Roman" w:eastAsia="Times New Roman"/>
          <w:b/>
          <w:sz w:val="24"/>
        </w:rPr>
        <w:t>Materials and Methods</w:t>
      </w:r>
    </w:p>
    <w:p>
      <w:pPr>
        <w:pStyle w:val="Heading2"/>
        <w:spacing w:before="120" w:after="120" w:line="360" w:lineRule="auto"/>
      </w:pPr>
      <w:r>
        <w:rPr>
          <w:rFonts w:ascii="Times New Roman" w:hAnsi="Times New Roman" w:eastAsia="Times New Roman"/>
          <w:b/>
          <w:sz w:val="24"/>
        </w:rPr>
        <w:t>Study Design</w:t>
      </w:r>
    </w:p>
    <w:p>
      <w:pPr>
        <w:spacing w:line="360" w:lineRule="auto" w:after="120"/>
        <w:jc w:val="both"/>
      </w:pPr>
      <w:r>
        <w:rPr>
          <w:rFonts w:ascii="Times New Roman" w:hAnsi="Times New Roman"/>
          <w:sz w:val="24"/>
        </w:rPr>
        <w:t>This study used a systematic review and meta-analysis design and was conducted according to the PRISMA 2020 guideline (15). The review aimed to summarize and quantitatively synthesize primary observational studies that examined periodontitis or periodontal disease in relation to cognitive impairment, dementia, and selected neurodegenerative outcomes. The principles of quantitative synthesis and heterogeneity assessment followed general recommendations for systematic reviews and meta-analyses (16).</w:t>
      </w:r>
    </w:p>
    <w:p>
      <w:pPr>
        <w:pStyle w:val="Heading2"/>
        <w:spacing w:before="120" w:after="120" w:line="360" w:lineRule="auto"/>
      </w:pPr>
      <w:r>
        <w:rPr>
          <w:rFonts w:ascii="Times New Roman" w:hAnsi="Times New Roman" w:eastAsia="Times New Roman"/>
          <w:b/>
          <w:sz w:val="24"/>
        </w:rPr>
        <w:t>PECO Framework</w:t>
      </w:r>
    </w:p>
    <w:p>
      <w:pPr>
        <w:spacing w:line="360" w:lineRule="auto" w:after="120"/>
        <w:jc w:val="both"/>
      </w:pPr>
      <w:r>
        <w:rPr>
          <w:rFonts w:ascii="Times New Roman" w:hAnsi="Times New Roman" w:eastAsia="Times New Roman"/>
          <w:sz w:val="24"/>
        </w:rPr>
        <w:t>The research question was developed using the PECO framework. The population consisted of adult or older adult individuals whose periodontal and cognitive or neurological status were assessed. Tooth loss was not considered as the population, but as a periodontal-related indicator when the original study clearly linked it to periodontal disease or periodontal health status. The exposure was periodontitis or periodontal disease, including clinical diagnosis, clinical attachment loss, probing pocket depth, bleeding on probing, alveolar bone loss, periodontal treatment status, or other periodontal indicators reported in the included studies. Because these indicators do not represent identical exposure definitions, they were interpreted as related but heterogeneous measures of periodontal status. The comparison group consisted of individuals without periodontitis, individuals with less severe periodontal disease, individuals with better periodontal health, or reference groups defined in the original studies. The outcomes included cognitive impairment, mild cognitive impairment, cognitive decline, dementia, Alzheimer disease, Parkinson disease, vascular dementia, and other neurodegenerative outcomes.</w:t>
      </w:r>
    </w:p>
    <w:p>
      <w:pPr>
        <w:spacing w:before="160" w:after="120" w:line="360" w:lineRule="auto"/>
        <w:jc w:val="left"/>
      </w:pPr>
      <w:r>
        <w:rPr>
          <w:rFonts w:ascii="Times New Roman" w:hAnsi="Times New Roman" w:eastAsia="Times New Roman"/>
          <w:b/>
          <w:sz w:val="24"/>
        </w:rPr>
        <w:t>Table 1: Research PECO.</w:t>
      </w:r>
    </w:p>
    <w:tbl>
      <w:tblPr>
        <w:tblStyle w:val="TableGrid"/>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703"/>
        <w:gridCol w:w="4703"/>
      </w:tblGrid>
      <w:tr>
        <w:trPr>
          <w:tblHeader w:val="true"/>
        </w:trPr>
        <w:tc>
          <w:tcPr>
            <w:tcW w:type="dxa" w:w="4703"/>
            <w:vAlign w:val="top"/>
            <w:shd w:fill="D9EAF7"/>
          </w:tcPr>
          <w:p>
            <w:pPr>
              <w:spacing w:after="40" w:line="240" w:lineRule="auto"/>
            </w:pPr>
            <w:r>
              <w:rPr>
                <w:rFonts w:ascii="Times New Roman" w:hAnsi="Times New Roman" w:eastAsia="Times New Roman"/>
                <w:b/>
                <w:sz w:val="18"/>
              </w:rPr>
              <w:t>Component</w:t>
            </w:r>
          </w:p>
        </w:tc>
        <w:tc>
          <w:tcPr>
            <w:tcW w:type="dxa" w:w="4703"/>
            <w:vAlign w:val="top"/>
            <w:shd w:fill="D9EAF7"/>
          </w:tcPr>
          <w:p>
            <w:pPr>
              <w:spacing w:after="40" w:line="240" w:lineRule="auto"/>
            </w:pPr>
            <w:r>
              <w:rPr>
                <w:rFonts w:ascii="Times New Roman" w:hAnsi="Times New Roman" w:eastAsia="Times New Roman"/>
                <w:b/>
                <w:sz w:val="18"/>
              </w:rPr>
              <w:t>Description</w:t>
            </w:r>
          </w:p>
        </w:tc>
      </w:tr>
      <w:tr>
        <w:tc>
          <w:tcPr>
            <w:tcW w:type="dxa" w:w="4703"/>
            <w:vAlign w:val="top"/>
          </w:tcPr>
          <w:p>
            <w:pPr>
              <w:spacing w:after="40" w:line="240" w:lineRule="auto"/>
            </w:pPr>
            <w:r>
              <w:rPr>
                <w:rFonts w:ascii="Times New Roman" w:hAnsi="Times New Roman" w:eastAsia="Times New Roman"/>
                <w:sz w:val="18"/>
              </w:rPr>
              <w:t>P (Population)</w:t>
            </w:r>
          </w:p>
        </w:tc>
        <w:tc>
          <w:tcPr>
            <w:tcW w:type="dxa" w:w="4703"/>
            <w:vAlign w:val="top"/>
          </w:tcPr>
          <w:p>
            <w:pPr>
              <w:spacing w:after="40" w:line="240" w:lineRule="auto"/>
            </w:pPr>
            <w:r>
              <w:rPr>
                <w:rFonts w:ascii="Times New Roman" w:hAnsi="Times New Roman" w:eastAsia="Times New Roman"/>
                <w:sz w:val="18"/>
              </w:rPr>
              <w:t>Adult or older adult individuals whose periodontal status and cognitive or neurological status were assessed.</w:t>
            </w:r>
          </w:p>
        </w:tc>
      </w:tr>
      <w:tr>
        <w:tc>
          <w:tcPr>
            <w:tcW w:type="dxa" w:w="4703"/>
            <w:vAlign w:val="top"/>
          </w:tcPr>
          <w:p>
            <w:pPr>
              <w:spacing w:after="40" w:line="240" w:lineRule="auto"/>
            </w:pPr>
            <w:r>
              <w:rPr>
                <w:rFonts w:ascii="Times New Roman" w:hAnsi="Times New Roman" w:eastAsia="Times New Roman"/>
                <w:sz w:val="18"/>
              </w:rPr>
              <w:t>E (Exposure)</w:t>
            </w:r>
          </w:p>
        </w:tc>
        <w:tc>
          <w:tcPr>
            <w:tcW w:type="dxa" w:w="4703"/>
            <w:vAlign w:val="top"/>
          </w:tcPr>
          <w:p>
            <w:pPr>
              <w:spacing w:after="40" w:line="240" w:lineRule="auto"/>
            </w:pPr>
            <w:r>
              <w:rPr>
                <w:rFonts w:ascii="Times New Roman" w:hAnsi="Times New Roman" w:eastAsia="Times New Roman"/>
                <w:sz w:val="18"/>
              </w:rPr>
              <w:t>Periodontitis or periodontal disease, including clinical diagnosis, clinical attachment loss, probing pocket depth, bleeding on probing, alveolar bone loss, periodontal treatment status, or other periodontal indicators reported in the included studies. These exposure definitions were considered heterogeneous.</w:t>
            </w:r>
          </w:p>
        </w:tc>
      </w:tr>
      <w:tr>
        <w:tc>
          <w:tcPr>
            <w:tcW w:type="dxa" w:w="4703"/>
            <w:vAlign w:val="top"/>
          </w:tcPr>
          <w:p>
            <w:pPr>
              <w:spacing w:after="40" w:line="240" w:lineRule="auto"/>
            </w:pPr>
            <w:r>
              <w:rPr>
                <w:rFonts w:ascii="Times New Roman" w:hAnsi="Times New Roman" w:eastAsia="Times New Roman"/>
                <w:sz w:val="18"/>
              </w:rPr>
              <w:t>C (Comparison)</w:t>
            </w:r>
          </w:p>
        </w:tc>
        <w:tc>
          <w:tcPr>
            <w:tcW w:type="dxa" w:w="4703"/>
            <w:vAlign w:val="top"/>
          </w:tcPr>
          <w:p>
            <w:pPr>
              <w:spacing w:after="40" w:line="240" w:lineRule="auto"/>
            </w:pPr>
            <w:r>
              <w:rPr>
                <w:rFonts w:ascii="Times New Roman" w:hAnsi="Times New Roman" w:eastAsia="Times New Roman"/>
                <w:sz w:val="18"/>
              </w:rPr>
              <w:t>Individuals without periodontitis, individuals with less severe periodontal disease, individuals with better periodontal health, or reference groups defined in the original studies. These comparison groups were not identical across studies.</w:t>
            </w:r>
          </w:p>
        </w:tc>
      </w:tr>
      <w:tr>
        <w:tc>
          <w:tcPr>
            <w:tcW w:type="dxa" w:w="4703"/>
            <w:vAlign w:val="top"/>
          </w:tcPr>
          <w:p>
            <w:pPr>
              <w:spacing w:after="40" w:line="240" w:lineRule="auto"/>
            </w:pPr>
            <w:r>
              <w:rPr>
                <w:rFonts w:ascii="Times New Roman" w:hAnsi="Times New Roman" w:eastAsia="Times New Roman"/>
                <w:sz w:val="18"/>
              </w:rPr>
              <w:t>O (Outcome)</w:t>
            </w:r>
          </w:p>
        </w:tc>
        <w:tc>
          <w:tcPr>
            <w:tcW w:type="dxa" w:w="4703"/>
            <w:vAlign w:val="top"/>
          </w:tcPr>
          <w:p>
            <w:pPr>
              <w:spacing w:after="40" w:line="240" w:lineRule="auto"/>
            </w:pPr>
            <w:r>
              <w:rPr>
                <w:rFonts w:ascii="Times New Roman" w:hAnsi="Times New Roman" w:eastAsia="Times New Roman"/>
                <w:sz w:val="18"/>
              </w:rPr>
              <w:t>Cognitive impairment, mild cognitive impairment, cognitive decline, dementia, Alzheimer’s disease, Parkinson’s disease, and other neurodegenerative diseases assessed through clinical diagnosis, registry data, medical records, or standardized cognitive instruments.</w:t>
            </w:r>
          </w:p>
        </w:tc>
      </w:tr>
    </w:tbl>
    <w:p>
      <w:pPr>
        <w:spacing w:line="360" w:lineRule="auto" w:after="120"/>
      </w:pPr>
    </w:p>
    <w:p>
      <w:pPr>
        <w:pStyle w:val="Heading2"/>
        <w:spacing w:before="120" w:after="120" w:line="360" w:lineRule="auto"/>
      </w:pPr>
      <w:r>
        <w:rPr>
          <w:rFonts w:ascii="Times New Roman" w:hAnsi="Times New Roman" w:eastAsia="Times New Roman"/>
          <w:b/>
          <w:sz w:val="24"/>
        </w:rPr>
        <w:t>Search Strategy</w:t>
      </w:r>
    </w:p>
    <w:p>
      <w:pPr>
        <w:spacing w:line="360" w:lineRule="auto" w:after="120"/>
        <w:jc w:val="both"/>
      </w:pPr>
      <w:r>
        <w:rPr>
          <w:rFonts w:ascii="Times New Roman" w:hAnsi="Times New Roman"/>
          <w:sz w:val="24"/>
        </w:rPr>
        <w:t>A systematic literature search was conducted in PubMed/MEDLINE, Scopus, and Web of Science. The final literature search was conducted in December 2025; therefore, articles indexed after this search date were not included in the present review. Articles published from 2017 to 2025 were considered eligible to focus on contemporary observational evidence and to reduce variability arising from older periodontal definitions and outcome reporting. Keywords were combined using Boolean operators. Periodontal exposure terms included periodontitis, periodontal disease, periodontal health, clinical attachment loss, probing pocket depth, alveolar bone loss, and tooth loss. Cognitive and neurodegenerative outcome terms included cognitive impairment, cognitive decline, mild cognitive impairment, dementia, Alzheimer disease, Parkinson disease, and neurodegenerative disease. Terms related to statistical measures, including odds ratio, confidence interval, risk factor, and association, were also used to identify studies suitable for quantitative synthesis. The number of articles identified from each database is shown in Table 2.</w:t>
      </w:r>
    </w:p>
    <w:p>
      <w:pPr>
        <w:spacing w:before="160" w:after="120" w:line="360" w:lineRule="auto"/>
        <w:jc w:val="left"/>
      </w:pPr>
      <w:r>
        <w:rPr>
          <w:rFonts w:ascii="Times New Roman" w:hAnsi="Times New Roman" w:eastAsia="Times New Roman"/>
          <w:b/>
          <w:sz w:val="24"/>
        </w:rPr>
        <w:t>Table 2: Number of articles based on search databases.</w:t>
      </w:r>
    </w:p>
    <w:tbl>
      <w:tblPr>
        <w:tblStyle w:val="TableGrid"/>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35"/>
        <w:gridCol w:w="3135"/>
        <w:gridCol w:w="3135"/>
      </w:tblGrid>
      <w:tr>
        <w:trPr>
          <w:tblHeader w:val="true"/>
        </w:trPr>
        <w:tc>
          <w:tcPr>
            <w:tcW w:type="dxa" w:w="3135"/>
            <w:vAlign w:val="top"/>
            <w:shd w:fill="D9EAF7"/>
          </w:tcPr>
          <w:p>
            <w:pPr>
              <w:spacing w:after="40" w:line="240" w:lineRule="auto"/>
            </w:pPr>
            <w:r>
              <w:rPr>
                <w:rFonts w:ascii="Times New Roman" w:hAnsi="Times New Roman" w:eastAsia="Times New Roman"/>
                <w:b/>
                <w:sz w:val="18"/>
              </w:rPr>
              <w:t>Database</w:t>
            </w:r>
          </w:p>
        </w:tc>
        <w:tc>
          <w:tcPr>
            <w:tcW w:type="dxa" w:w="3135"/>
            <w:vAlign w:val="top"/>
            <w:shd w:fill="D9EAF7"/>
          </w:tcPr>
          <w:p>
            <w:pPr>
              <w:spacing w:after="40" w:line="240" w:lineRule="auto"/>
            </w:pPr>
            <w:r>
              <w:rPr>
                <w:rFonts w:ascii="Times New Roman" w:hAnsi="Times New Roman" w:eastAsia="Times New Roman"/>
                <w:b/>
                <w:sz w:val="18"/>
              </w:rPr>
              <w:t>Keyword</w:t>
            </w:r>
          </w:p>
        </w:tc>
        <w:tc>
          <w:tcPr>
            <w:tcW w:type="dxa" w:w="3135"/>
            <w:vAlign w:val="top"/>
            <w:shd w:fill="D9EAF7"/>
          </w:tcPr>
          <w:p>
            <w:pPr>
              <w:spacing w:after="40" w:line="240" w:lineRule="auto"/>
            </w:pPr>
            <w:r>
              <w:rPr>
                <w:rFonts w:ascii="Times New Roman" w:hAnsi="Times New Roman" w:eastAsia="Times New Roman"/>
                <w:b/>
                <w:sz w:val="18"/>
              </w:rPr>
              <w:t>Number of Articles</w:t>
            </w:r>
          </w:p>
        </w:tc>
      </w:tr>
      <w:tr>
        <w:tc>
          <w:tcPr>
            <w:tcW w:type="dxa" w:w="3135"/>
            <w:vAlign w:val="top"/>
          </w:tcPr>
          <w:p>
            <w:pPr>
              <w:spacing w:after="40" w:line="240" w:lineRule="auto"/>
            </w:pPr>
            <w:r>
              <w:rPr>
                <w:rFonts w:ascii="Times New Roman" w:hAnsi="Times New Roman" w:eastAsia="Times New Roman"/>
                <w:sz w:val="18"/>
              </w:rPr>
              <w:t>PubMed/MEDLINE</w:t>
            </w:r>
          </w:p>
        </w:tc>
        <w:tc>
          <w:tcPr>
            <w:tcW w:type="dxa" w:w="3135"/>
            <w:vAlign w:val="top"/>
          </w:tcPr>
          <w:p>
            <w:pPr>
              <w:spacing w:after="40" w:line="240" w:lineRule="auto"/>
            </w:pPr>
            <w:r>
              <w:rPr>
                <w:rFonts w:ascii="Times New Roman" w:hAnsi="Times New Roman" w:eastAsia="Times New Roman"/>
                <w:sz w:val="18"/>
              </w:rPr>
              <w:t>(“periodontitis” OR “periodontal disease” OR “periodontal health” OR “clinical attachment loss” OR “probing pocket depth” OR “alveolar bone loss” OR “tooth loss”) AND (“cognitive impairment” OR “cognitive decline” OR “mild cognitive impairment” OR dementia OR “Alzheimer disease” OR “Parkinson disease” OR “neurodegenerative disease”) AND (“odds ratio” OR “hazard ratio” OR “confidence interval” OR “p-value” OR association)</w:t>
            </w:r>
          </w:p>
        </w:tc>
        <w:tc>
          <w:tcPr>
            <w:tcW w:type="dxa" w:w="3135"/>
            <w:vAlign w:val="top"/>
          </w:tcPr>
          <w:p>
            <w:pPr>
              <w:spacing w:after="40" w:line="240" w:lineRule="auto"/>
            </w:pPr>
            <w:r>
              <w:rPr>
                <w:rFonts w:ascii="Times New Roman" w:hAnsi="Times New Roman" w:eastAsia="Times New Roman"/>
                <w:sz w:val="18"/>
              </w:rPr>
              <w:t>124</w:t>
            </w:r>
          </w:p>
        </w:tc>
      </w:tr>
      <w:tr>
        <w:tc>
          <w:tcPr>
            <w:tcW w:type="dxa" w:w="3135"/>
            <w:vAlign w:val="top"/>
          </w:tcPr>
          <w:p>
            <w:pPr>
              <w:spacing w:after="40" w:line="240" w:lineRule="auto"/>
            </w:pPr>
            <w:r>
              <w:rPr>
                <w:rFonts w:ascii="Times New Roman" w:hAnsi="Times New Roman" w:eastAsia="Times New Roman"/>
                <w:sz w:val="18"/>
              </w:rPr>
              <w:t>Scopus</w:t>
            </w:r>
          </w:p>
        </w:tc>
        <w:tc>
          <w:tcPr>
            <w:tcW w:type="dxa" w:w="3135"/>
            <w:vAlign w:val="top"/>
          </w:tcPr>
          <w:p>
            <w:pPr>
              <w:spacing w:after="40" w:line="240" w:lineRule="auto"/>
            </w:pPr>
            <w:r>
              <w:rPr>
                <w:rFonts w:ascii="Times New Roman" w:hAnsi="Times New Roman" w:eastAsia="Times New Roman"/>
                <w:sz w:val="18"/>
              </w:rPr>
              <w:t>TITLE-ABS-KEY (“periodontitis” OR “periodontal disease” OR “periodontal health” OR “tooth loss” OR “alveolar bone loss”) AND TITLE-ABS-KEY (“cognitive impairment” OR “cognitive decline” OR dementia OR “Alzheimer disease” OR “Parkinson disease” OR “neurodegenerative disease”) AND TITLE-ABS-KEY (“odds ratio” OR “confidence interval” OR association OR “risk factor”) AND PUBYEAR &gt; 2016</w:t>
            </w:r>
          </w:p>
        </w:tc>
        <w:tc>
          <w:tcPr>
            <w:tcW w:type="dxa" w:w="3135"/>
            <w:vAlign w:val="top"/>
          </w:tcPr>
          <w:p>
            <w:pPr>
              <w:spacing w:after="40" w:line="240" w:lineRule="auto"/>
            </w:pPr>
            <w:r>
              <w:rPr>
                <w:rFonts w:ascii="Times New Roman" w:hAnsi="Times New Roman" w:eastAsia="Times New Roman"/>
                <w:sz w:val="18"/>
              </w:rPr>
              <w:t>156</w:t>
            </w:r>
          </w:p>
        </w:tc>
      </w:tr>
      <w:tr>
        <w:tc>
          <w:tcPr>
            <w:tcW w:type="dxa" w:w="3135"/>
            <w:vAlign w:val="top"/>
          </w:tcPr>
          <w:p>
            <w:pPr>
              <w:spacing w:after="40" w:line="240" w:lineRule="auto"/>
            </w:pPr>
            <w:r>
              <w:rPr>
                <w:rFonts w:ascii="Times New Roman" w:hAnsi="Times New Roman" w:eastAsia="Times New Roman"/>
                <w:sz w:val="18"/>
              </w:rPr>
              <w:t>Web of Science</w:t>
            </w:r>
          </w:p>
        </w:tc>
        <w:tc>
          <w:tcPr>
            <w:tcW w:type="dxa" w:w="3135"/>
            <w:vAlign w:val="top"/>
          </w:tcPr>
          <w:p>
            <w:pPr>
              <w:spacing w:after="40" w:line="240" w:lineRule="auto"/>
            </w:pPr>
            <w:r>
              <w:rPr>
                <w:rFonts w:ascii="Times New Roman" w:hAnsi="Times New Roman" w:eastAsia="Times New Roman"/>
                <w:sz w:val="18"/>
              </w:rPr>
              <w:t>TS=(“periodontitis” OR “periodontal disease” OR “periodontal health” OR “clinical attachment loss” OR “probing pocket depth” OR “tooth loss”) AND TS=(“cognitive impairment” OR “cognitive decline” OR dementia OR “Alzheimer disease” OR “Parkinson disease” OR “neurodegenerative disease”) AND TS=(“odds ratio” OR “confidence interval” OR association OR “risk factor”)</w:t>
            </w:r>
          </w:p>
        </w:tc>
        <w:tc>
          <w:tcPr>
            <w:tcW w:type="dxa" w:w="3135"/>
            <w:vAlign w:val="top"/>
          </w:tcPr>
          <w:p>
            <w:pPr>
              <w:spacing w:after="40" w:line="240" w:lineRule="auto"/>
            </w:pPr>
            <w:r>
              <w:rPr>
                <w:rFonts w:ascii="Times New Roman" w:hAnsi="Times New Roman" w:eastAsia="Times New Roman"/>
                <w:sz w:val="18"/>
              </w:rPr>
              <w:t>98</w:t>
            </w:r>
          </w:p>
        </w:tc>
      </w:tr>
      <w:tr>
        <w:tc>
          <w:tcPr>
            <w:tcW w:type="dxa" w:w="3135"/>
            <w:vAlign w:val="top"/>
          </w:tcPr>
          <w:p>
            <w:pPr>
              <w:spacing w:after="40" w:line="240" w:lineRule="auto"/>
            </w:pPr>
            <w:r>
              <w:rPr>
                <w:rFonts w:ascii="Times New Roman" w:hAnsi="Times New Roman" w:eastAsia="Times New Roman"/>
                <w:sz w:val="18"/>
              </w:rPr>
              <w:t>Total articles identified</w:t>
            </w:r>
          </w:p>
        </w:tc>
        <w:tc>
          <w:tcPr>
            <w:tcW w:type="dxa" w:w="3135"/>
            <w:vAlign w:val="top"/>
          </w:tcPr>
          <w:p>
            <w:pPr>
              <w:spacing w:after="40" w:line="240" w:lineRule="auto"/>
            </w:pPr>
            <w:r>
              <w:rPr>
                <w:rFonts w:ascii="Times New Roman" w:hAnsi="Times New Roman" w:eastAsia="Times New Roman"/>
                <w:sz w:val="18"/>
              </w:rPr>
              <w:t>Total articles identified</w:t>
            </w:r>
          </w:p>
        </w:tc>
        <w:tc>
          <w:tcPr>
            <w:tcW w:type="dxa" w:w="3135"/>
            <w:vAlign w:val="top"/>
          </w:tcPr>
          <w:p>
            <w:pPr>
              <w:spacing w:after="40" w:line="240" w:lineRule="auto"/>
            </w:pPr>
            <w:r>
              <w:rPr>
                <w:rFonts w:ascii="Times New Roman" w:hAnsi="Times New Roman" w:eastAsia="Times New Roman"/>
                <w:sz w:val="18"/>
              </w:rPr>
              <w:t>378</w:t>
            </w:r>
          </w:p>
        </w:tc>
      </w:tr>
    </w:tbl>
    <w:p>
      <w:pPr>
        <w:spacing w:line="360" w:lineRule="auto" w:after="120"/>
      </w:pPr>
    </w:p>
    <w:p>
      <w:pPr>
        <w:pStyle w:val="Heading2"/>
        <w:spacing w:before="120" w:after="120" w:line="360" w:lineRule="auto"/>
      </w:pPr>
      <w:r>
        <w:rPr>
          <w:rFonts w:ascii="Times New Roman" w:hAnsi="Times New Roman" w:eastAsia="Times New Roman"/>
          <w:b/>
          <w:sz w:val="24"/>
        </w:rPr>
        <w:t>Eligibility Criteria</w:t>
      </w:r>
    </w:p>
    <w:p>
      <w:pPr>
        <w:spacing w:line="360" w:lineRule="auto" w:after="120"/>
        <w:jc w:val="both"/>
      </w:pPr>
      <w:r>
        <w:rPr>
          <w:rFonts w:ascii="Times New Roman" w:hAnsi="Times New Roman"/>
          <w:sz w:val="24"/>
        </w:rPr>
        <w:t>The inclusion criteria were as follows: articles published from 2017 to 2025; primary quantitative observational studies; adult or older adult populations; studies examining periodontitis or periodontal disease as the main exposure; studies evaluating cognitive impairment, cognitive decline, dementia, Alzheimer disease, Parkinson disease, vascular dementia, or other neurodegenerative outcomes; studies reporting odds ratio, adjusted odds ratio, hazard ratio, adjusted hazard ratio, beta coefficient, confidence interval, p-value, or data that could be used for effect size calculation; full-text availability; and articles written in English or Indonesian.</w:t>
      </w:r>
    </w:p>
    <w:p>
      <w:pPr>
        <w:spacing w:line="360" w:lineRule="auto" w:after="120"/>
        <w:jc w:val="both"/>
      </w:pPr>
      <w:r>
        <w:rPr>
          <w:rFonts w:ascii="Times New Roman" w:hAnsi="Times New Roman"/>
          <w:sz w:val="24"/>
        </w:rPr>
        <w:t>The exclusion criteria were review articles, systematic reviews, meta-analyses, scoping reviews, narrative reviews, editorials, letters, protocols, case reports, and case series; clinical trials or intervention studies that primarily evaluated treatment effects rather than observational associations; studies that did not separate periodontitis data from other oral health exposures; studies that only discussed periodontal microbiology without cognitive or neurological outcomes; studies without usable statistical data; and duplicate studies from the same dataset. Observational studies were selected because the objective of this review was to evaluate associations between periodontal status and cognitive or neurodegenerative outcomes in human populations, not to assess the effect of periodontal intervention on cognitive outcomes.</w:t>
      </w:r>
    </w:p>
    <w:p>
      <w:pPr>
        <w:pStyle w:val="Heading2"/>
        <w:spacing w:before="120" w:after="120" w:line="360" w:lineRule="auto"/>
      </w:pPr>
      <w:r>
        <w:rPr>
          <w:rFonts w:ascii="Times New Roman" w:hAnsi="Times New Roman" w:eastAsia="Times New Roman"/>
          <w:b/>
          <w:sz w:val="24"/>
        </w:rPr>
        <w:t>Study Selection</w:t>
      </w:r>
    </w:p>
    <w:p>
      <w:pPr>
        <w:spacing w:line="360" w:lineRule="auto" w:after="120"/>
        <w:jc w:val="both"/>
      </w:pPr>
      <w:r>
        <w:rPr>
          <w:rFonts w:ascii="Times New Roman" w:hAnsi="Times New Roman"/>
          <w:sz w:val="24"/>
        </w:rPr>
        <w:t>Study screening was performed independently by YRW, S, and AK. Titles and abstracts were screened first, followed by full-text assessment of potentially eligible articles. Any differences in eligibility decisions were resolved through discussion among the reviewers. The study selection process was documented using the PRISMA flow diagram.</w:t>
      </w:r>
    </w:p>
    <w:p>
      <w:pPr>
        <w:pStyle w:val="Heading2"/>
        <w:spacing w:before="120" w:after="120" w:line="360" w:lineRule="auto"/>
      </w:pPr>
      <w:r>
        <w:rPr>
          <w:rFonts w:ascii="Times New Roman" w:hAnsi="Times New Roman" w:eastAsia="Times New Roman"/>
          <w:b/>
          <w:sz w:val="24"/>
        </w:rPr>
        <w:t>Data Extraction</w:t>
      </w:r>
    </w:p>
    <w:p>
      <w:pPr>
        <w:spacing w:line="360" w:lineRule="auto" w:after="120"/>
        <w:jc w:val="both"/>
      </w:pPr>
      <w:r>
        <w:rPr>
          <w:rFonts w:ascii="Times New Roman" w:hAnsi="Times New Roman"/>
          <w:sz w:val="24"/>
        </w:rPr>
        <w:t>Data were extracted from each eligible study, including author name, year of publication, country or data source, study design, sample size, periodontal exposure, comparison group, cognitive or neurodegenerative outcome, outcome assessment method, statistical measure, effect estimate, confidence interval, p-value, follow-up duration for cohort studies, and main conclusion. Data extraction was performed by YRW, S, and AK using a standardized extraction form. The extracted effect estimates included odds ratios, adjusted odds ratios, hazard ratios, adjusted hazard ratios, beta coefficients, confidence intervals, and p-values according to the reporting format of each original study.</w:t>
      </w:r>
    </w:p>
    <w:p>
      <w:pPr>
        <w:pStyle w:val="Heading2"/>
        <w:spacing w:before="120" w:after="120" w:line="360" w:lineRule="auto"/>
      </w:pPr>
      <w:r>
        <w:rPr>
          <w:rFonts w:ascii="Times New Roman" w:hAnsi="Times New Roman" w:eastAsia="Times New Roman"/>
          <w:b/>
          <w:sz w:val="24"/>
        </w:rPr>
        <w:t>Risk of Bias Assessment</w:t>
      </w:r>
    </w:p>
    <w:p>
      <w:pPr>
        <w:spacing w:line="360" w:lineRule="auto" w:after="120"/>
        <w:jc w:val="both"/>
      </w:pPr>
      <w:r>
        <w:rPr>
          <w:rFonts w:ascii="Times New Roman" w:hAnsi="Times New Roman"/>
          <w:sz w:val="24"/>
        </w:rPr>
        <w:t>Risk of bias was assessed using the Joanna Briggs Institute critical appraisal tools according to the study design of the included articles. The assessment considered the appropriateness of study design, participant selection, exposure measurement, outcome assessment, control of confounding factors, follow-up adequacy for cohort studies, and statistical analysis. The risk-of-bias assessment was used to support interpretation of the findings rather than to exclude studies automatically. A structured JBI appraisal table should be finalized using the authors’ appraisal records before submission if required by the target journal.</w:t>
      </w:r>
    </w:p>
    <w:p>
      <w:pPr>
        <w:pStyle w:val="Heading2"/>
        <w:spacing w:before="120" w:after="120" w:line="360" w:lineRule="auto"/>
      </w:pPr>
      <w:r>
        <w:rPr>
          <w:rFonts w:ascii="Times New Roman" w:hAnsi="Times New Roman" w:eastAsia="Times New Roman"/>
          <w:b/>
          <w:sz w:val="24"/>
        </w:rPr>
        <w:t>Data Analysis</w:t>
      </w:r>
    </w:p>
    <w:p>
      <w:pPr>
        <w:spacing w:line="360" w:lineRule="auto" w:after="120"/>
        <w:jc w:val="both"/>
      </w:pPr>
      <w:r>
        <w:rPr>
          <w:rFonts w:ascii="Times New Roman" w:hAnsi="Times New Roman" w:eastAsia="Times New Roman"/>
          <w:sz w:val="24"/>
        </w:rPr>
        <w:t>The meta-analysis was conducted using JASP. Effect estimates and 95% confidence intervals from the included studies were entered as the main quantitative data. Odds ratios, adjusted odds ratios, hazard ratios, and adjusted hazard ratios were extracted according to the reporting format of each original study.</w:t>
      </w:r>
    </w:p>
    <w:p>
      <w:pPr>
        <w:spacing w:line="360" w:lineRule="auto" w:after="120"/>
        <w:jc w:val="both"/>
      </w:pPr>
      <w:r>
        <w:rPr>
          <w:rFonts w:ascii="Times New Roman" w:hAnsi="Times New Roman" w:eastAsia="Times New Roman"/>
          <w:sz w:val="24"/>
        </w:rPr>
        <w:t>Odds ratios, adjusted odds ratios, hazard ratios, and adjusted hazard ratios were transformed before being combined in the meta-analysis to improve comparability across studies reporting different effect measures. The pooled effect estimate was presented as a standardized effect size.</w:t>
      </w:r>
    </w:p>
    <w:p>
      <w:pPr>
        <w:spacing w:line="360" w:lineRule="auto" w:after="120"/>
        <w:jc w:val="both"/>
      </w:pPr>
      <w:r>
        <w:rPr>
          <w:rFonts w:ascii="Times New Roman" w:hAnsi="Times New Roman" w:eastAsia="Times New Roman"/>
          <w:sz w:val="24"/>
        </w:rPr>
        <w:t>The pooled effect estimate was calculated using a random-effects model because clinical and methodological heterogeneity was expected across the included studies. The included studies differed in study design, periodontal exposure definition, comparison group, cognitive or neurodegenerative outcome, and statistical measure. Therefore, the pooled estimate was interpreted cautiously as an overall association rather than evidence of causality.</w:t>
      </w:r>
    </w:p>
    <w:p>
      <w:pPr>
        <w:spacing w:line="360" w:lineRule="auto" w:after="120"/>
        <w:jc w:val="both"/>
      </w:pPr>
      <w:r>
        <w:rPr>
          <w:rFonts w:ascii="Times New Roman" w:hAnsi="Times New Roman" w:eastAsia="Times New Roman"/>
          <w:sz w:val="24"/>
        </w:rPr>
        <w:t>Heterogeneity was assessed using the Q statistic and I² statistic. The Q statistic was used to test whether heterogeneity was statistically significant, whereas I² was used to quantify the proportion of variability across studies attributable to heterogeneity rather than chance. The I² value was 72.0%, indicating substantial heterogeneity across the included studies. Sensitivity analysis was performed to evaluate the robustness of the pooled estimate and showed that no single study substantially influenced the overall result. A funnel plot was used to visually assess possible publication bias, but it was interpreted cautiously because only 12 studies were included. A p-value of less than 0.05 was considered statistically significant.</w:t>
      </w:r>
    </w:p>
    <w:p>
      <w:pPr>
        <w:pStyle w:val="Heading2"/>
        <w:spacing w:before="120" w:after="120" w:line="360" w:lineRule="auto"/>
      </w:pPr>
      <w:r>
        <w:rPr>
          <w:rFonts w:ascii="Times New Roman" w:hAnsi="Times New Roman" w:eastAsia="Times New Roman"/>
          <w:b/>
          <w:sz w:val="24"/>
        </w:rPr>
        <w:t>Ethical Considerations</w:t>
      </w:r>
    </w:p>
    <w:p>
      <w:pPr>
        <w:spacing w:line="360" w:lineRule="auto" w:after="120"/>
        <w:jc w:val="both"/>
      </w:pPr>
      <w:r>
        <w:rPr>
          <w:rFonts w:ascii="Times New Roman" w:hAnsi="Times New Roman" w:eastAsia="Times New Roman"/>
          <w:sz w:val="24"/>
        </w:rPr>
        <w:t>This study was a systematic review and meta-analysis based on previously published studies. It did not involve direct recruitment of human participants, direct collection of human biological samples, or animal experiments. Therefore, ethical approval and informed consent were not required.</w:t>
      </w:r>
    </w:p>
    <w:p>
      <w:pPr>
        <w:pStyle w:val="Heading1"/>
        <w:spacing w:before="160" w:after="120" w:line="360" w:lineRule="auto"/>
        <w:jc w:val="left"/>
      </w:pPr>
      <w:r>
        <w:rPr>
          <w:rFonts w:ascii="Times New Roman" w:hAnsi="Times New Roman" w:eastAsia="Times New Roman"/>
          <w:b/>
          <w:sz w:val="24"/>
        </w:rPr>
        <w:t>Results</w:t>
      </w:r>
    </w:p>
    <w:p>
      <w:pPr>
        <w:pStyle w:val="Heading2"/>
        <w:spacing w:before="120" w:after="120" w:line="360" w:lineRule="auto"/>
      </w:pPr>
      <w:r>
        <w:rPr>
          <w:rFonts w:ascii="Times New Roman" w:hAnsi="Times New Roman" w:eastAsia="Times New Roman"/>
          <w:b/>
          <w:sz w:val="24"/>
        </w:rPr>
        <w:t>Study Selection</w:t>
      </w:r>
    </w:p>
    <w:p>
      <w:pPr>
        <w:spacing w:line="360" w:lineRule="auto" w:after="120"/>
        <w:jc w:val="both"/>
      </w:pPr>
      <w:r>
        <w:rPr>
          <w:rFonts w:ascii="Times New Roman" w:hAnsi="Times New Roman"/>
          <w:sz w:val="24"/>
        </w:rPr>
        <w:t>The article selection process followed the PRISMA 2020 guideline (15). A total of 378 articles were identified from three databases: 124 from PubMed/MEDLINE, 156 from Scopus, and 98 from Web of Science. After removing 5 duplicate records, 373 articles were screened by title and abstract. A total of 291 articles were excluded during screening. The remaining 82 articles were assessed in full text, and 70 articles were excluded for specific reasons. Finally, 12 studies met the inclusion criteria and were included in the qualitative and quantitative synthesis. The 12 included studies involved a total of 7,335,538 participants across different study designs and data sources. The PRISMA flow diagram is shown in Figure 1.</w:t>
      </w:r>
    </w:p>
    <w:p>
      <w:pPr>
        <w:spacing w:before="120" w:after="120" w:line="360" w:lineRule="auto"/>
        <w:jc w:val="center"/>
      </w:pPr>
      <w:r>
        <w:rPr>
          <w:rFonts w:ascii="Times New Roman" w:hAnsi="Times New Roman" w:eastAsia="Times New Roman"/>
          <w:b/>
          <w:sz w:val="24"/>
        </w:rPr>
        <w:t>Figure 1: PRISMA flow diagram of study selection.</w:t>
      </w:r>
    </w:p>
    <w:p>
      <w:pPr>
        <w:spacing w:line="360" w:lineRule="auto" w:after="120"/>
        <w:jc w:val="center"/>
      </w:pPr>
      <w:r>
        <w:rPr>
          <w:rFonts w:ascii="Times New Roman" w:hAnsi="Times New Roman" w:eastAsia="Times New Roman"/>
          <w:sz w:val="24"/>
        </w:rPr>
        <w:drawing>
          <wp:inline xmlns:a="http://schemas.openxmlformats.org/drawingml/2006/main" xmlns:pic="http://schemas.openxmlformats.org/drawingml/2006/picture">
            <wp:extent cx="5029200" cy="4039717"/>
            <wp:docPr id="1" name="Picture 1"/>
            <wp:cNvGraphicFramePr>
              <a:graphicFrameLocks noChangeAspect="1"/>
            </wp:cNvGraphicFramePr>
            <a:graphic>
              <a:graphicData uri="http://schemas.openxmlformats.org/drawingml/2006/picture">
                <pic:pic>
                  <pic:nvPicPr>
                    <pic:cNvPr id="0" name="PRISMA_Figure_1200dpi_for_docx.png"/>
                    <pic:cNvPicPr/>
                  </pic:nvPicPr>
                  <pic:blipFill>
                    <a:blip r:embed="rId9"/>
                    <a:stretch>
                      <a:fillRect/>
                    </a:stretch>
                  </pic:blipFill>
                  <pic:spPr>
                    <a:xfrm>
                      <a:off x="0" y="0"/>
                      <a:ext cx="5029200" cy="4039717"/>
                    </a:xfrm>
                    <a:prstGeom prst="rect"/>
                  </pic:spPr>
                </pic:pic>
              </a:graphicData>
            </a:graphic>
          </wp:inline>
        </w:drawing>
      </w:r>
    </w:p>
    <w:p>
      <w:pPr>
        <w:spacing w:after="120" w:before="0" w:line="360" w:lineRule="auto"/>
        <w:jc w:val="center"/>
      </w:pPr>
      <w:r>
        <w:rPr>
          <w:rFonts w:ascii="Times New Roman" w:hAnsi="Times New Roman" w:eastAsia="Times New Roman"/>
          <w:b w:val="0"/>
          <w:i/>
          <w:sz w:val="24"/>
        </w:rPr>
        <w:t>The diagram shows the identification, screening, eligibility assessment, and inclusion process of articles in this systematic review and meta-analysis.</w:t>
      </w:r>
    </w:p>
    <w:p>
      <w:pPr>
        <w:pStyle w:val="Heading2"/>
        <w:spacing w:before="120" w:after="120" w:line="360" w:lineRule="auto"/>
      </w:pPr>
      <w:r>
        <w:rPr>
          <w:rFonts w:ascii="Times New Roman" w:hAnsi="Times New Roman" w:eastAsia="Times New Roman"/>
          <w:b/>
          <w:sz w:val="24"/>
        </w:rPr>
        <w:t>Characteristics of the Included Studies</w:t>
      </w:r>
    </w:p>
    <w:p>
      <w:pPr>
        <w:spacing w:line="360" w:lineRule="auto" w:after="120"/>
        <w:jc w:val="both"/>
      </w:pPr>
      <w:r>
        <w:rPr>
          <w:rFonts w:ascii="Times New Roman" w:hAnsi="Times New Roman"/>
          <w:sz w:val="24"/>
        </w:rPr>
        <w:t>The 12 included studies were published between 2017 and 2025. The highest number of publications appeared in 2017 and 2025, with three studies in each year. Based on country or data source, Taiwan, South Korea, and the United States were the most common sources, each contributing three studies. Other studies were conducted in Mexico, Japan, and Spain. The included studies consisted of cohort or population-based cohort studies and cross-sectional or observational analytical studies. Six studies used cohort or population-based cohort designs, while six studies used cross-sectional or observational analytical designs. The most frequently examined outcomes were cognitive impairment, mild cognitive impairment, and amyloid pathology. Dementia, Alzheimer disease, and vascular dementia were also reported, while Parkinson disease was examined in one study. The main statistical measures were hazard ratio or adjusted hazard ratio, odds ratio or adjusted odds ratio, and beta coefficient with p-value. The characteristics of the included studies are described narratively and in the study summary table.</w:t>
      </w:r>
    </w:p>
    <w:p>
      <w:pPr>
        <w:spacing w:before="160" w:after="120" w:line="360" w:lineRule="auto"/>
        <w:jc w:val="left"/>
      </w:pPr>
      <w:r>
        <w:rPr>
          <w:rFonts w:ascii="Times New Roman" w:hAnsi="Times New Roman" w:eastAsia="Times New Roman"/>
          <w:b/>
          <w:sz w:val="24"/>
        </w:rPr>
        <w:t>Table 3: Summary of studies on the association of periodontitis with cognitive impairment and neurodegenerative disease.</w:t>
      </w:r>
    </w:p>
    <w:tbl>
      <w:tblPr>
        <w:tblStyle w:val="TableGrid"/>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68"/>
        <w:gridCol w:w="1568"/>
        <w:gridCol w:w="1568"/>
        <w:gridCol w:w="1568"/>
        <w:gridCol w:w="1568"/>
        <w:gridCol w:w="1568"/>
      </w:tblGrid>
      <w:tr>
        <w:trPr>
          <w:tblHeader w:val="true"/>
        </w:trPr>
        <w:tc>
          <w:tcPr>
            <w:tcW w:type="dxa" w:w="1568"/>
            <w:vAlign w:val="top"/>
            <w:shd w:fill="D9EAF7"/>
          </w:tcPr>
          <w:p>
            <w:pPr>
              <w:spacing w:after="40" w:line="240" w:lineRule="auto"/>
            </w:pPr>
            <w:r>
              <w:rPr>
                <w:rFonts w:ascii="Times New Roman" w:hAnsi="Times New Roman" w:eastAsia="Times New Roman"/>
                <w:b/>
                <w:sz w:val="18"/>
              </w:rPr>
              <w:t>No.</w:t>
            </w:r>
          </w:p>
        </w:tc>
        <w:tc>
          <w:tcPr>
            <w:tcW w:type="dxa" w:w="1568"/>
            <w:vAlign w:val="top"/>
            <w:shd w:fill="D9EAF7"/>
          </w:tcPr>
          <w:p>
            <w:pPr>
              <w:spacing w:after="40" w:line="240" w:lineRule="auto"/>
            </w:pPr>
            <w:r>
              <w:rPr>
                <w:rFonts w:ascii="Times New Roman" w:hAnsi="Times New Roman" w:eastAsia="Times New Roman"/>
                <w:b/>
                <w:sz w:val="18"/>
              </w:rPr>
              <w:t>Author(s) (Year)</w:t>
            </w:r>
          </w:p>
        </w:tc>
        <w:tc>
          <w:tcPr>
            <w:tcW w:type="dxa" w:w="1568"/>
            <w:vAlign w:val="top"/>
            <w:shd w:fill="D9EAF7"/>
          </w:tcPr>
          <w:p>
            <w:pPr>
              <w:spacing w:after="40" w:line="240" w:lineRule="auto"/>
            </w:pPr>
            <w:r>
              <w:rPr>
                <w:rFonts w:ascii="Times New Roman" w:hAnsi="Times New Roman" w:eastAsia="Times New Roman"/>
                <w:b/>
                <w:sz w:val="18"/>
              </w:rPr>
              <w:t>Objective</w:t>
            </w:r>
          </w:p>
        </w:tc>
        <w:tc>
          <w:tcPr>
            <w:tcW w:type="dxa" w:w="1568"/>
            <w:vAlign w:val="top"/>
            <w:shd w:fill="D9EAF7"/>
          </w:tcPr>
          <w:p>
            <w:pPr>
              <w:spacing w:after="40" w:line="240" w:lineRule="auto"/>
            </w:pPr>
            <w:r>
              <w:rPr>
                <w:rFonts w:ascii="Times New Roman" w:hAnsi="Times New Roman" w:eastAsia="Times New Roman"/>
                <w:b/>
                <w:sz w:val="18"/>
              </w:rPr>
              <w:t>Method</w:t>
            </w:r>
          </w:p>
        </w:tc>
        <w:tc>
          <w:tcPr>
            <w:tcW w:type="dxa" w:w="1568"/>
            <w:vAlign w:val="top"/>
            <w:shd w:fill="D9EAF7"/>
          </w:tcPr>
          <w:p>
            <w:pPr>
              <w:spacing w:after="40" w:line="240" w:lineRule="auto"/>
            </w:pPr>
            <w:r>
              <w:rPr>
                <w:rFonts w:ascii="Times New Roman" w:hAnsi="Times New Roman" w:eastAsia="Times New Roman"/>
                <w:b/>
                <w:sz w:val="18"/>
              </w:rPr>
              <w:t>Results</w:t>
            </w:r>
          </w:p>
        </w:tc>
        <w:tc>
          <w:tcPr>
            <w:tcW w:type="dxa" w:w="1568"/>
            <w:vAlign w:val="top"/>
            <w:shd w:fill="D9EAF7"/>
          </w:tcPr>
          <w:p>
            <w:pPr>
              <w:spacing w:after="40" w:line="240" w:lineRule="auto"/>
            </w:pPr>
            <w:r>
              <w:rPr>
                <w:rFonts w:ascii="Times New Roman" w:hAnsi="Times New Roman" w:eastAsia="Times New Roman"/>
                <w:b/>
                <w:sz w:val="18"/>
              </w:rPr>
              <w:t>Conclusion</w:t>
            </w:r>
          </w:p>
        </w:tc>
      </w:tr>
      <w:tr>
        <w:tc>
          <w:tcPr>
            <w:tcW w:type="dxa" w:w="1568"/>
            <w:vAlign w:val="top"/>
          </w:tcPr>
          <w:p>
            <w:pPr>
              <w:spacing w:after="40" w:line="240" w:lineRule="auto"/>
            </w:pPr>
            <w:r>
              <w:rPr>
                <w:rFonts w:ascii="Times New Roman" w:hAnsi="Times New Roman" w:eastAsia="Times New Roman"/>
                <w:sz w:val="18"/>
              </w:rPr>
              <w:t>1</w:t>
            </w:r>
          </w:p>
        </w:tc>
        <w:tc>
          <w:tcPr>
            <w:tcW w:type="dxa" w:w="1568"/>
            <w:vAlign w:val="top"/>
          </w:tcPr>
          <w:p>
            <w:pPr>
              <w:spacing w:after="40" w:line="240" w:lineRule="auto"/>
            </w:pPr>
            <w:r>
              <w:rPr>
                <w:rFonts w:ascii="Times New Roman" w:hAnsi="Times New Roman" w:eastAsia="Times New Roman"/>
                <w:sz w:val="18"/>
              </w:rPr>
              <w:t>Chen et al. (2017)</w:t>
            </w:r>
          </w:p>
        </w:tc>
        <w:tc>
          <w:tcPr>
            <w:tcW w:type="dxa" w:w="1568"/>
            <w:vAlign w:val="top"/>
          </w:tcPr>
          <w:p>
            <w:pPr>
              <w:spacing w:after="40" w:line="240" w:lineRule="auto"/>
            </w:pPr>
            <w:r>
              <w:rPr>
                <w:rFonts w:ascii="Times New Roman" w:hAnsi="Times New Roman" w:eastAsia="Times New Roman"/>
                <w:sz w:val="18"/>
              </w:rPr>
              <w:t>To analyze the risk of Alzheimer’s disease in patients with chronic periodontitis.</w:t>
            </w:r>
          </w:p>
        </w:tc>
        <w:tc>
          <w:tcPr>
            <w:tcW w:type="dxa" w:w="1568"/>
            <w:vAlign w:val="top"/>
          </w:tcPr>
          <w:p>
            <w:pPr>
              <w:spacing w:after="40" w:line="240" w:lineRule="auto"/>
            </w:pPr>
            <w:r>
              <w:rPr>
                <w:rFonts w:ascii="Times New Roman" w:hAnsi="Times New Roman" w:eastAsia="Times New Roman"/>
                <w:sz w:val="18"/>
              </w:rPr>
              <w:t>A retrospective population-based matched cohort study in Taiwan. The sample consisted of 9,291 patients with chronic periodontitis and 18,672 controls without chronic periodontitis. The analysis used Cox proportional hazards regression.</w:t>
            </w:r>
          </w:p>
        </w:tc>
        <w:tc>
          <w:tcPr>
            <w:tcW w:type="dxa" w:w="1568"/>
            <w:vAlign w:val="top"/>
          </w:tcPr>
          <w:p>
            <w:pPr>
              <w:spacing w:after="40" w:line="240" w:lineRule="auto"/>
            </w:pPr>
            <w:r>
              <w:rPr>
                <w:rFonts w:ascii="Times New Roman" w:hAnsi="Times New Roman" w:eastAsia="Times New Roman"/>
                <w:sz w:val="18"/>
              </w:rPr>
              <w:t>Patients with 10 years of exposure to chronic periodontitis had a higher risk of Alzheimer’s disease than those without chronic periodontitis. The adjusted HR was 1.707; 95% CI = 1.152–2.528; p = 0.0077.</w:t>
            </w:r>
          </w:p>
        </w:tc>
        <w:tc>
          <w:tcPr>
            <w:tcW w:type="dxa" w:w="1568"/>
            <w:vAlign w:val="top"/>
          </w:tcPr>
          <w:p>
            <w:pPr>
              <w:spacing w:after="40" w:line="240" w:lineRule="auto"/>
            </w:pPr>
            <w:r>
              <w:rPr>
                <w:rFonts w:ascii="Times New Roman" w:hAnsi="Times New Roman" w:eastAsia="Times New Roman"/>
                <w:sz w:val="18"/>
              </w:rPr>
              <w:t>Long-term exposure to chronic periodontitis is associated with an increased risk of Alzheimer’s disease. These findings suggest that periodontal status may be relevant to neurodegenerative outcomes, although causality cannot be inferred.</w:t>
            </w:r>
          </w:p>
        </w:tc>
      </w:tr>
      <w:tr>
        <w:tc>
          <w:tcPr>
            <w:tcW w:type="dxa" w:w="1568"/>
            <w:vAlign w:val="top"/>
          </w:tcPr>
          <w:p>
            <w:pPr>
              <w:spacing w:after="40" w:line="240" w:lineRule="auto"/>
            </w:pPr>
            <w:r>
              <w:rPr>
                <w:rFonts w:ascii="Times New Roman" w:hAnsi="Times New Roman" w:eastAsia="Times New Roman"/>
                <w:sz w:val="18"/>
              </w:rPr>
              <w:t>2</w:t>
            </w:r>
          </w:p>
        </w:tc>
        <w:tc>
          <w:tcPr>
            <w:tcW w:type="dxa" w:w="1568"/>
            <w:vAlign w:val="top"/>
          </w:tcPr>
          <w:p>
            <w:pPr>
              <w:spacing w:after="40" w:line="240" w:lineRule="auto"/>
            </w:pPr>
            <w:r>
              <w:rPr>
                <w:rFonts w:ascii="Times New Roman" w:hAnsi="Times New Roman" w:eastAsia="Times New Roman"/>
                <w:sz w:val="18"/>
              </w:rPr>
              <w:t>Y.-T. Lee et al. (2017)</w:t>
            </w:r>
          </w:p>
        </w:tc>
        <w:tc>
          <w:tcPr>
            <w:tcW w:type="dxa" w:w="1568"/>
            <w:vAlign w:val="top"/>
          </w:tcPr>
          <w:p>
            <w:pPr>
              <w:spacing w:after="40" w:line="240" w:lineRule="auto"/>
            </w:pPr>
            <w:r>
              <w:rPr>
                <w:rFonts w:ascii="Times New Roman" w:hAnsi="Times New Roman" w:eastAsia="Times New Roman"/>
                <w:sz w:val="18"/>
              </w:rPr>
              <w:t>To assess whether periodontitis can serve as a modifiable risk factor for incident dementia.</w:t>
            </w:r>
          </w:p>
        </w:tc>
        <w:tc>
          <w:tcPr>
            <w:tcW w:type="dxa" w:w="1568"/>
            <w:vAlign w:val="top"/>
          </w:tcPr>
          <w:p>
            <w:pPr>
              <w:spacing w:after="40" w:line="240" w:lineRule="auto"/>
            </w:pPr>
            <w:r>
              <w:rPr>
                <w:rFonts w:ascii="Times New Roman" w:hAnsi="Times New Roman" w:eastAsia="Times New Roman"/>
                <w:sz w:val="18"/>
              </w:rPr>
              <w:t>A prospective cohort study using the Taiwan National Health Insurance Research Database. The sample consisted of 3,028 older adults with periodontitis and 3,028 age- and sex-matched controls.</w:t>
            </w:r>
          </w:p>
        </w:tc>
        <w:tc>
          <w:tcPr>
            <w:tcW w:type="dxa" w:w="1568"/>
            <w:vAlign w:val="top"/>
          </w:tcPr>
          <w:p>
            <w:pPr>
              <w:spacing w:after="40" w:line="240" w:lineRule="auto"/>
            </w:pPr>
            <w:r>
              <w:rPr>
                <w:rFonts w:ascii="Times New Roman" w:hAnsi="Times New Roman" w:eastAsia="Times New Roman"/>
                <w:sz w:val="18"/>
              </w:rPr>
              <w:t>The risk of dementia was higher in the periodontitis group than in the control group. The HR was 1.16; 95% CI = 1.01–1.32; p = 0.03.</w:t>
            </w:r>
          </w:p>
        </w:tc>
        <w:tc>
          <w:tcPr>
            <w:tcW w:type="dxa" w:w="1568"/>
            <w:vAlign w:val="top"/>
          </w:tcPr>
          <w:p>
            <w:pPr>
              <w:spacing w:after="40" w:line="240" w:lineRule="auto"/>
            </w:pPr>
            <w:r>
              <w:rPr>
                <w:rFonts w:ascii="Times New Roman" w:hAnsi="Times New Roman" w:eastAsia="Times New Roman"/>
                <w:sz w:val="18"/>
              </w:rPr>
              <w:t>Periodontitis is associated with the risk of new-onset dementia. Periodontal infection may be considered a potentially modifiable oral health factor, although preventive effects require further evidence.</w:t>
            </w:r>
          </w:p>
        </w:tc>
      </w:tr>
      <w:tr>
        <w:tc>
          <w:tcPr>
            <w:tcW w:type="dxa" w:w="1568"/>
            <w:vAlign w:val="top"/>
          </w:tcPr>
          <w:p>
            <w:pPr>
              <w:spacing w:after="40" w:line="240" w:lineRule="auto"/>
            </w:pPr>
            <w:r>
              <w:rPr>
                <w:rFonts w:ascii="Times New Roman" w:hAnsi="Times New Roman" w:eastAsia="Times New Roman"/>
                <w:sz w:val="18"/>
              </w:rPr>
              <w:t>3</w:t>
            </w:r>
          </w:p>
        </w:tc>
        <w:tc>
          <w:tcPr>
            <w:tcW w:type="dxa" w:w="1568"/>
            <w:vAlign w:val="top"/>
          </w:tcPr>
          <w:p>
            <w:pPr>
              <w:spacing w:after="40" w:line="240" w:lineRule="auto"/>
            </w:pPr>
            <w:r>
              <w:rPr>
                <w:rFonts w:ascii="Times New Roman" w:hAnsi="Times New Roman" w:eastAsia="Times New Roman"/>
                <w:sz w:val="18"/>
              </w:rPr>
              <w:t>Y.-L. Lee et al. (2017)</w:t>
            </w:r>
          </w:p>
        </w:tc>
        <w:tc>
          <w:tcPr>
            <w:tcW w:type="dxa" w:w="1568"/>
            <w:vAlign w:val="top"/>
          </w:tcPr>
          <w:p>
            <w:pPr>
              <w:spacing w:after="40" w:line="240" w:lineRule="auto"/>
            </w:pPr>
            <w:r>
              <w:rPr>
                <w:rFonts w:ascii="Times New Roman" w:hAnsi="Times New Roman" w:eastAsia="Times New Roman"/>
                <w:sz w:val="18"/>
              </w:rPr>
              <w:t>To assess the magnitude and temporal aspects of the association between periodontal disease and dementia risk.</w:t>
            </w:r>
          </w:p>
        </w:tc>
        <w:tc>
          <w:tcPr>
            <w:tcW w:type="dxa" w:w="1568"/>
            <w:vAlign w:val="top"/>
          </w:tcPr>
          <w:p>
            <w:pPr>
              <w:spacing w:after="40" w:line="240" w:lineRule="auto"/>
            </w:pPr>
            <w:r>
              <w:rPr>
                <w:rFonts w:ascii="Times New Roman" w:hAnsi="Times New Roman" w:eastAsia="Times New Roman"/>
                <w:sz w:val="18"/>
              </w:rPr>
              <w:t>A retrospective cohort study based on the Taiwan National Health Insurance Research Database. The sample included 182,747 individuals with newly diagnosed periodontal disease. The analysis compared dental prophylaxis, intensive periodontal treatment, tooth extraction, and no treatment groups.</w:t>
            </w:r>
          </w:p>
        </w:tc>
        <w:tc>
          <w:tcPr>
            <w:tcW w:type="dxa" w:w="1568"/>
            <w:vAlign w:val="top"/>
          </w:tcPr>
          <w:p>
            <w:pPr>
              <w:spacing w:after="40" w:line="240" w:lineRule="auto"/>
            </w:pPr>
            <w:r>
              <w:rPr>
                <w:rFonts w:ascii="Times New Roman" w:hAnsi="Times New Roman" w:eastAsia="Times New Roman"/>
                <w:sz w:val="18"/>
              </w:rPr>
              <w:t>The incidence of dementia was higher in the untreated periodontal disease group at 0.76% per year and in the tooth extraction group at 0.57% per year. The untreated group had an HR of 1.14; 95% CI = 1.04–1.24. The tooth extraction group had an HR of 1.10; 95% CI = 1.04–1.16. Differences in incidence between groups were significant, with p &lt; 0.001.</w:t>
            </w:r>
          </w:p>
        </w:tc>
        <w:tc>
          <w:tcPr>
            <w:tcW w:type="dxa" w:w="1568"/>
            <w:vAlign w:val="top"/>
          </w:tcPr>
          <w:p>
            <w:pPr>
              <w:spacing w:after="40" w:line="240" w:lineRule="auto"/>
            </w:pPr>
            <w:r>
              <w:rPr>
                <w:rFonts w:ascii="Times New Roman" w:hAnsi="Times New Roman" w:eastAsia="Times New Roman"/>
                <w:sz w:val="18"/>
              </w:rPr>
              <w:t>More severe or untreated periodontal disease is associated with a higher risk of dementia. Periodontal treatment status may be related to differences in dementia incidence, although causality cannot be inferred.</w:t>
            </w:r>
          </w:p>
        </w:tc>
      </w:tr>
      <w:tr>
        <w:tc>
          <w:tcPr>
            <w:tcW w:type="dxa" w:w="1568"/>
            <w:vAlign w:val="top"/>
          </w:tcPr>
          <w:p>
            <w:pPr>
              <w:spacing w:after="40" w:line="240" w:lineRule="auto"/>
            </w:pPr>
            <w:r>
              <w:rPr>
                <w:rFonts w:ascii="Times New Roman" w:hAnsi="Times New Roman" w:eastAsia="Times New Roman"/>
                <w:sz w:val="18"/>
              </w:rPr>
              <w:t>4</w:t>
            </w:r>
          </w:p>
        </w:tc>
        <w:tc>
          <w:tcPr>
            <w:tcW w:type="dxa" w:w="1568"/>
            <w:vAlign w:val="top"/>
          </w:tcPr>
          <w:p>
            <w:pPr>
              <w:spacing w:after="40" w:line="240" w:lineRule="auto"/>
            </w:pPr>
            <w:r>
              <w:rPr>
                <w:rFonts w:ascii="Times New Roman" w:hAnsi="Times New Roman" w:eastAsia="Times New Roman"/>
                <w:sz w:val="18"/>
              </w:rPr>
              <w:t>Choi et al. (2019)</w:t>
            </w:r>
          </w:p>
        </w:tc>
        <w:tc>
          <w:tcPr>
            <w:tcW w:type="dxa" w:w="1568"/>
            <w:vAlign w:val="top"/>
          </w:tcPr>
          <w:p>
            <w:pPr>
              <w:spacing w:after="40" w:line="240" w:lineRule="auto"/>
            </w:pPr>
            <w:r>
              <w:rPr>
                <w:rFonts w:ascii="Times New Roman" w:hAnsi="Times New Roman" w:eastAsia="Times New Roman"/>
                <w:sz w:val="18"/>
              </w:rPr>
              <w:t>To analyze the association between chronic periodontitis and overall dementia, Alzheimer’s disease, and vascular dementia.</w:t>
            </w:r>
          </w:p>
        </w:tc>
        <w:tc>
          <w:tcPr>
            <w:tcW w:type="dxa" w:w="1568"/>
            <w:vAlign w:val="top"/>
          </w:tcPr>
          <w:p>
            <w:pPr>
              <w:spacing w:after="40" w:line="240" w:lineRule="auto"/>
            </w:pPr>
            <w:r>
              <w:rPr>
                <w:rFonts w:ascii="Times New Roman" w:hAnsi="Times New Roman" w:eastAsia="Times New Roman"/>
                <w:sz w:val="18"/>
              </w:rPr>
              <w:t>A retrospective cohort study based on the Korean National Health Insurance Service-Health Screening Cohort. The sample consisted of 262,349 participants. The analysis used Cox proportional hazards regression.</w:t>
            </w:r>
          </w:p>
        </w:tc>
        <w:tc>
          <w:tcPr>
            <w:tcW w:type="dxa" w:w="1568"/>
            <w:vAlign w:val="top"/>
          </w:tcPr>
          <w:p>
            <w:pPr>
              <w:spacing w:after="40" w:line="240" w:lineRule="auto"/>
            </w:pPr>
            <w:r>
              <w:rPr>
                <w:rFonts w:ascii="Times New Roman" w:hAnsi="Times New Roman" w:eastAsia="Times New Roman"/>
                <w:sz w:val="18"/>
              </w:rPr>
              <w:t>Chronic periodontitis was associated with an increased risk of overall dementia, with an aHR of 1.06; 95% CI = 1.01–1.11; p = 0.015. The risk of Alzheimer’s disease also increased, with an aHR of 1.05; 95% CI = 1.00–1.11; p = 0.042. The risk of vascular dementia increased but was not statistically significant, with an aHR of 1.10; 95% CI = 0.98–1.22; p = 0.088.</w:t>
            </w:r>
          </w:p>
        </w:tc>
        <w:tc>
          <w:tcPr>
            <w:tcW w:type="dxa" w:w="1568"/>
            <w:vAlign w:val="top"/>
          </w:tcPr>
          <w:p>
            <w:pPr>
              <w:spacing w:after="40" w:line="240" w:lineRule="auto"/>
            </w:pPr>
            <w:r>
              <w:rPr>
                <w:rFonts w:ascii="Times New Roman" w:hAnsi="Times New Roman" w:eastAsia="Times New Roman"/>
                <w:sz w:val="18"/>
              </w:rPr>
              <w:t>Chronic periodontitis is associated with a higher risk of dementia and Alzheimer’s disease. The association with vascular dementia appears to increase but is not statistically significant.</w:t>
            </w:r>
          </w:p>
        </w:tc>
      </w:tr>
      <w:tr>
        <w:tc>
          <w:tcPr>
            <w:tcW w:type="dxa" w:w="1568"/>
            <w:vAlign w:val="top"/>
          </w:tcPr>
          <w:p>
            <w:pPr>
              <w:spacing w:after="40" w:line="240" w:lineRule="auto"/>
            </w:pPr>
            <w:r>
              <w:rPr>
                <w:rFonts w:ascii="Times New Roman" w:hAnsi="Times New Roman" w:eastAsia="Times New Roman"/>
                <w:sz w:val="18"/>
              </w:rPr>
              <w:t>5</w:t>
            </w:r>
          </w:p>
        </w:tc>
        <w:tc>
          <w:tcPr>
            <w:tcW w:type="dxa" w:w="1568"/>
            <w:vAlign w:val="top"/>
          </w:tcPr>
          <w:p>
            <w:pPr>
              <w:spacing w:after="40" w:line="240" w:lineRule="auto"/>
            </w:pPr>
            <w:r>
              <w:rPr>
                <w:rFonts w:ascii="Times New Roman" w:hAnsi="Times New Roman" w:eastAsia="Times New Roman"/>
                <w:sz w:val="18"/>
              </w:rPr>
              <w:t>Sung et al. (2019)</w:t>
            </w:r>
          </w:p>
        </w:tc>
        <w:tc>
          <w:tcPr>
            <w:tcW w:type="dxa" w:w="1568"/>
            <w:vAlign w:val="top"/>
          </w:tcPr>
          <w:p>
            <w:pPr>
              <w:spacing w:after="40" w:line="240" w:lineRule="auto"/>
            </w:pPr>
            <w:r>
              <w:rPr>
                <w:rFonts w:ascii="Times New Roman" w:hAnsi="Times New Roman" w:eastAsia="Times New Roman"/>
                <w:sz w:val="18"/>
              </w:rPr>
              <w:t>To analyze the association between periodontitis and impaired cognitive function in the adult population of the United States.</w:t>
            </w:r>
          </w:p>
        </w:tc>
        <w:tc>
          <w:tcPr>
            <w:tcW w:type="dxa" w:w="1568"/>
            <w:vAlign w:val="top"/>
          </w:tcPr>
          <w:p>
            <w:pPr>
              <w:spacing w:after="40" w:line="240" w:lineRule="auto"/>
            </w:pPr>
            <w:r>
              <w:rPr>
                <w:rFonts w:ascii="Times New Roman" w:hAnsi="Times New Roman" w:eastAsia="Times New Roman"/>
                <w:sz w:val="18"/>
              </w:rPr>
              <w:t>A cross-sectional study using NHANES III. The sample consisted of 4,663 participants aged 20–59 years. Periodontitis status was categorized as normal, mild, moderate, and severe. Cognitive function was assessed using SRTT, SDST, and SDLT.</w:t>
            </w:r>
          </w:p>
        </w:tc>
        <w:tc>
          <w:tcPr>
            <w:tcW w:type="dxa" w:w="1568"/>
            <w:vAlign w:val="top"/>
          </w:tcPr>
          <w:p>
            <w:pPr>
              <w:spacing w:after="40" w:line="240" w:lineRule="auto"/>
            </w:pPr>
            <w:r>
              <w:rPr>
                <w:rFonts w:ascii="Times New Roman" w:hAnsi="Times New Roman" w:eastAsia="Times New Roman"/>
                <w:sz w:val="18"/>
              </w:rPr>
              <w:t>After adjustment for demographic factors, education, smoking, cardiovascular disease, and laboratory data, periodontitis was significantly associated with increased SDST and SDLT scores. The p for trend was 0.014 for SDST and 0.038 for SDLT. In the fully adjusted model, moderate-to-severe periodontitis was associated with the SDLT total score, with β = 0.146; 95% CI = 0.010–0.282; p = 0.036.</w:t>
            </w:r>
          </w:p>
        </w:tc>
        <w:tc>
          <w:tcPr>
            <w:tcW w:type="dxa" w:w="1568"/>
            <w:vAlign w:val="top"/>
          </w:tcPr>
          <w:p>
            <w:pPr>
              <w:spacing w:after="40" w:line="240" w:lineRule="auto"/>
            </w:pPr>
            <w:r>
              <w:rPr>
                <w:rFonts w:ascii="Times New Roman" w:hAnsi="Times New Roman" w:eastAsia="Times New Roman"/>
                <w:sz w:val="18"/>
              </w:rPr>
              <w:t>Periodontal status is associated with reduced cognitive function in a national adult sample. Individuals with cognitive impairment require attention in periodontal care.</w:t>
            </w:r>
          </w:p>
        </w:tc>
      </w:tr>
      <w:tr>
        <w:tc>
          <w:tcPr>
            <w:tcW w:type="dxa" w:w="1568"/>
            <w:vAlign w:val="top"/>
          </w:tcPr>
          <w:p>
            <w:pPr>
              <w:spacing w:after="40" w:line="240" w:lineRule="auto"/>
            </w:pPr>
            <w:r>
              <w:rPr>
                <w:rFonts w:ascii="Times New Roman" w:hAnsi="Times New Roman" w:eastAsia="Times New Roman"/>
                <w:sz w:val="18"/>
              </w:rPr>
              <w:t>6</w:t>
            </w:r>
          </w:p>
        </w:tc>
        <w:tc>
          <w:tcPr>
            <w:tcW w:type="dxa" w:w="1568"/>
            <w:vAlign w:val="top"/>
          </w:tcPr>
          <w:p>
            <w:pPr>
              <w:spacing w:after="40" w:line="240" w:lineRule="auto"/>
            </w:pPr>
            <w:r>
              <w:rPr>
                <w:rFonts w:ascii="Times New Roman" w:hAnsi="Times New Roman" w:eastAsia="Times New Roman"/>
                <w:sz w:val="18"/>
              </w:rPr>
              <w:t>Jeong et al. (2021)</w:t>
            </w:r>
          </w:p>
        </w:tc>
        <w:tc>
          <w:tcPr>
            <w:tcW w:type="dxa" w:w="1568"/>
            <w:vAlign w:val="top"/>
          </w:tcPr>
          <w:p>
            <w:pPr>
              <w:spacing w:after="40" w:line="240" w:lineRule="auto"/>
            </w:pPr>
            <w:r>
              <w:rPr>
                <w:rFonts w:ascii="Times New Roman" w:hAnsi="Times New Roman" w:eastAsia="Times New Roman"/>
                <w:sz w:val="18"/>
              </w:rPr>
              <w:t>To evaluate the association between periodontitis and the risk of Parkinson’s disease.</w:t>
            </w:r>
          </w:p>
        </w:tc>
        <w:tc>
          <w:tcPr>
            <w:tcW w:type="dxa" w:w="1568"/>
            <w:vAlign w:val="top"/>
          </w:tcPr>
          <w:p>
            <w:pPr>
              <w:spacing w:after="40" w:line="240" w:lineRule="auto"/>
            </w:pPr>
            <w:r>
              <w:rPr>
                <w:rFonts w:ascii="Times New Roman" w:hAnsi="Times New Roman" w:eastAsia="Times New Roman"/>
                <w:sz w:val="18"/>
              </w:rPr>
              <w:t>A nationwide retrospective cohort study using data from the South Korean National Health Insurance Service. The final sample consisted of 6,825,684 participants aged ≥40 years. The analysis used the Cox proportional hazards model.</w:t>
            </w:r>
          </w:p>
        </w:tc>
        <w:tc>
          <w:tcPr>
            <w:tcW w:type="dxa" w:w="1568"/>
            <w:vAlign w:val="top"/>
          </w:tcPr>
          <w:p>
            <w:pPr>
              <w:spacing w:after="40" w:line="240" w:lineRule="auto"/>
            </w:pPr>
            <w:r>
              <w:rPr>
                <w:rFonts w:ascii="Times New Roman" w:hAnsi="Times New Roman" w:eastAsia="Times New Roman"/>
                <w:sz w:val="18"/>
              </w:rPr>
              <w:t>The risk of Parkinson’s disease increased among individuals requiring further dental visits, with an HR of 1.142; 95% CI = 1.094–1.193. The group with periodontitis and a need for further dental visits had the highest risk, with an HR of 1.167; 95% CI = 1.118–1.219.</w:t>
            </w:r>
          </w:p>
        </w:tc>
        <w:tc>
          <w:tcPr>
            <w:tcW w:type="dxa" w:w="1568"/>
            <w:vAlign w:val="top"/>
          </w:tcPr>
          <w:p>
            <w:pPr>
              <w:spacing w:after="40" w:line="240" w:lineRule="auto"/>
            </w:pPr>
            <w:r>
              <w:rPr>
                <w:rFonts w:ascii="Times New Roman" w:hAnsi="Times New Roman" w:eastAsia="Times New Roman"/>
                <w:sz w:val="18"/>
              </w:rPr>
              <w:t>Periodontitis is associated with an increased risk of Parkinson’s disease. Regular dental and periodontal care may be relevant to broader health management, although its effect on neurodegenerative disease risk remains unconfirmed.</w:t>
            </w:r>
          </w:p>
        </w:tc>
      </w:tr>
      <w:tr>
        <w:tc>
          <w:tcPr>
            <w:tcW w:type="dxa" w:w="1568"/>
            <w:vAlign w:val="top"/>
          </w:tcPr>
          <w:p>
            <w:pPr>
              <w:spacing w:after="40" w:line="240" w:lineRule="auto"/>
            </w:pPr>
            <w:r>
              <w:rPr>
                <w:rFonts w:ascii="Times New Roman" w:hAnsi="Times New Roman" w:eastAsia="Times New Roman"/>
                <w:sz w:val="18"/>
              </w:rPr>
              <w:t>7</w:t>
            </w:r>
          </w:p>
        </w:tc>
        <w:tc>
          <w:tcPr>
            <w:tcW w:type="dxa" w:w="1568"/>
            <w:vAlign w:val="top"/>
          </w:tcPr>
          <w:p>
            <w:pPr>
              <w:spacing w:after="40" w:line="240" w:lineRule="auto"/>
            </w:pPr>
            <w:r>
              <w:rPr>
                <w:rFonts w:ascii="Times New Roman" w:hAnsi="Times New Roman" w:eastAsia="Times New Roman"/>
                <w:sz w:val="18"/>
              </w:rPr>
              <w:t>Kim et al, (2022)</w:t>
            </w:r>
          </w:p>
        </w:tc>
        <w:tc>
          <w:tcPr>
            <w:tcW w:type="dxa" w:w="1568"/>
            <w:vAlign w:val="top"/>
          </w:tcPr>
          <w:p>
            <w:pPr>
              <w:spacing w:after="40" w:line="240" w:lineRule="auto"/>
            </w:pPr>
            <w:r>
              <w:rPr>
                <w:rFonts w:ascii="Times New Roman" w:hAnsi="Times New Roman" w:eastAsia="Times New Roman"/>
                <w:sz w:val="18"/>
              </w:rPr>
              <w:t>To analyze the risk of dementia among older adults with chronic periodontitis according to the severity of periodontitis.</w:t>
            </w:r>
          </w:p>
        </w:tc>
        <w:tc>
          <w:tcPr>
            <w:tcW w:type="dxa" w:w="1568"/>
            <w:vAlign w:val="top"/>
          </w:tcPr>
          <w:p>
            <w:pPr>
              <w:spacing w:after="40" w:line="240" w:lineRule="auto"/>
            </w:pPr>
            <w:r>
              <w:rPr>
                <w:rFonts w:ascii="Times New Roman" w:hAnsi="Times New Roman" w:eastAsia="Times New Roman"/>
                <w:sz w:val="18"/>
              </w:rPr>
              <w:t>A nationwide retrospective cohort study based on the South Korean National Health Insurance Service-Senior cohort database. After propensity score matching, there were 8,624 patients with mild chronic periodontitis and 8,624 patients with severe chronic periodontitis.</w:t>
            </w:r>
          </w:p>
        </w:tc>
        <w:tc>
          <w:tcPr>
            <w:tcW w:type="dxa" w:w="1568"/>
            <w:vAlign w:val="top"/>
          </w:tcPr>
          <w:p>
            <w:pPr>
              <w:spacing w:after="40" w:line="240" w:lineRule="auto"/>
            </w:pPr>
            <w:r>
              <w:rPr>
                <w:rFonts w:ascii="Times New Roman" w:hAnsi="Times New Roman" w:eastAsia="Times New Roman"/>
                <w:sz w:val="18"/>
              </w:rPr>
              <w:t>The severe chronic periodontitis group had a higher risk of dementia than the mild chronic periodontitis group. The HR was 1.15; 95% CI = 1.04–1.27; p = 0.009. Kaplan-Meier analysis showed a lower disease-free probability in the severe chronic periodontitis group, with p for log-rank = 0.001.</w:t>
            </w:r>
          </w:p>
        </w:tc>
        <w:tc>
          <w:tcPr>
            <w:tcW w:type="dxa" w:w="1568"/>
            <w:vAlign w:val="top"/>
          </w:tcPr>
          <w:p>
            <w:pPr>
              <w:spacing w:after="40" w:line="240" w:lineRule="auto"/>
            </w:pPr>
            <w:r>
              <w:rPr>
                <w:rFonts w:ascii="Times New Roman" w:hAnsi="Times New Roman" w:eastAsia="Times New Roman"/>
                <w:sz w:val="18"/>
              </w:rPr>
              <w:t>The severity of chronic periodontitis is associated with an increased risk of dementia. Management of periodontitis from the mild stage may be clinically relevant, although its role in altering dementia risk requires further study.</w:t>
            </w:r>
          </w:p>
        </w:tc>
      </w:tr>
      <w:tr>
        <w:tc>
          <w:tcPr>
            <w:tcW w:type="dxa" w:w="1568"/>
            <w:vAlign w:val="top"/>
          </w:tcPr>
          <w:p>
            <w:pPr>
              <w:spacing w:after="40" w:line="240" w:lineRule="auto"/>
            </w:pPr>
            <w:r>
              <w:rPr>
                <w:rFonts w:ascii="Times New Roman" w:hAnsi="Times New Roman" w:eastAsia="Times New Roman"/>
                <w:sz w:val="18"/>
              </w:rPr>
              <w:t>8</w:t>
            </w:r>
          </w:p>
        </w:tc>
        <w:tc>
          <w:tcPr>
            <w:tcW w:type="dxa" w:w="1568"/>
            <w:vAlign w:val="top"/>
          </w:tcPr>
          <w:p>
            <w:pPr>
              <w:spacing w:after="40" w:line="240" w:lineRule="auto"/>
            </w:pPr>
            <w:r>
              <w:rPr>
                <w:rFonts w:ascii="Times New Roman" w:hAnsi="Times New Roman" w:eastAsia="Times New Roman"/>
                <w:sz w:val="18"/>
              </w:rPr>
              <w:t>Luo et al. (2023)</w:t>
            </w:r>
          </w:p>
        </w:tc>
        <w:tc>
          <w:tcPr>
            <w:tcW w:type="dxa" w:w="1568"/>
            <w:vAlign w:val="top"/>
          </w:tcPr>
          <w:p>
            <w:pPr>
              <w:spacing w:after="40" w:line="240" w:lineRule="auto"/>
            </w:pPr>
            <w:r>
              <w:rPr>
                <w:rFonts w:ascii="Times New Roman" w:hAnsi="Times New Roman" w:eastAsia="Times New Roman"/>
                <w:sz w:val="18"/>
              </w:rPr>
              <w:t>To assess the association of tooth loss and periodontal disease with mild cognitive impairment among Hispanic/Latino immigrants and to examine the role of age at immigration.</w:t>
            </w:r>
          </w:p>
        </w:tc>
        <w:tc>
          <w:tcPr>
            <w:tcW w:type="dxa" w:w="1568"/>
            <w:vAlign w:val="top"/>
          </w:tcPr>
          <w:p>
            <w:pPr>
              <w:spacing w:after="40" w:line="240" w:lineRule="auto"/>
            </w:pPr>
            <w:r>
              <w:rPr>
                <w:rFonts w:ascii="Times New Roman" w:hAnsi="Times New Roman" w:eastAsia="Times New Roman"/>
                <w:sz w:val="18"/>
              </w:rPr>
              <w:t>An observational study using data from the Hispanic Community Health Study/Study of Latinos. The analyzed immigrant sample consisted of 5,709 participants. The analysis used adjusted regression models.</w:t>
            </w:r>
          </w:p>
        </w:tc>
        <w:tc>
          <w:tcPr>
            <w:tcW w:type="dxa" w:w="1568"/>
            <w:vAlign w:val="top"/>
          </w:tcPr>
          <w:p>
            <w:pPr>
              <w:spacing w:after="40" w:line="240" w:lineRule="auto"/>
            </w:pPr>
            <w:r>
              <w:rPr>
                <w:rFonts w:ascii="Times New Roman" w:hAnsi="Times New Roman" w:eastAsia="Times New Roman"/>
                <w:sz w:val="18"/>
              </w:rPr>
              <w:t>Severe tooth loss was associated with MCI, with an AOR of 1.36; 95% CI = 1.01–1.85. Overall, periodontal disease was associated with MCI, with p = 0.04. Comparisons of mild, moderate, and severe periodontal disease with no periodontal disease were not significant, with all p values &gt; 0.05. The interaction between periodontal disease and age at immigration was also not significant, with p = 0.10.</w:t>
            </w:r>
          </w:p>
        </w:tc>
        <w:tc>
          <w:tcPr>
            <w:tcW w:type="dxa" w:w="1568"/>
            <w:vAlign w:val="top"/>
          </w:tcPr>
          <w:p>
            <w:pPr>
              <w:spacing w:after="40" w:line="240" w:lineRule="auto"/>
            </w:pPr>
            <w:r>
              <w:rPr>
                <w:rFonts w:ascii="Times New Roman" w:hAnsi="Times New Roman" w:eastAsia="Times New Roman"/>
                <w:sz w:val="18"/>
              </w:rPr>
              <w:t>Tooth loss appears to be a stronger oral health indicator of MCI than periodontal disease severity. Periodontal disease still shows a general association with MCI.</w:t>
            </w:r>
          </w:p>
        </w:tc>
      </w:tr>
      <w:tr>
        <w:tc>
          <w:tcPr>
            <w:tcW w:type="dxa" w:w="1568"/>
            <w:vAlign w:val="top"/>
          </w:tcPr>
          <w:p>
            <w:pPr>
              <w:spacing w:after="40" w:line="240" w:lineRule="auto"/>
            </w:pPr>
            <w:r>
              <w:rPr>
                <w:rFonts w:ascii="Times New Roman" w:hAnsi="Times New Roman" w:eastAsia="Times New Roman"/>
                <w:sz w:val="18"/>
              </w:rPr>
              <w:t>9</w:t>
            </w:r>
          </w:p>
        </w:tc>
        <w:tc>
          <w:tcPr>
            <w:tcW w:type="dxa" w:w="1568"/>
            <w:vAlign w:val="top"/>
          </w:tcPr>
          <w:p>
            <w:pPr>
              <w:spacing w:after="40" w:line="240" w:lineRule="auto"/>
            </w:pPr>
            <w:r>
              <w:rPr>
                <w:rFonts w:ascii="Times New Roman" w:hAnsi="Times New Roman" w:eastAsia="Times New Roman"/>
                <w:sz w:val="18"/>
              </w:rPr>
              <w:t>Igase et al. (2024)</w:t>
            </w:r>
          </w:p>
        </w:tc>
        <w:tc>
          <w:tcPr>
            <w:tcW w:type="dxa" w:w="1568"/>
            <w:vAlign w:val="top"/>
          </w:tcPr>
          <w:p>
            <w:pPr>
              <w:spacing w:after="40" w:line="240" w:lineRule="auto"/>
            </w:pPr>
            <w:r>
              <w:rPr>
                <w:rFonts w:ascii="Times New Roman" w:hAnsi="Times New Roman" w:eastAsia="Times New Roman"/>
                <w:sz w:val="18"/>
              </w:rPr>
              <w:t>To examine the association between severe periodontitis and mild cognitive impairment among community residents who underwent dental health examinations.</w:t>
            </w:r>
          </w:p>
        </w:tc>
        <w:tc>
          <w:tcPr>
            <w:tcW w:type="dxa" w:w="1568"/>
            <w:vAlign w:val="top"/>
          </w:tcPr>
          <w:p>
            <w:pPr>
              <w:spacing w:after="40" w:line="240" w:lineRule="auto"/>
            </w:pPr>
            <w:r>
              <w:rPr>
                <w:rFonts w:ascii="Times New Roman" w:hAnsi="Times New Roman" w:eastAsia="Times New Roman"/>
                <w:sz w:val="18"/>
              </w:rPr>
              <w:t>A cross-sectional study involving 321 community participants in Japan. MCI was assessed using the MCI screening test. Periodontitis was diagnosed based on probing pocket depth. The analysis used multivariate logistic regression.</w:t>
            </w:r>
          </w:p>
        </w:tc>
        <w:tc>
          <w:tcPr>
            <w:tcW w:type="dxa" w:w="1568"/>
            <w:vAlign w:val="top"/>
          </w:tcPr>
          <w:p>
            <w:pPr>
              <w:spacing w:after="40" w:line="240" w:lineRule="auto"/>
            </w:pPr>
            <w:r>
              <w:rPr>
                <w:rFonts w:ascii="Times New Roman" w:hAnsi="Times New Roman" w:eastAsia="Times New Roman"/>
                <w:sz w:val="18"/>
              </w:rPr>
              <w:t>MCI was found in 41 subjects. Severe periodontitis was found in 123 subjects. Severe periodontitis was significantly associated with MCI after including age, education, number of functional teeth, and the presence of severe periodontitis. The OR was 4.024; 95% CI = 1.768–9.161; p &lt; 0.001.</w:t>
            </w:r>
          </w:p>
        </w:tc>
        <w:tc>
          <w:tcPr>
            <w:tcW w:type="dxa" w:w="1568"/>
            <w:vAlign w:val="top"/>
          </w:tcPr>
          <w:p>
            <w:pPr>
              <w:spacing w:after="40" w:line="240" w:lineRule="auto"/>
            </w:pPr>
            <w:r>
              <w:rPr>
                <w:rFonts w:ascii="Times New Roman" w:hAnsi="Times New Roman" w:eastAsia="Times New Roman"/>
                <w:sz w:val="18"/>
              </w:rPr>
              <w:t>Severe periodontitis is strongly associated with mild cognitive impairment. Patients with severe periodontitis should be considered for cognitive function screening.</w:t>
            </w:r>
          </w:p>
        </w:tc>
      </w:tr>
      <w:tr>
        <w:tc>
          <w:tcPr>
            <w:tcW w:type="dxa" w:w="1568"/>
            <w:vAlign w:val="top"/>
          </w:tcPr>
          <w:p>
            <w:pPr>
              <w:spacing w:after="40" w:line="240" w:lineRule="auto"/>
            </w:pPr>
            <w:r>
              <w:rPr>
                <w:rFonts w:ascii="Times New Roman" w:hAnsi="Times New Roman" w:eastAsia="Times New Roman"/>
                <w:sz w:val="18"/>
              </w:rPr>
              <w:t>10</w:t>
            </w:r>
          </w:p>
        </w:tc>
        <w:tc>
          <w:tcPr>
            <w:tcW w:type="dxa" w:w="1568"/>
            <w:vAlign w:val="top"/>
          </w:tcPr>
          <w:p>
            <w:pPr>
              <w:spacing w:after="40" w:line="240" w:lineRule="auto"/>
            </w:pPr>
            <w:r>
              <w:rPr>
                <w:rFonts w:ascii="Times New Roman" w:hAnsi="Times New Roman" w:eastAsia="Times New Roman"/>
                <w:sz w:val="18"/>
              </w:rPr>
              <w:t>Gil-Montoya et al. (2025)</w:t>
            </w:r>
          </w:p>
        </w:tc>
        <w:tc>
          <w:tcPr>
            <w:tcW w:type="dxa" w:w="1568"/>
            <w:vAlign w:val="top"/>
          </w:tcPr>
          <w:p>
            <w:pPr>
              <w:spacing w:after="40" w:line="240" w:lineRule="auto"/>
            </w:pPr>
            <w:r>
              <w:rPr>
                <w:rFonts w:ascii="Times New Roman" w:hAnsi="Times New Roman" w:eastAsia="Times New Roman"/>
                <w:sz w:val="18"/>
              </w:rPr>
              <w:t>To assess the association between periodontal disease and brain beta-amyloid accumulation in patients with mild cognitive impairment.</w:t>
            </w:r>
          </w:p>
        </w:tc>
        <w:tc>
          <w:tcPr>
            <w:tcW w:type="dxa" w:w="1568"/>
            <w:vAlign w:val="top"/>
          </w:tcPr>
          <w:p>
            <w:pPr>
              <w:spacing w:after="40" w:line="240" w:lineRule="auto"/>
            </w:pPr>
            <w:r>
              <w:rPr>
                <w:rFonts w:ascii="Times New Roman" w:hAnsi="Times New Roman" w:eastAsia="Times New Roman"/>
                <w:sz w:val="18"/>
              </w:rPr>
              <w:t>An observational study in Spain. All participants underwent periodontal examination and amyloid-PET scanning. The sample consisted of MCI/Aβ+ n = 45, MCI/Aβ− n = 59, and non-MCI/Aβ− n = 60.</w:t>
            </w:r>
          </w:p>
        </w:tc>
        <w:tc>
          <w:tcPr>
            <w:tcW w:type="dxa" w:w="1568"/>
            <w:vAlign w:val="top"/>
          </w:tcPr>
          <w:p>
            <w:pPr>
              <w:spacing w:after="40" w:line="240" w:lineRule="auto"/>
            </w:pPr>
            <w:r>
              <w:rPr>
                <w:rFonts w:ascii="Times New Roman" w:hAnsi="Times New Roman" w:eastAsia="Times New Roman"/>
                <w:sz w:val="18"/>
              </w:rPr>
              <w:t>Patients with moderate-to-severe periodontitis had a higher risk of abnormal Aβ accumulation. The comparison between MCI/Aβ+ and MCI/Aβ− showed OR = 3.30; 95% CI = 1.30–8.26. The comparison between MCI/Aβ+ and non-MCI/Aβ− showed OR = 4.94; 95% CI = 1.65–14.84.</w:t>
            </w:r>
          </w:p>
        </w:tc>
        <w:tc>
          <w:tcPr>
            <w:tcW w:type="dxa" w:w="1568"/>
            <w:vAlign w:val="top"/>
          </w:tcPr>
          <w:p>
            <w:pPr>
              <w:spacing w:after="40" w:line="240" w:lineRule="auto"/>
            </w:pPr>
            <w:r>
              <w:rPr>
                <w:rFonts w:ascii="Times New Roman" w:hAnsi="Times New Roman" w:eastAsia="Times New Roman"/>
                <w:sz w:val="18"/>
              </w:rPr>
              <w:t>Periodontal disease is associated with brain beta-amyloid accumulation. These findings support the suspected link between periodontal disease and Alzheimer’s pathology at the MCI stage.</w:t>
            </w:r>
          </w:p>
        </w:tc>
      </w:tr>
      <w:tr>
        <w:tc>
          <w:tcPr>
            <w:tcW w:type="dxa" w:w="1568"/>
            <w:vAlign w:val="top"/>
          </w:tcPr>
          <w:p>
            <w:pPr>
              <w:spacing w:after="40" w:line="240" w:lineRule="auto"/>
            </w:pPr>
            <w:r>
              <w:rPr>
                <w:rFonts w:ascii="Times New Roman" w:hAnsi="Times New Roman" w:eastAsia="Times New Roman"/>
                <w:sz w:val="18"/>
              </w:rPr>
              <w:t>11</w:t>
            </w:r>
          </w:p>
        </w:tc>
        <w:tc>
          <w:tcPr>
            <w:tcW w:type="dxa" w:w="1568"/>
            <w:vAlign w:val="top"/>
          </w:tcPr>
          <w:p>
            <w:pPr>
              <w:spacing w:after="40" w:line="240" w:lineRule="auto"/>
            </w:pPr>
            <w:r>
              <w:rPr>
                <w:rFonts w:ascii="Times New Roman" w:hAnsi="Times New Roman" w:eastAsia="Times New Roman"/>
                <w:sz w:val="18"/>
              </w:rPr>
              <w:t>Sun &amp; Li (2025)</w:t>
            </w:r>
          </w:p>
        </w:tc>
        <w:tc>
          <w:tcPr>
            <w:tcW w:type="dxa" w:w="1568"/>
            <w:vAlign w:val="top"/>
          </w:tcPr>
          <w:p>
            <w:pPr>
              <w:spacing w:after="40" w:line="240" w:lineRule="auto"/>
            </w:pPr>
            <w:r>
              <w:rPr>
                <w:rFonts w:ascii="Times New Roman" w:hAnsi="Times New Roman" w:eastAsia="Times New Roman"/>
                <w:sz w:val="18"/>
              </w:rPr>
              <w:t>To analyze the association between periodontitis and cognitive impairment among older adults in the United States.</w:t>
            </w:r>
          </w:p>
        </w:tc>
        <w:tc>
          <w:tcPr>
            <w:tcW w:type="dxa" w:w="1568"/>
            <w:vAlign w:val="top"/>
          </w:tcPr>
          <w:p>
            <w:pPr>
              <w:spacing w:after="40" w:line="240" w:lineRule="auto"/>
            </w:pPr>
            <w:r>
              <w:rPr>
                <w:rFonts w:ascii="Times New Roman" w:hAnsi="Times New Roman" w:eastAsia="Times New Roman"/>
                <w:sz w:val="18"/>
              </w:rPr>
              <w:t>A cross-sectional study using NHANES 2011–2014. The sample consisted of 2,514 individuals aged ≥60 years. Periodontitis was categorized as no/mild and moderate/severe. Cognitive function was assessed using CERAD-WL, AFT, and DSST.</w:t>
            </w:r>
          </w:p>
        </w:tc>
        <w:tc>
          <w:tcPr>
            <w:tcW w:type="dxa" w:w="1568"/>
            <w:vAlign w:val="top"/>
          </w:tcPr>
          <w:p>
            <w:pPr>
              <w:spacing w:after="40" w:line="240" w:lineRule="auto"/>
            </w:pPr>
            <w:r>
              <w:rPr>
                <w:rFonts w:ascii="Times New Roman" w:hAnsi="Times New Roman" w:eastAsia="Times New Roman"/>
                <w:sz w:val="18"/>
              </w:rPr>
              <w:t>A total of 52.6% of the sample had moderate/severe periodontitis. Moderate/severe periodontitis was associated with cognitive impairment on the DSST. The fully adjusted model showed OR = 1.290; 95% CI = 1.021–1.630; p = 0.033. Differences in CERAD-WL and DSST scores across periodontal status were significant, with p = 0.046 and p = 0.010.</w:t>
            </w:r>
          </w:p>
        </w:tc>
        <w:tc>
          <w:tcPr>
            <w:tcW w:type="dxa" w:w="1568"/>
            <w:vAlign w:val="top"/>
          </w:tcPr>
          <w:p>
            <w:pPr>
              <w:spacing w:after="40" w:line="240" w:lineRule="auto"/>
            </w:pPr>
            <w:r>
              <w:rPr>
                <w:rFonts w:ascii="Times New Roman" w:hAnsi="Times New Roman" w:eastAsia="Times New Roman"/>
                <w:sz w:val="18"/>
              </w:rPr>
              <w:t>Periodontitis is significantly associated with cognitive impairment among older adults. Periodontal care may be considered within older adult health management, although its effect on cognitive decline requires further study.</w:t>
            </w:r>
          </w:p>
        </w:tc>
      </w:tr>
      <w:tr>
        <w:tc>
          <w:tcPr>
            <w:tcW w:type="dxa" w:w="1568"/>
            <w:vAlign w:val="top"/>
          </w:tcPr>
          <w:p>
            <w:pPr>
              <w:spacing w:after="40" w:line="240" w:lineRule="auto"/>
            </w:pPr>
            <w:r>
              <w:rPr>
                <w:rFonts w:ascii="Times New Roman" w:hAnsi="Times New Roman" w:eastAsia="Times New Roman"/>
                <w:sz w:val="18"/>
              </w:rPr>
              <w:t>12</w:t>
            </w:r>
          </w:p>
        </w:tc>
        <w:tc>
          <w:tcPr>
            <w:tcW w:type="dxa" w:w="1568"/>
            <w:vAlign w:val="top"/>
          </w:tcPr>
          <w:p>
            <w:pPr>
              <w:spacing w:after="40" w:line="240" w:lineRule="auto"/>
            </w:pPr>
            <w:r>
              <w:rPr>
                <w:rFonts w:ascii="Times New Roman" w:hAnsi="Times New Roman" w:eastAsia="Times New Roman"/>
                <w:sz w:val="18"/>
              </w:rPr>
              <w:t>Aranda Romo et al. (2025)</w:t>
            </w:r>
          </w:p>
        </w:tc>
        <w:tc>
          <w:tcPr>
            <w:tcW w:type="dxa" w:w="1568"/>
            <w:vAlign w:val="top"/>
          </w:tcPr>
          <w:p>
            <w:pPr>
              <w:spacing w:after="40" w:line="240" w:lineRule="auto"/>
            </w:pPr>
            <w:r>
              <w:rPr>
                <w:rFonts w:ascii="Times New Roman" w:hAnsi="Times New Roman" w:eastAsia="Times New Roman"/>
                <w:sz w:val="18"/>
              </w:rPr>
              <w:t>To determine the correlation between gingival index, periodontitis staging, and mild cognitive impairment assessed using MoCA in adults aged ≥55 years.</w:t>
            </w:r>
          </w:p>
        </w:tc>
        <w:tc>
          <w:tcPr>
            <w:tcW w:type="dxa" w:w="1568"/>
            <w:vAlign w:val="top"/>
          </w:tcPr>
          <w:p>
            <w:pPr>
              <w:spacing w:after="40" w:line="240" w:lineRule="auto"/>
            </w:pPr>
            <w:r>
              <w:rPr>
                <w:rFonts w:ascii="Times New Roman" w:hAnsi="Times New Roman" w:eastAsia="Times New Roman"/>
                <w:sz w:val="18"/>
              </w:rPr>
              <w:t>A cross-sectional study involving 120 Mexican patients with or without periodontal disease. Periodontal examinations were conducted clinically and radiographically. MCI was assessed using the Montreal Cognitive Assessment.</w:t>
            </w:r>
          </w:p>
        </w:tc>
        <w:tc>
          <w:tcPr>
            <w:tcW w:type="dxa" w:w="1568"/>
            <w:vAlign w:val="top"/>
          </w:tcPr>
          <w:p>
            <w:pPr>
              <w:spacing w:after="40" w:line="240" w:lineRule="auto"/>
            </w:pPr>
            <w:r>
              <w:rPr>
                <w:rFonts w:ascii="Times New Roman" w:hAnsi="Times New Roman" w:eastAsia="Times New Roman"/>
                <w:sz w:val="18"/>
              </w:rPr>
              <w:t>A total of 54% of subjects had MCI. Loss of clinical attachment level was associated with MCI, with OR = 1.68; 95% CI = 1.06–2.68; p = 0.027. Gingival index was also correlated with MCI, with p = 0.025. Other associated variables were sex, with OR = 2.97; p = 0.015, and education, with OR = 0.37; p = 0.021.</w:t>
            </w:r>
          </w:p>
        </w:tc>
        <w:tc>
          <w:tcPr>
            <w:tcW w:type="dxa" w:w="1568"/>
            <w:vAlign w:val="top"/>
          </w:tcPr>
          <w:p>
            <w:pPr>
              <w:spacing w:after="40" w:line="240" w:lineRule="auto"/>
            </w:pPr>
            <w:r>
              <w:rPr>
                <w:rFonts w:ascii="Times New Roman" w:hAnsi="Times New Roman" w:eastAsia="Times New Roman"/>
                <w:sz w:val="18"/>
              </w:rPr>
              <w:t>Gingival and periodontal parameters, particularly clinical attachment loss, are associated with mild cognitive impairment in older adults. Periodontal examination may provide additional information for the early detection of cognitive impairment.</w:t>
            </w:r>
          </w:p>
        </w:tc>
      </w:tr>
    </w:tbl>
    <w:p>
      <w:pPr>
        <w:spacing w:line="360" w:lineRule="auto" w:after="120"/>
      </w:pPr>
    </w:p>
    <w:p>
      <w:pPr>
        <w:pStyle w:val="Heading2"/>
        <w:spacing w:before="120" w:after="120" w:line="360" w:lineRule="auto"/>
      </w:pPr>
      <w:r>
        <w:rPr>
          <w:rFonts w:ascii="Times New Roman" w:hAnsi="Times New Roman" w:eastAsia="Times New Roman"/>
          <w:b/>
          <w:sz w:val="24"/>
        </w:rPr>
        <w:t>Summary of Findings</w:t>
      </w:r>
    </w:p>
    <w:p>
      <w:pPr>
        <w:spacing w:line="360" w:lineRule="auto" w:after="120"/>
        <w:jc w:val="both"/>
      </w:pPr>
      <w:r>
        <w:rPr>
          <w:rFonts w:ascii="Times New Roman" w:hAnsi="Times New Roman"/>
          <w:sz w:val="24"/>
        </w:rPr>
        <w:t>Several included studies reported associations between periodontitis or periodontal disease and cognitive or neurodegenerative outcomes. Cohort studies reported associations between chronic, untreated, or severe periodontitis and dementia or Alzheimer disease (17-20,23). Other observational studies reported associations between periodontal parameters, tooth loss related to periodontal status, mild cognitive impairment, cognitive test performance, amyloid pathology, or Parkinson disease (21,22,24-28). The reported effect sizes varied across studies, ranging from smaller but statistically significant associations in large population-based cohorts to stronger associations in smaller clinical or cross-sectional studies. This variation may reflect differences in study design, sample size, periodontal definitions, outcome measures, adjustment for confounding variables, and data sources. Overall, the direction of findings suggests that periodontitis may be associated with cognitive decline and selected neurodegenerative outcomes, although the magnitude and interpretation of the association differ among studies. A detailed summary of the included studies is presented in Table 3.</w:t>
      </w:r>
    </w:p>
    <w:p>
      <w:pPr>
        <w:pStyle w:val="Heading2"/>
        <w:spacing w:before="120" w:after="120" w:line="360" w:lineRule="auto"/>
      </w:pPr>
      <w:r>
        <w:rPr>
          <w:rFonts w:ascii="Times New Roman" w:hAnsi="Times New Roman" w:eastAsia="Times New Roman"/>
          <w:b/>
          <w:sz w:val="24"/>
        </w:rPr>
        <w:t>Funnel Plot</w:t>
      </w:r>
    </w:p>
    <w:p>
      <w:pPr>
        <w:spacing w:line="360" w:lineRule="auto" w:after="120"/>
        <w:jc w:val="both"/>
      </w:pPr>
      <w:r>
        <w:rPr>
          <w:rFonts w:ascii="Times New Roman" w:hAnsi="Times New Roman" w:eastAsia="Times New Roman"/>
          <w:sz w:val="24"/>
        </w:rPr>
        <w:t>The funnel plot was used to assess the distribution of studies based on residual values and standard errors. Some studies were located near the central line, whereas others were positioned farther from the center, indicating visual imbalance. This pattern may be influenced by differences in sample size, study design, outcome type, and statistical measures. Because only 12 studies were included, the funnel plot was interpreted cautiously. The funnel plot is shown in Figure 2.</w:t>
      </w:r>
    </w:p>
    <w:p>
      <w:pPr>
        <w:spacing w:before="120" w:after="120" w:line="360" w:lineRule="auto"/>
        <w:jc w:val="center"/>
      </w:pPr>
      <w:r>
        <w:rPr>
          <w:rFonts w:ascii="Times New Roman" w:hAnsi="Times New Roman" w:eastAsia="Times New Roman"/>
          <w:b/>
          <w:sz w:val="24"/>
        </w:rPr>
        <w:t>Figure 2: Funnel plot of the relationship between periodontitis, cognitive impairment, and neurodegenerative disease.</w:t>
      </w:r>
    </w:p>
    <w:p>
      <w:pPr>
        <w:spacing w:line="360" w:lineRule="auto" w:after="120"/>
        <w:jc w:val="center"/>
      </w:pPr>
      <w:r>
        <w:rPr>
          <w:rFonts w:ascii="Times New Roman" w:hAnsi="Times New Roman" w:eastAsia="Times New Roman"/>
          <w:sz w:val="24"/>
        </w:rPr>
        <w:drawing>
          <wp:inline xmlns:a="http://schemas.openxmlformats.org/drawingml/2006/main" xmlns:pic="http://schemas.openxmlformats.org/drawingml/2006/picture">
            <wp:extent cx="5303520" cy="3339589"/>
            <wp:docPr id="2" name="Picture 2"/>
            <wp:cNvGraphicFramePr>
              <a:graphicFrameLocks noChangeAspect="1"/>
            </wp:cNvGraphicFramePr>
            <a:graphic>
              <a:graphicData uri="http://schemas.openxmlformats.org/drawingml/2006/picture">
                <pic:pic>
                  <pic:nvPicPr>
                    <pic:cNvPr id="0" name="Figure_2_Funnel_Plot_1200dpi_for_docx.png"/>
                    <pic:cNvPicPr/>
                  </pic:nvPicPr>
                  <pic:blipFill>
                    <a:blip r:embed="rId10"/>
                    <a:stretch>
                      <a:fillRect/>
                    </a:stretch>
                  </pic:blipFill>
                  <pic:spPr>
                    <a:xfrm>
                      <a:off x="0" y="0"/>
                      <a:ext cx="5303520" cy="3339589"/>
                    </a:xfrm>
                    <a:prstGeom prst="rect"/>
                  </pic:spPr>
                </pic:pic>
              </a:graphicData>
            </a:graphic>
          </wp:inline>
        </w:drawing>
      </w:r>
    </w:p>
    <w:p>
      <w:pPr>
        <w:spacing w:after="120" w:before="0" w:line="360" w:lineRule="auto"/>
        <w:jc w:val="center"/>
      </w:pPr>
      <w:r>
        <w:rPr>
          <w:rFonts w:ascii="Times New Roman" w:hAnsi="Times New Roman" w:eastAsia="Times New Roman"/>
          <w:b w:val="0"/>
          <w:i/>
          <w:sz w:val="24"/>
        </w:rPr>
        <w:t>The funnel plot presents the distribution of included studies based on residual values and standard errors to visually assess possible publication bias and variation across studies.</w:t>
      </w:r>
    </w:p>
    <w:p>
      <w:pPr>
        <w:pStyle w:val="Heading2"/>
        <w:spacing w:before="120" w:after="120" w:line="360" w:lineRule="auto"/>
      </w:pPr>
      <w:r>
        <w:rPr>
          <w:rFonts w:ascii="Times New Roman" w:hAnsi="Times New Roman" w:eastAsia="Times New Roman"/>
          <w:b/>
          <w:sz w:val="24"/>
        </w:rPr>
        <w:t>Forest Plot and Pooled Effect</w:t>
      </w:r>
    </w:p>
    <w:p>
      <w:pPr>
        <w:spacing w:line="360" w:lineRule="auto" w:after="120"/>
        <w:jc w:val="both"/>
      </w:pPr>
      <w:r>
        <w:rPr>
          <w:rFonts w:ascii="Times New Roman" w:hAnsi="Times New Roman"/>
          <w:sz w:val="24"/>
        </w:rPr>
        <w:t>The forest plot showed that most studies had an effect direction compatible with an association between periodontal disease and cognitive or neurodegenerative outcomes. The pooled effect estimate was 0.15, representing a standardized effect size, with a 95% confidence interval of 0.05–0.26 and p = 0.007. This finding suggests a statistically significant association between periodontitis and cognitive impairment or selected neurodegenerative outcomes. Heterogeneity was significant, with Q(11) = 39.24, p &lt; 0.001, and I² = 72.0%, indicating substantial heterogeneity across the included studies. This heterogeneity should be considered when interpreting the pooled findings because the included studies differed in population characteristics, exposure definitions, outcomes, study designs, comparison groups, and statistical methods. The forest plot is shown in Figure 3.</w:t>
      </w:r>
    </w:p>
    <w:p>
      <w:pPr>
        <w:spacing w:before="120" w:after="120" w:line="360" w:lineRule="auto"/>
        <w:jc w:val="center"/>
      </w:pPr>
      <w:r>
        <w:rPr>
          <w:rFonts w:ascii="Times New Roman" w:hAnsi="Times New Roman" w:eastAsia="Times New Roman"/>
          <w:b/>
          <w:sz w:val="24"/>
        </w:rPr>
        <w:t>Figure 3: Forest plot of the association between periodontitis, cognitive impairment, and neurodegenerative disease.</w:t>
      </w:r>
    </w:p>
    <w:p>
      <w:pPr>
        <w:spacing w:line="360" w:lineRule="auto" w:after="120"/>
        <w:jc w:val="center"/>
      </w:pPr>
      <w:r>
        <w:rPr>
          <w:rFonts w:ascii="Times New Roman" w:hAnsi="Times New Roman" w:eastAsia="Times New Roman"/>
          <w:sz w:val="24"/>
        </w:rPr>
        <w:drawing>
          <wp:inline xmlns:a="http://schemas.openxmlformats.org/drawingml/2006/main" xmlns:pic="http://schemas.openxmlformats.org/drawingml/2006/picture">
            <wp:extent cx="5303520" cy="2164702"/>
            <wp:docPr id="3" name="Picture 3"/>
            <wp:cNvGraphicFramePr>
              <a:graphicFrameLocks noChangeAspect="1"/>
            </wp:cNvGraphicFramePr>
            <a:graphic>
              <a:graphicData uri="http://schemas.openxmlformats.org/drawingml/2006/picture">
                <pic:pic>
                  <pic:nvPicPr>
                    <pic:cNvPr id="0" name="Figure_3_Forest_Plot_1200dpi_for_docx.png"/>
                    <pic:cNvPicPr/>
                  </pic:nvPicPr>
                  <pic:blipFill>
                    <a:blip r:embed="rId11"/>
                    <a:stretch>
                      <a:fillRect/>
                    </a:stretch>
                  </pic:blipFill>
                  <pic:spPr>
                    <a:xfrm>
                      <a:off x="0" y="0"/>
                      <a:ext cx="5303520" cy="2164702"/>
                    </a:xfrm>
                    <a:prstGeom prst="rect"/>
                  </pic:spPr>
                </pic:pic>
              </a:graphicData>
            </a:graphic>
          </wp:inline>
        </w:drawing>
      </w:r>
    </w:p>
    <w:p>
      <w:pPr>
        <w:spacing w:after="120" w:before="0" w:line="360" w:lineRule="auto"/>
        <w:jc w:val="center"/>
      </w:pPr>
      <w:r>
        <w:rPr>
          <w:rFonts w:ascii="Times New Roman" w:hAnsi="Times New Roman" w:eastAsia="Times New Roman"/>
          <w:b w:val="0"/>
          <w:i/>
          <w:sz w:val="24"/>
        </w:rPr>
        <w:t>The forest plot presents the effect estimate, confidence interval, pooled effect, and heterogeneity of the included studies.</w:t>
      </w:r>
    </w:p>
    <w:p>
      <w:pPr>
        <w:pStyle w:val="Heading1"/>
        <w:spacing w:before="160" w:after="120" w:line="360" w:lineRule="auto"/>
        <w:jc w:val="left"/>
      </w:pPr>
      <w:r>
        <w:rPr>
          <w:rFonts w:ascii="Times New Roman" w:hAnsi="Times New Roman" w:eastAsia="Times New Roman"/>
          <w:b/>
          <w:sz w:val="24"/>
        </w:rPr>
        <w:t>Discussion</w:t>
      </w:r>
    </w:p>
    <w:p>
      <w:pPr>
        <w:spacing w:line="360" w:lineRule="auto" w:after="120"/>
        <w:jc w:val="both"/>
      </w:pPr>
      <w:r>
        <w:rPr>
          <w:rFonts w:ascii="Times New Roman" w:hAnsi="Times New Roman"/>
          <w:sz w:val="24"/>
        </w:rPr>
        <w:t>This systematic review and meta-analysis found a statistically significant association between periodontitis and cognitive impairment or selected neurodegenerative outcomes. The pooled effect estimate was 0.15, with a 95% confidence interval of 0.05–0.26 and p = 0.007. However, the finding should be interpreted as an overall association rather than proof of causality because the included studies differed in exposure definitions, outcome categories, study designs, comparison groups, and effect measures.</w:t>
      </w:r>
    </w:p>
    <w:p>
      <w:pPr>
        <w:spacing w:line="360" w:lineRule="auto" w:after="120"/>
        <w:jc w:val="both"/>
      </w:pPr>
      <w:r>
        <w:rPr>
          <w:rFonts w:ascii="Times New Roman" w:hAnsi="Times New Roman"/>
          <w:sz w:val="24"/>
        </w:rPr>
        <w:t>The contribution of this review lies in its synthesis of contemporary observational evidence while explicitly acknowledging the heterogeneity of periodontal exposure and neurological outcome definitions. Previous reviews have reported associations between periodontal health and dementia or cognitive impairment (6-12), but many studies use different periodontal indicators, including clinical diagnosis, clinical attachment loss, probing pocket depth, periodontal treatment status, and tooth loss related to periodontal disease. By summarizing these differences together with pooled quantitative findings, this review clarifies that the evidence suggests an association but remains limited by methodological diversity.</w:t>
      </w:r>
    </w:p>
    <w:p>
      <w:pPr>
        <w:spacing w:line="360" w:lineRule="auto" w:after="120"/>
        <w:jc w:val="both"/>
      </w:pPr>
      <w:r>
        <w:rPr>
          <w:rFonts w:ascii="Times New Roman" w:hAnsi="Times New Roman"/>
          <w:sz w:val="24"/>
        </w:rPr>
        <w:t xml:space="preserve">Biological plausibility is supported by inflammatory, microbial, vascular, and immune pathways. Periodontal pathogens and inflammatory mediators may contribute to systemic inflammation, endothelial dysfunction, oxidative stress, and neuroinflammation. The oral-brain axis has been proposed as one mechanism through which periodontal inflammation may be related to neurological pathology (3). In particular, </w:t>
      </w:r>
      <w:r>
        <w:rPr>
          <w:rFonts w:ascii="Times New Roman" w:hAnsi="Times New Roman"/>
          <w:i/>
          <w:sz w:val="24"/>
        </w:rPr>
        <w:t>Porphyromonas gingivalis</w:t>
      </w:r>
      <w:r>
        <w:rPr>
          <w:rFonts w:ascii="Times New Roman" w:hAnsi="Times New Roman"/>
          <w:sz w:val="24"/>
        </w:rPr>
        <w:t xml:space="preserve"> has been discussed in relation to neurodegenerative pathways because of its virulence factors and possible inflammatory effects (4,5). Nevertheless, these mechanisms should be interpreted as supportive explanations and not as confirmation of a causal pathway in human observational studies.</w:t>
      </w:r>
    </w:p>
    <w:p>
      <w:pPr>
        <w:spacing w:line="360" w:lineRule="auto" w:after="120"/>
        <w:jc w:val="both"/>
      </w:pPr>
      <w:r>
        <w:rPr>
          <w:rFonts w:ascii="Times New Roman" w:hAnsi="Times New Roman"/>
          <w:sz w:val="24"/>
        </w:rPr>
        <w:t>The findings should also be interpreted according to the type of neurological outcome. Evidence appeared more consistent for dementia and Alzheimer disease, while evidence for Parkinson disease was limited because only one included study specifically evaluated that outcome (22). Studies on mild cognitive impairment and beta-amyloid pathology may represent earlier or biomarker-related outcomes, but they are clinically distinct from diagnosed dementia. This outcome diversity partly explains why a single pooled estimate should be interpreted cautiously.</w:t>
      </w:r>
    </w:p>
    <w:p>
      <w:pPr>
        <w:spacing w:line="360" w:lineRule="auto" w:after="120"/>
        <w:jc w:val="both"/>
      </w:pPr>
      <w:r>
        <w:rPr>
          <w:rFonts w:ascii="Times New Roman" w:hAnsi="Times New Roman"/>
          <w:sz w:val="24"/>
        </w:rPr>
        <w:t>The heterogeneity observed in this meta-analysis was substantial. Differences in periodontal exposure definitions, outcome assessment methods, study design, sample size, follow-up duration, comparison groups, and statistical adjustment may have contributed to variation in effect estimates. Some studies used clinical periodontal examinations, while others used diagnosis codes, periodontal treatment history, tooth loss, or broader indicators of periodontal health. Similarly, outcomes ranged from cognitive test performance and mild cognitive impairment to dementia, Alzheimer disease, Parkinson disease, vascular dementia, and amyloid pathology.</w:t>
      </w:r>
    </w:p>
    <w:p>
      <w:pPr>
        <w:spacing w:line="360" w:lineRule="auto" w:after="120"/>
        <w:jc w:val="both"/>
      </w:pPr>
      <w:r>
        <w:rPr>
          <w:rFonts w:ascii="Times New Roman" w:hAnsi="Times New Roman"/>
          <w:sz w:val="24"/>
        </w:rPr>
        <w:t>Residual confounding and reverse causality remain important concerns. Age, sex, education, smoking, diabetes, socioeconomic status, depression, cardiovascular disease, oral hygiene behavior, and dental care access may influence both periodontal status and cognitive outcomes. In addition, cognitive impairment may reduce a person’s ability to maintain oral hygiene, attend dental visits, and follow periodontal treatment recommendations. Therefore, the association may be bidirectional, and observational studies cannot confirm that periodontitis directly causes cognitive decline.</w:t>
      </w:r>
    </w:p>
    <w:p>
      <w:pPr>
        <w:spacing w:line="360" w:lineRule="auto" w:after="120"/>
        <w:jc w:val="both"/>
      </w:pPr>
      <w:r>
        <w:rPr>
          <w:rFonts w:ascii="Times New Roman" w:hAnsi="Times New Roman"/>
          <w:sz w:val="24"/>
        </w:rPr>
        <w:t>Publication bias should also be considered. Although a funnel plot was presented, its interpretation was limited because only 12 studies were included. With a small number of studies, funnel plot asymmetry is difficult to evaluate reliably. Therefore, the possibility of publication bias cannot be excluded and may have influenced the overall interpretation of the evidence.</w:t>
      </w:r>
    </w:p>
    <w:p>
      <w:pPr>
        <w:spacing w:line="360" w:lineRule="auto" w:after="120"/>
        <w:jc w:val="both"/>
      </w:pPr>
      <w:r>
        <w:rPr>
          <w:rFonts w:ascii="Times New Roman" w:hAnsi="Times New Roman"/>
          <w:sz w:val="24"/>
        </w:rPr>
        <w:t>This study has several limitations. First, most included studies were observational, limiting causal interpretation. Second, clinical trials were not included because the review question focused on association rather than intervention effects. Third, periodontal exposure definitions varied across studies. Fourth, cognitive and neurodegenerative outcomes were measured using different instruments, clinical diagnoses, registry data, or imaging-based methods. Fifth, the included studies used different statistical measures, including odds ratios, adjusted odds ratios, hazard ratios, adjusted hazard ratios, and beta coefficients. Sixth, heterogeneity across studies was significant, and subgroup analysis by outcome type, study design, exposure definition, or statistical measure was not performed. Seventh, the certainty of evidence was not formally assessed using the GRADE framework. Finally, the final search was conducted in December 2025, so studies indexed after that date were not included.</w:t>
      </w:r>
    </w:p>
    <w:p>
      <w:pPr>
        <w:spacing w:line="360" w:lineRule="auto" w:after="120"/>
        <w:jc w:val="both"/>
      </w:pPr>
      <w:r>
        <w:rPr>
          <w:rFonts w:ascii="Times New Roman" w:hAnsi="Times New Roman"/>
          <w:sz w:val="24"/>
        </w:rPr>
        <w:t>Future studies should use longitudinal designs with longer follow-up periods, standardized periodontal definitions, repeated cognitive assessments, and careful adjustment for confounding factors. Future reviews should consider separate analyses according to outcome type, study design, exposure definition, and effect measure rather than pooling clinically distinct outcomes into one broad estimate. Further studies incorporating inflammatory biomarkers, periodontal pathogen profiles, and standardized neurocognitive assessments may help clarify the biological pathways linking periodontal disease and cognitive or neurodegenerative outcomes.</w:t>
      </w:r>
    </w:p>
    <w:p>
      <w:pPr>
        <w:pStyle w:val="Heading1"/>
        <w:spacing w:before="160" w:after="120" w:line="360" w:lineRule="auto"/>
        <w:jc w:val="left"/>
      </w:pPr>
      <w:r>
        <w:rPr>
          <w:rFonts w:ascii="Times New Roman" w:hAnsi="Times New Roman" w:eastAsia="Times New Roman"/>
          <w:b/>
          <w:sz w:val="24"/>
        </w:rPr>
        <w:t>Conclusion</w:t>
      </w:r>
    </w:p>
    <w:p>
      <w:pPr>
        <w:spacing w:line="360" w:lineRule="auto" w:after="120"/>
        <w:jc w:val="both"/>
      </w:pPr>
      <w:r>
        <w:rPr>
          <w:rFonts w:ascii="Times New Roman" w:hAnsi="Times New Roman"/>
          <w:sz w:val="24"/>
        </w:rPr>
        <w:t>Periodontitis and periodontal disease may be associated with cognitive impairment, dementia, and selected neurodegenerative outcomes. However, the available evidence supports an association rather than a confirmed causal or preventive effect. Because the included studies were clinically and methodologically heterogeneous, the pooled estimate should be interpreted cautiously. Further longitudinal studies with standardized periodontal and cognitive outcome measures, careful control of confounding factors, and separate analyses by neurological outcome are needed to clarify the strength and direction of this association.</w:t>
      </w:r>
    </w:p>
    <w:p>
      <w:pPr>
        <w:pStyle w:val="Heading1"/>
        <w:spacing w:before="160" w:after="120" w:line="360" w:lineRule="auto"/>
      </w:pPr>
      <w:r>
        <w:rPr>
          <w:rFonts w:ascii="Times New Roman" w:hAnsi="Times New Roman" w:eastAsia="Times New Roman"/>
          <w:b/>
          <w:sz w:val="24"/>
        </w:rPr>
        <w:t>Author Contributions</w:t>
      </w:r>
    </w:p>
    <w:p>
      <w:pPr>
        <w:pStyle w:val="ListBullet"/>
        <w:spacing w:after="120" w:before="0" w:line="360" w:lineRule="auto"/>
        <w:jc w:val="left"/>
      </w:pPr>
      <w:r>
        <w:rPr>
          <w:rFonts w:ascii="Times New Roman" w:hAnsi="Times New Roman" w:eastAsia="Times New Roman"/>
          <w:b w:val="0"/>
          <w:i w:val="0"/>
          <w:sz w:val="24"/>
        </w:rPr>
        <w:t>Conceptualization and study design: Yoifah Rizka Wedarti, Soetjipto, and Agung Krismariono.</w:t>
      </w:r>
    </w:p>
    <w:p>
      <w:pPr>
        <w:pStyle w:val="ListBullet"/>
        <w:spacing w:after="120" w:before="0" w:line="360" w:lineRule="auto"/>
        <w:jc w:val="left"/>
      </w:pPr>
      <w:r>
        <w:rPr>
          <w:rFonts w:ascii="Times New Roman" w:hAnsi="Times New Roman" w:eastAsia="Times New Roman"/>
          <w:b w:val="0"/>
          <w:i w:val="0"/>
          <w:sz w:val="24"/>
        </w:rPr>
        <w:t>Literature search, study screening, data extraction, and data curation: Yoifah Rizka Wedarti, Soetjipto, and Agung Krismariono.</w:t>
      </w:r>
    </w:p>
    <w:p>
      <w:pPr>
        <w:pStyle w:val="ListBullet"/>
        <w:spacing w:after="120" w:before="0" w:line="360" w:lineRule="auto"/>
        <w:jc w:val="left"/>
      </w:pPr>
      <w:r>
        <w:rPr>
          <w:rFonts w:ascii="Times New Roman" w:hAnsi="Times New Roman" w:eastAsia="Times New Roman"/>
          <w:b w:val="0"/>
          <w:i w:val="0"/>
          <w:sz w:val="24"/>
        </w:rPr>
        <w:t>Formal analysis and interpretation: Yoifah Rizka Wedarti and Soetjipto.</w:t>
      </w:r>
    </w:p>
    <w:p>
      <w:pPr>
        <w:pStyle w:val="ListBullet"/>
        <w:spacing w:after="120" w:before="0" w:line="360" w:lineRule="auto"/>
        <w:jc w:val="left"/>
      </w:pPr>
      <w:r>
        <w:rPr>
          <w:rFonts w:ascii="Times New Roman" w:hAnsi="Times New Roman" w:eastAsia="Times New Roman"/>
          <w:b w:val="0"/>
          <w:i w:val="0"/>
          <w:sz w:val="24"/>
        </w:rPr>
        <w:t>Manuscript drafting: Yoifah Rizka Wedarti.</w:t>
      </w:r>
    </w:p>
    <w:p>
      <w:pPr>
        <w:pStyle w:val="ListBullet"/>
        <w:spacing w:after="120" w:before="0" w:line="360" w:lineRule="auto"/>
        <w:jc w:val="left"/>
      </w:pPr>
      <w:r>
        <w:rPr>
          <w:rFonts w:ascii="Times New Roman" w:hAnsi="Times New Roman" w:eastAsia="Times New Roman"/>
          <w:b w:val="0"/>
          <w:i w:val="0"/>
          <w:sz w:val="24"/>
        </w:rPr>
        <w:t>Critical review, supervision, and final approval: Yoifah Rizka Wedarti, Soetjipto, and Agung Krismariono.</w:t>
      </w:r>
    </w:p>
    <w:p>
      <w:pPr>
        <w:pStyle w:val="Heading1"/>
        <w:spacing w:before="160" w:after="120" w:line="360" w:lineRule="auto"/>
      </w:pPr>
      <w:r>
        <w:rPr>
          <w:rFonts w:ascii="Times New Roman" w:hAnsi="Times New Roman" w:eastAsia="Times New Roman"/>
          <w:b/>
          <w:sz w:val="24"/>
        </w:rPr>
        <w:t>Acknowledgements</w:t>
      </w:r>
    </w:p>
    <w:p>
      <w:pPr>
        <w:spacing w:line="360" w:lineRule="auto" w:after="120"/>
        <w:jc w:val="left"/>
      </w:pPr>
      <w:r>
        <w:rPr>
          <w:rFonts w:ascii="Times New Roman" w:hAnsi="Times New Roman" w:eastAsia="Times New Roman"/>
          <w:sz w:val="24"/>
        </w:rPr>
        <w:t>The authors received no specific financial support for this study. No non-author contributors were involved in the preparation of this manuscript.</w:t>
      </w:r>
    </w:p>
    <w:p>
      <w:pPr>
        <w:pStyle w:val="Heading1"/>
        <w:spacing w:before="160" w:after="120" w:line="360" w:lineRule="auto"/>
      </w:pPr>
      <w:r>
        <w:rPr>
          <w:rFonts w:ascii="Times New Roman" w:hAnsi="Times New Roman" w:eastAsia="Times New Roman"/>
          <w:b/>
          <w:sz w:val="24"/>
        </w:rPr>
        <w:t>Conflict of Interest</w:t>
      </w:r>
    </w:p>
    <w:p>
      <w:pPr>
        <w:spacing w:line="360" w:lineRule="auto" w:after="120"/>
        <w:jc w:val="left"/>
      </w:pPr>
      <w:r>
        <w:rPr>
          <w:rFonts w:ascii="Times New Roman" w:hAnsi="Times New Roman" w:eastAsia="Times New Roman"/>
          <w:sz w:val="24"/>
        </w:rPr>
        <w:t>The authors declare no potential conflicts of interest with respect to the authorship and/or publication of this article.</w:t>
      </w:r>
    </w:p>
    <w:p>
      <w:pPr>
        <w:pStyle w:val="Heading1"/>
        <w:spacing w:before="160" w:after="120" w:line="360" w:lineRule="auto"/>
      </w:pPr>
      <w:r>
        <w:rPr>
          <w:rFonts w:ascii="Times New Roman" w:hAnsi="Times New Roman" w:eastAsia="Times New Roman"/>
          <w:b/>
          <w:sz w:val="24"/>
        </w:rPr>
        <w:t>Ethical Approval</w:t>
      </w:r>
    </w:p>
    <w:p>
      <w:pPr>
        <w:spacing w:line="360" w:lineRule="auto" w:after="120"/>
        <w:jc w:val="left"/>
      </w:pPr>
      <w:r>
        <w:rPr>
          <w:rFonts w:ascii="Times New Roman" w:hAnsi="Times New Roman" w:eastAsia="Times New Roman"/>
          <w:sz w:val="24"/>
        </w:rPr>
        <w:t>Ethical approval was not required because this study was a systematic review and meta-analysis based on previously published studies and did not involve direct recruitment of human participants, collection of biological samples, or animal experiments.</w:t>
      </w:r>
    </w:p>
    <w:p>
      <w:pPr>
        <w:pStyle w:val="Heading1"/>
        <w:spacing w:before="160" w:after="120" w:line="360" w:lineRule="auto"/>
      </w:pPr>
      <w:r>
        <w:rPr>
          <w:rFonts w:ascii="Times New Roman" w:hAnsi="Times New Roman" w:eastAsia="Times New Roman"/>
          <w:b/>
          <w:sz w:val="24"/>
        </w:rPr>
        <w:t>Declaration of Generative AI and AI-assisted Technologies in the Writing Process</w:t>
      </w:r>
    </w:p>
    <w:p>
      <w:pPr>
        <w:spacing w:line="360" w:lineRule="auto" w:after="120"/>
        <w:jc w:val="left"/>
      </w:pPr>
      <w:r>
        <w:rPr>
          <w:rFonts w:ascii="Times New Roman" w:hAnsi="Times New Roman"/>
          <w:sz w:val="24"/>
        </w:rPr>
        <w:t>During the preparation of this manuscript, ChatGPT was used only to support language editing, formatting, and improvement of readability. The authors reviewed, edited, and verified the output and take full responsibility for the content, data interpretation, references, conclusions, and integrity of this work.</w:t>
      </w:r>
    </w:p>
    <w:p>
      <w:pPr>
        <w:pStyle w:val="Heading1"/>
        <w:spacing w:before="160" w:after="120" w:line="360" w:lineRule="auto"/>
        <w:jc w:val="left"/>
      </w:pPr>
      <w:r>
        <w:rPr>
          <w:rFonts w:ascii="Times New Roman" w:hAnsi="Times New Roman" w:eastAsia="Times New Roman"/>
          <w:b/>
          <w:sz w:val="24"/>
        </w:rPr>
        <w:t>References</w:t>
      </w:r>
    </w:p>
    <w:p>
      <w:pPr>
        <w:spacing w:line="360" w:lineRule="auto" w:after="120"/>
        <w:ind w:left="288" w:hanging="288"/>
      </w:pPr>
      <w:r>
        <w:rPr>
          <w:rFonts w:ascii="Times New Roman" w:hAnsi="Times New Roman" w:eastAsia="Times New Roman"/>
          <w:sz w:val="24"/>
        </w:rPr>
        <w:t>1. World Health Organization. Oral health [Internet]. Geneva: World Health Organization; 2025 [cited 2026 Jun 5]. Available from: https://www.who.int/news-room/fact-sheets/detail/oral-health</w:t>
      </w:r>
    </w:p>
    <w:p>
      <w:pPr>
        <w:spacing w:line="360" w:lineRule="auto" w:after="120"/>
        <w:ind w:left="288" w:hanging="288"/>
      </w:pPr>
      <w:r>
        <w:rPr>
          <w:rFonts w:ascii="Times New Roman" w:hAnsi="Times New Roman" w:eastAsia="Times New Roman"/>
          <w:sz w:val="24"/>
        </w:rPr>
        <w:t>2. World Health Organization. Dementia [Internet]. Geneva: World Health Organization; 2025 [cited 2026 Jun 5]. Available from: https://www.who.int/news-room/fact-sheets/detail/dementia</w:t>
      </w:r>
    </w:p>
    <w:p>
      <w:pPr>
        <w:spacing w:line="360" w:lineRule="auto" w:after="120"/>
        <w:ind w:left="288" w:hanging="288"/>
      </w:pPr>
      <w:r>
        <w:rPr>
          <w:rFonts w:ascii="Times New Roman" w:hAnsi="Times New Roman" w:eastAsia="Times New Roman"/>
          <w:sz w:val="24"/>
        </w:rPr>
        <w:t>3. Li R, Wang J, Xiong W, Luo Y, Feng H, Zhou H, et al. The oral-brain axis: can periodontal pathogens trigger the onset and progression of Alzheimer’s disease? Front Microbiol. 2024;15:1358179. doi:10.3389/fmicb.2024.1358179.</w:t>
      </w:r>
    </w:p>
    <w:p>
      <w:pPr>
        <w:spacing w:line="360" w:lineRule="auto" w:after="120"/>
        <w:ind w:left="288" w:hanging="288"/>
      </w:pPr>
      <w:r>
        <w:rPr>
          <w:rFonts w:ascii="Times New Roman" w:hAnsi="Times New Roman"/>
          <w:sz w:val="24"/>
        </w:rPr>
        <w:t xml:space="preserve">4. Huang Z, Hao M, Shi N, Wang X, Yuan L, Yuan H, et al. </w:t>
      </w:r>
      <w:r>
        <w:rPr>
          <w:rFonts w:ascii="Times New Roman" w:hAnsi="Times New Roman"/>
          <w:i/>
          <w:sz w:val="24"/>
        </w:rPr>
        <w:t>Porphyromonas gingivalis</w:t>
      </w:r>
      <w:r>
        <w:rPr>
          <w:rFonts w:ascii="Times New Roman" w:hAnsi="Times New Roman"/>
          <w:sz w:val="24"/>
        </w:rPr>
        <w:t>: a potential trigger of neurodegenerative disease. Front Immunol. 2025;16:1482033. doi:10.3389/fimmu.2025.1482033.</w:t>
      </w:r>
    </w:p>
    <w:p>
      <w:pPr>
        <w:spacing w:line="360" w:lineRule="auto" w:after="120"/>
        <w:ind w:left="288" w:hanging="288"/>
      </w:pPr>
      <w:r>
        <w:rPr>
          <w:rFonts w:ascii="Times New Roman" w:hAnsi="Times New Roman"/>
          <w:sz w:val="24"/>
        </w:rPr>
        <w:t xml:space="preserve">5. Jiang Y, Xu L, Zhao X, Shen H, Qiu C, He Z, et al. </w:t>
      </w:r>
      <w:r>
        <w:rPr>
          <w:rFonts w:ascii="Times New Roman" w:hAnsi="Times New Roman"/>
          <w:i/>
          <w:sz w:val="24"/>
        </w:rPr>
        <w:t>Porphyromonas gingivalis</w:t>
      </w:r>
      <w:r>
        <w:rPr>
          <w:rFonts w:ascii="Times New Roman" w:hAnsi="Times New Roman"/>
          <w:sz w:val="24"/>
        </w:rPr>
        <w:t>-induced periodontitis promotes neuroinflammation and neuronal loss associated with dysfunction of the brain barrier. Front Cell Infect Microbiol. 2025;15:1559182. doi:10.3389/fcimb.2025.1559182.</w:t>
      </w:r>
    </w:p>
    <w:p>
      <w:pPr>
        <w:spacing w:line="360" w:lineRule="auto" w:after="120"/>
        <w:ind w:left="288" w:hanging="288"/>
      </w:pPr>
      <w:r>
        <w:rPr>
          <w:rFonts w:ascii="Times New Roman" w:hAnsi="Times New Roman" w:eastAsia="Times New Roman"/>
          <w:sz w:val="24"/>
        </w:rPr>
        <w:t>6. Asher S, Stephen R, Mäntylä P, Suominen AL, Solomon A. Periodontal health, cognitive decline, and dementia: a systematic review and meta-analysis of longitudinal studies. J Am Geriatr Soc. 2022;70(9):2695-2709. doi:10.1111/jgs.17978.</w:t>
      </w:r>
    </w:p>
    <w:p>
      <w:pPr>
        <w:spacing w:line="360" w:lineRule="auto" w:after="120"/>
        <w:ind w:left="288" w:hanging="288"/>
      </w:pPr>
      <w:r>
        <w:rPr>
          <w:rFonts w:ascii="Times New Roman" w:hAnsi="Times New Roman" w:eastAsia="Times New Roman"/>
          <w:sz w:val="24"/>
        </w:rPr>
        <w:t>7. Said-Sadier N, Sayegh B, Farah R, Abbas LA, Dweik R, Tang N, et al. Association between periodontal disease and cognitive impairment in adults. Int J Environ Res Public Health. 2023;20:4707. doi:10.3390/ijerph20064707.</w:t>
      </w:r>
    </w:p>
    <w:p>
      <w:pPr>
        <w:spacing w:line="360" w:lineRule="auto" w:after="120"/>
        <w:ind w:left="288" w:hanging="288"/>
      </w:pPr>
      <w:r>
        <w:rPr>
          <w:rFonts w:ascii="Times New Roman" w:hAnsi="Times New Roman" w:eastAsia="Times New Roman"/>
          <w:sz w:val="24"/>
        </w:rPr>
        <w:t>8. Dibello V, Custodero C, Cavalcanti R, Lafornara D, Dibello A, Lozupone M, et al. Impact of periodontal disease on cognitive disorders, dementia, and depression: a systematic review and meta-analysis. GeroScience. 2024;46(5):5133-5169. doi:10.1007/s11357-024-01243-8.</w:t>
      </w:r>
    </w:p>
    <w:p>
      <w:pPr>
        <w:spacing w:line="360" w:lineRule="auto" w:after="120"/>
        <w:ind w:left="288" w:hanging="288"/>
      </w:pPr>
      <w:r>
        <w:rPr>
          <w:rFonts w:ascii="Times New Roman" w:hAnsi="Times New Roman" w:eastAsia="Times New Roman"/>
          <w:sz w:val="24"/>
        </w:rPr>
        <w:t>9. Fu YD, Li CL, Hu CL, Pei MD, Cai WY, Li YQ, et al. Meta analysis of the correlation between periodontal health and cognitive impairment in the older population. J Prev Alzheimers Dis. 2024;11. doi:10.14283/jpad.2024.87.</w:t>
      </w:r>
    </w:p>
    <w:p>
      <w:pPr>
        <w:spacing w:line="360" w:lineRule="auto" w:after="120"/>
        <w:ind w:left="288" w:hanging="288"/>
      </w:pPr>
      <w:r>
        <w:rPr>
          <w:rFonts w:ascii="Times New Roman" w:hAnsi="Times New Roman" w:eastAsia="Times New Roman"/>
          <w:sz w:val="24"/>
        </w:rPr>
        <w:t>10. Plachokova AS, Gjaltema J, Hagens ERC, Hashemi Z, Knüppe TBA, Kootstra TJM, et al. Periodontitis: a plausible modifiable risk factor for neurodegenerative diseases? A comprehensive review. Int J Mol Sci. 2024;25(8):4504. doi:10.3390/ijms25084504.</w:t>
      </w:r>
    </w:p>
    <w:p>
      <w:pPr>
        <w:spacing w:line="360" w:lineRule="auto" w:after="120"/>
        <w:ind w:left="288" w:hanging="288"/>
      </w:pPr>
      <w:r>
        <w:rPr>
          <w:rFonts w:ascii="Times New Roman" w:hAnsi="Times New Roman" w:eastAsia="Times New Roman"/>
          <w:sz w:val="24"/>
        </w:rPr>
        <w:t>11. Villar A, Paladini S, Cossatis J. Periodontal disease and Alzheimer’s: insights from a systematic literature network analysis. J Prev Alzheimers Dis. 2024;11(4):1148-1165. doi:10.14283/jpad.2024.79.</w:t>
      </w:r>
    </w:p>
    <w:p>
      <w:pPr>
        <w:spacing w:line="360" w:lineRule="auto" w:after="120"/>
        <w:ind w:left="288" w:hanging="288"/>
      </w:pPr>
      <w:r>
        <w:rPr>
          <w:rFonts w:ascii="Times New Roman" w:hAnsi="Times New Roman" w:eastAsia="Times New Roman"/>
          <w:sz w:val="24"/>
        </w:rPr>
        <w:t>12. Barbarisi A, Visconti V, Lauritano D, Cremonini F, Caccianiga G, Ceraulo S. Correlation between periodontitis and onset of Alzheimer’s disease: a literature review. Dent J. 2024;12(10):331. doi:10.3390/dj12100331.</w:t>
      </w:r>
    </w:p>
    <w:p>
      <w:pPr>
        <w:spacing w:line="360" w:lineRule="auto" w:after="120"/>
        <w:ind w:left="288" w:hanging="288"/>
      </w:pPr>
      <w:r>
        <w:rPr>
          <w:rFonts w:ascii="Times New Roman" w:hAnsi="Times New Roman" w:eastAsia="Times New Roman"/>
          <w:sz w:val="24"/>
        </w:rPr>
        <w:t>13. Erlianti CP, Trihandini I. Factors associated with cognitive impairment among Indonesian older adults. Aging Med Healthc. 2024;15(3):105-113. doi:10.33879/AMH.153.2022.05048.</w:t>
      </w:r>
    </w:p>
    <w:p>
      <w:pPr>
        <w:spacing w:line="360" w:lineRule="auto" w:after="120"/>
        <w:ind w:left="288" w:hanging="288"/>
      </w:pPr>
      <w:r>
        <w:rPr>
          <w:rFonts w:ascii="Times New Roman" w:hAnsi="Times New Roman" w:eastAsia="Times New Roman"/>
          <w:sz w:val="24"/>
        </w:rPr>
        <w:t>14. van der Ploeg ES, Handajani YS, Schröder-Butterfill E. Dementia care in Indonesia: care networks, awareness &amp; perception. J Cross Cult Gerontol. 2025;40(4):441-461. doi:10.1007/s10823-025-09544-x.</w:t>
      </w:r>
    </w:p>
    <w:p>
      <w:pPr>
        <w:spacing w:line="360" w:lineRule="auto" w:after="120"/>
        <w:ind w:left="288" w:hanging="288"/>
      </w:pPr>
      <w:r>
        <w:rPr>
          <w:rFonts w:ascii="Times New Roman" w:hAnsi="Times New Roman" w:eastAsia="Times New Roman"/>
          <w:sz w:val="24"/>
        </w:rPr>
        <w:t>15. Page MJ, McKenzie JE, Bossuyt PM, Boutron I, Hoffmann TC, Mulrow CD, et al. The PRISMA 2020 statement: an updated guideline for reporting systematic reviews. BMJ. 2021;372:n71. doi:10.1136/bmj.n71.</w:t>
      </w:r>
    </w:p>
    <w:p>
      <w:pPr>
        <w:spacing w:line="360" w:lineRule="auto" w:after="120"/>
        <w:ind w:left="288" w:hanging="288"/>
      </w:pPr>
      <w:r>
        <w:rPr>
          <w:rFonts w:ascii="Times New Roman" w:hAnsi="Times New Roman" w:eastAsia="Times New Roman"/>
          <w:sz w:val="24"/>
        </w:rPr>
        <w:t>16. Higgins JPT, Thomas J, Chandler J, Cumpston M, Li T, Page MJ, et al, editors. Cochrane handbook for systematic reviews of interventions. Version 6.5. Cochrane; 2024. Available from: https://training.cochrane.org/handbook</w:t>
      </w:r>
    </w:p>
    <w:p>
      <w:pPr>
        <w:spacing w:line="360" w:lineRule="auto" w:after="120"/>
        <w:ind w:left="288" w:hanging="288"/>
      </w:pPr>
      <w:r>
        <w:rPr>
          <w:rFonts w:ascii="Times New Roman" w:hAnsi="Times New Roman" w:eastAsia="Times New Roman"/>
          <w:sz w:val="24"/>
        </w:rPr>
        <w:t>17. Chen CK, Wu YT, Chang YC. Association between chronic periodontitis and the risk of Alzheimer’s disease: a retrospective, population-based, matched-cohort study. Alzheimers Res Ther. 2017;9:56. doi:10.1186/s13195-017-0282-6.</w:t>
      </w:r>
    </w:p>
    <w:p>
      <w:pPr>
        <w:spacing w:line="360" w:lineRule="auto" w:after="120"/>
        <w:ind w:left="288" w:hanging="288"/>
      </w:pPr>
      <w:r>
        <w:rPr>
          <w:rFonts w:ascii="Times New Roman" w:hAnsi="Times New Roman" w:eastAsia="Times New Roman"/>
          <w:sz w:val="24"/>
        </w:rPr>
        <w:t>18. Lee YT, Lee HC, Hu CJ, Huang LK, Chao SP, Lin CP, Su ECY, et al. Periodontitis as a modifiable risk factor for dementia: a nationwide population-based cohort study. J Am Geriatr Soc. 2017;65(2):301-305. doi:10.1111/jgs.14449.</w:t>
      </w:r>
    </w:p>
    <w:p>
      <w:pPr>
        <w:spacing w:line="360" w:lineRule="auto" w:after="120"/>
        <w:ind w:left="288" w:hanging="288"/>
      </w:pPr>
      <w:r>
        <w:rPr>
          <w:rFonts w:ascii="Times New Roman" w:hAnsi="Times New Roman" w:eastAsia="Times New Roman"/>
          <w:sz w:val="24"/>
        </w:rPr>
        <w:t>19. Lee YL, Hu HY, Huang LY, Chou P, Chu DK. Periodontal disease associated with higher risk of dementia: population-based cohort study in Taiwan. J Am Geriatr Soc. 2017;65(9):1975-1980. doi:10.1111/jgs.14944.</w:t>
      </w:r>
    </w:p>
    <w:p>
      <w:pPr>
        <w:spacing w:line="360" w:lineRule="auto" w:after="120"/>
        <w:ind w:left="288" w:hanging="288"/>
      </w:pPr>
      <w:r>
        <w:rPr>
          <w:rFonts w:ascii="Times New Roman" w:hAnsi="Times New Roman" w:eastAsia="Times New Roman"/>
          <w:sz w:val="24"/>
        </w:rPr>
        <w:t>20. Choi S, Kim K, Chang J, Kim SM, Kim SJ, Cho HJ, et al. Association of chronic periodontitis on Alzheimer’s disease or vascular dementia. J Am Geriatr Soc. 2019;67(6):1234-1239. doi:10.1111/jgs.15828.</w:t>
      </w:r>
    </w:p>
    <w:p>
      <w:pPr>
        <w:spacing w:line="360" w:lineRule="auto" w:after="120"/>
        <w:ind w:left="288" w:hanging="288"/>
      </w:pPr>
      <w:r>
        <w:rPr>
          <w:rFonts w:ascii="Times New Roman" w:hAnsi="Times New Roman" w:eastAsia="Times New Roman"/>
          <w:sz w:val="24"/>
        </w:rPr>
        <w:t>21. Sung CE, Huang RY, Cheng WC, Kao TW, Chen WL. Association between periodontitis and cognitive impairment: analysis of National Health and Nutrition Examination Survey III. J Clin Periodontol. 2019;46(8):790-798. doi:10.1111/jcpe.13155.</w:t>
      </w:r>
    </w:p>
    <w:p>
      <w:pPr>
        <w:spacing w:line="360" w:lineRule="auto" w:after="120"/>
        <w:ind w:left="288" w:hanging="288"/>
      </w:pPr>
      <w:r>
        <w:rPr>
          <w:rFonts w:ascii="Times New Roman" w:hAnsi="Times New Roman" w:eastAsia="Times New Roman"/>
          <w:sz w:val="24"/>
        </w:rPr>
        <w:t>22. Jeong E, Park JB, Park YG. Evaluation of the association between periodontitis and risk of Parkinson’s disease: a nationwide retrospective cohort study. Sci Rep. 2021;11:16594. doi:10.1038/s41598-021-96147-4.</w:t>
      </w:r>
    </w:p>
    <w:p>
      <w:pPr>
        <w:spacing w:line="360" w:lineRule="auto" w:after="120"/>
        <w:ind w:left="288" w:hanging="288"/>
      </w:pPr>
      <w:r>
        <w:rPr>
          <w:rFonts w:ascii="Times New Roman" w:hAnsi="Times New Roman" w:eastAsia="Times New Roman"/>
          <w:sz w:val="24"/>
        </w:rPr>
        <w:t>23. Kim SR, Son M, Kim YR, Kang HK. Risk of dementia according to the severity of chronic periodontitis in Korea: a nationwide retrospective cohort study. Epidemiol Health. 2022;44:e2022077. doi:10.4178/epih.e2022077.</w:t>
      </w:r>
    </w:p>
    <w:p>
      <w:pPr>
        <w:spacing w:line="360" w:lineRule="auto" w:after="120"/>
        <w:ind w:left="288" w:hanging="288"/>
      </w:pPr>
      <w:r>
        <w:rPr>
          <w:rFonts w:ascii="Times New Roman" w:hAnsi="Times New Roman" w:eastAsia="Times New Roman"/>
          <w:sz w:val="24"/>
        </w:rPr>
        <w:t>24. Luo H, Wu B, González HM, Stickel A, Kaste LM, Tarraf W, et al. Tooth loss, periodontal disease, and mild cognitive impairment among Hispanic/Latino immigrants: the moderating effects of age at immigration. J Gerontol A Biol Sci Med Sci. 2023;78(6):949-957. doi:10.1093/gerona/glac178.</w:t>
      </w:r>
    </w:p>
    <w:p>
      <w:pPr>
        <w:spacing w:line="360" w:lineRule="auto" w:after="120"/>
        <w:ind w:left="288" w:hanging="288"/>
      </w:pPr>
      <w:r>
        <w:rPr>
          <w:rFonts w:ascii="Times New Roman" w:hAnsi="Times New Roman" w:eastAsia="Times New Roman"/>
          <w:sz w:val="24"/>
        </w:rPr>
        <w:t>25. Igase M, Igase K, Hino S, Uchida D, Okada Y, Ochi M, et al. Association of periodontitis with mild cognitive impairment in older adults. J Aging Res Lifestyle. 2024;13:108-112. doi:10.14283/jarlife.2024.16.</w:t>
      </w:r>
    </w:p>
    <w:p>
      <w:pPr>
        <w:spacing w:line="360" w:lineRule="auto" w:after="120"/>
        <w:ind w:left="288" w:hanging="288"/>
      </w:pPr>
      <w:r>
        <w:rPr>
          <w:rFonts w:ascii="Times New Roman" w:hAnsi="Times New Roman" w:eastAsia="Times New Roman"/>
          <w:sz w:val="24"/>
        </w:rPr>
        <w:t>26. Gil-Montoya JA, Gerez-Muñoz MJ, Triviño-Ibáñez E, Carrera-Muñoz I, Bravo M, Rashki M, et al. Periodontal disease and brain amyloid pathology in mild cognitive impairment. Neurologia. 2025;40(7):641-650. doi:10.1016/j.nrleng.2025.07.008.</w:t>
      </w:r>
    </w:p>
    <w:p>
      <w:pPr>
        <w:spacing w:line="360" w:lineRule="auto" w:after="120"/>
        <w:ind w:left="288" w:hanging="288"/>
      </w:pPr>
      <w:r>
        <w:rPr>
          <w:rFonts w:ascii="Times New Roman" w:hAnsi="Times New Roman" w:eastAsia="Times New Roman"/>
          <w:sz w:val="24"/>
        </w:rPr>
        <w:t>27. Sun Q, Li M. Association between periodontitis and cognitive impairment in older adults: a cross-sectional study of the National Health and Nutrition Examination Survey. Clin Epidemiol Glob Health. 2025;33:102020. doi:10.1016/j.cegh.2025.102020.</w:t>
      </w:r>
    </w:p>
    <w:p>
      <w:pPr>
        <w:spacing w:line="360" w:lineRule="auto" w:after="120"/>
        <w:ind w:left="288" w:hanging="288"/>
      </w:pPr>
      <w:r>
        <w:rPr>
          <w:rFonts w:ascii="Times New Roman" w:hAnsi="Times New Roman" w:eastAsia="Times New Roman"/>
          <w:sz w:val="24"/>
        </w:rPr>
        <w:t>28. Aranda Romo S, Garrocho-Rangel A, Marín González A, Cepeda-Bravo A, Jiménez-Capdeville ME, Ortega Rodríguez C, et al. Cognitive status and periodontitis: is there a correlation? A cross-sectional study. Dent Med Probl. 2025;62(4):591-600. doi:10.17219/dmp/177412.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