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F5AB" w14:textId="77777777" w:rsidR="006A449D" w:rsidRDefault="00000000">
      <w:pPr>
        <w:spacing w:after="80"/>
        <w:jc w:val="center"/>
      </w:pPr>
      <w:r>
        <w:rPr>
          <w:rFonts w:eastAsia="Times New Roman"/>
          <w:b/>
        </w:rPr>
        <w:t>Periodontitis and Neurocognitive Outcomes: Systematic Review and Meta-Analysis</w:t>
      </w:r>
    </w:p>
    <w:p w14:paraId="3F0E4503" w14:textId="77777777" w:rsidR="006A449D" w:rsidRDefault="00000000">
      <w:pPr>
        <w:spacing w:after="40"/>
        <w:jc w:val="center"/>
      </w:pPr>
      <w:r>
        <w:rPr>
          <w:rFonts w:eastAsia="Times New Roman"/>
        </w:rPr>
        <w:t>Systematic Review and Meta-Analysis</w:t>
      </w:r>
    </w:p>
    <w:p w14:paraId="217A5E28" w14:textId="77777777" w:rsidR="006A449D" w:rsidRDefault="00000000">
      <w:pPr>
        <w:spacing w:after="160"/>
        <w:jc w:val="center"/>
      </w:pPr>
      <w:r>
        <w:rPr>
          <w:rFonts w:eastAsia="Times New Roman"/>
        </w:rPr>
        <w:t>Short title: Periodontitis and neurocognitive outcomes</w:t>
      </w:r>
    </w:p>
    <w:p w14:paraId="6E7AE4BE" w14:textId="77777777" w:rsidR="006A449D" w:rsidRDefault="00000000">
      <w:pPr>
        <w:spacing w:before="160" w:after="40"/>
      </w:pPr>
      <w:r>
        <w:rPr>
          <w:rFonts w:eastAsia="Times New Roman"/>
          <w:b/>
        </w:rPr>
        <w:t>Abstract</w:t>
      </w:r>
    </w:p>
    <w:p w14:paraId="7BA64069" w14:textId="77777777" w:rsidR="006A449D" w:rsidRDefault="00000000" w:rsidP="004A0F6D">
      <w:pPr>
        <w:jc w:val="both"/>
      </w:pPr>
      <w:r>
        <w:rPr>
          <w:rFonts w:eastAsia="Times New Roman"/>
          <w:b/>
        </w:rPr>
        <w:t xml:space="preserve">Background: </w:t>
      </w:r>
      <w:r>
        <w:rPr>
          <w:rFonts w:eastAsia="Times New Roman"/>
        </w:rPr>
        <w:t>Periodontitis is a chronic inflammatory oral disease that has been associated with cognitive impairment and several neurodegenerative outcomes. Interpretation of this literature remains difficult because studies differ in periodontal exposure definitions, neurological outcomes, study designs, comparison groups, and effect measures.</w:t>
      </w:r>
    </w:p>
    <w:p w14:paraId="3401F1DC" w14:textId="77777777" w:rsidR="006A449D" w:rsidRDefault="00000000" w:rsidP="004A0F6D">
      <w:pPr>
        <w:jc w:val="both"/>
      </w:pPr>
      <w:r>
        <w:rPr>
          <w:rFonts w:eastAsia="Times New Roman"/>
          <w:b/>
        </w:rPr>
        <w:t xml:space="preserve">Purpose: </w:t>
      </w:r>
      <w:r>
        <w:rPr>
          <w:rFonts w:eastAsia="Times New Roman"/>
        </w:rPr>
        <w:t>To synthesize contemporary observational evidence on the association of periodontitis or periodontal disease with cognitive impairment, dementia, and selected neurodegenerative outcomes, while explicitly considering the clinical and methodological heterogeneity of the available evidence.</w:t>
      </w:r>
    </w:p>
    <w:p w14:paraId="49A8462F" w14:textId="77777777" w:rsidR="006A449D" w:rsidRDefault="00000000" w:rsidP="004A0F6D">
      <w:pPr>
        <w:jc w:val="both"/>
      </w:pPr>
      <w:r>
        <w:rPr>
          <w:rFonts w:eastAsia="Times New Roman"/>
          <w:b/>
        </w:rPr>
        <w:t xml:space="preserve">Materials and Method: </w:t>
      </w:r>
      <w:r>
        <w:rPr>
          <w:rFonts w:eastAsia="Times New Roman"/>
        </w:rPr>
        <w:t>PubMed/MEDLINE, Scopus, and Web of Science were searched for articles published from 2017 to 2025. The final search was conducted in December 2025. Eligible studies involved adult or older adult populations and evaluated periodontitis or periodontal disease as the exposure. Twelve studies involving 7,335,538 participants were included. Risk of bias was assessed using Joanna Briggs Institute critical appraisal tools. Meta-analysis was performed in JASP using a random-effects model; heterogeneity was evaluated with Q and I² statistics.</w:t>
      </w:r>
    </w:p>
    <w:p w14:paraId="57995AEE" w14:textId="77777777" w:rsidR="006A449D" w:rsidRDefault="00000000" w:rsidP="004A0F6D">
      <w:pPr>
        <w:jc w:val="both"/>
      </w:pPr>
      <w:r>
        <w:rPr>
          <w:rFonts w:eastAsia="Times New Roman"/>
          <w:b/>
        </w:rPr>
        <w:t xml:space="preserve">Results: </w:t>
      </w:r>
      <w:r>
        <w:rPr>
          <w:rFonts w:eastAsia="Times New Roman"/>
        </w:rPr>
        <w:t>The pooled effect estimate was 0.15, representing a standardized effect size, with a 95% confidence interval of 0.05-0.26 and p = 0.007. Heterogeneity was substantial (Q(11) = 39.24, p &lt; 0.001; I² = 72.0%). Across studies, the direction of findings was generally compatible with an association, but the magnitude and interpretation varied according to study design, periodontal definition, neurological outcome, and statistical measure.</w:t>
      </w:r>
    </w:p>
    <w:p w14:paraId="31423ED8" w14:textId="77777777" w:rsidR="006A449D" w:rsidRDefault="00000000" w:rsidP="004A0F6D">
      <w:pPr>
        <w:jc w:val="both"/>
      </w:pPr>
      <w:r>
        <w:rPr>
          <w:rFonts w:eastAsia="Times New Roman"/>
          <w:b/>
        </w:rPr>
        <w:t xml:space="preserve">Conclusion: </w:t>
      </w:r>
      <w:r>
        <w:rPr>
          <w:rFonts w:eastAsia="Times New Roman"/>
        </w:rPr>
        <w:t>Periodontitis may be associated with cognitive impairment, dementia, and selected neurodegenerative outcomes. The pooled result should be interpreted as an overall standardized association across heterogeneous observational evidence rather than as a disease-specific risk estimate or evidence of causality.</w:t>
      </w:r>
    </w:p>
    <w:p w14:paraId="5571AAE6" w14:textId="77777777" w:rsidR="006A449D" w:rsidRDefault="00000000" w:rsidP="004A0F6D">
      <w:pPr>
        <w:jc w:val="both"/>
      </w:pPr>
      <w:r>
        <w:rPr>
          <w:rFonts w:eastAsia="Times New Roman"/>
          <w:b/>
        </w:rPr>
        <w:t xml:space="preserve">Keywords: </w:t>
      </w:r>
      <w:r>
        <w:rPr>
          <w:rFonts w:eastAsia="Times New Roman"/>
        </w:rPr>
        <w:t>Alzheimer disease; cognitive dysfunction; dementia; neurodegenerative diseases; periodontitis</w:t>
      </w:r>
    </w:p>
    <w:p w14:paraId="04B62FDF" w14:textId="77777777" w:rsidR="006A449D" w:rsidRDefault="00000000">
      <w:pPr>
        <w:spacing w:before="160" w:after="40"/>
      </w:pPr>
      <w:r>
        <w:rPr>
          <w:rFonts w:eastAsia="Times New Roman"/>
          <w:b/>
        </w:rPr>
        <w:lastRenderedPageBreak/>
        <w:t>Introduction</w:t>
      </w:r>
    </w:p>
    <w:p w14:paraId="5C572A38" w14:textId="77777777" w:rsidR="006A449D" w:rsidRDefault="00000000">
      <w:pPr>
        <w:ind w:firstLine="425"/>
        <w:jc w:val="both"/>
      </w:pPr>
      <w:r>
        <w:rPr>
          <w:rFonts w:eastAsia="Times New Roman"/>
        </w:rPr>
        <w:t>Periodontitis is a chronic inflammatory disease affecting the supporting tissues of the teeth. It is characterized by gingival inflammation, periodontal pocket formation, clinical attachment loss, alveolar bone destruction, and, in advanced stages, tooth loss. Beyond its local effects on oral function, mastication, nutrition, and quality of life, periodontitis has increasingly been discussed as a chronic inflammatory condition that may be associated with systemic health outcomes [1].</w:t>
      </w:r>
    </w:p>
    <w:p w14:paraId="16FB86A1" w14:textId="77777777" w:rsidR="006A449D" w:rsidRDefault="00000000">
      <w:pPr>
        <w:ind w:firstLine="425"/>
        <w:jc w:val="both"/>
      </w:pPr>
      <w:r>
        <w:rPr>
          <w:rFonts w:eastAsia="Times New Roman"/>
        </w:rPr>
        <w:t>Cognitive impairment and neurodegenerative diseases are major health problems in adult and older populations. Dementia is associated with progressive decline in memory, thinking, behavior, and daily functioning, while Alzheimer disease, vascular dementia, Parkinson disease, and related conditions contribute substantially to disability in older adults [2]. The coexistence of periodontal disease and cognitive decline in aging populations has therefore raised interest in whether periodontal status is associated with cognitive and neurological outcomes.</w:t>
      </w:r>
    </w:p>
    <w:p w14:paraId="4A6891A0" w14:textId="77777777" w:rsidR="006A449D" w:rsidRDefault="00000000">
      <w:pPr>
        <w:ind w:firstLine="425"/>
        <w:jc w:val="both"/>
      </w:pPr>
      <w:r>
        <w:rPr>
          <w:rFonts w:eastAsia="Times New Roman"/>
        </w:rPr>
        <w:t>Several biological mechanisms have been proposed to explain this possible association. Periodontal pathogens and periodontal inflammation can stimulate the release of inflammatory mediators, including interleukin-1β, interleukin-6, tumor necrosis factor-α, and C-reactive protein. These mediators may enter systemic circulation and may contribute to endothelial dysfunction, oxidative stress, blood-brain barrier disruption, and neuroinflammatory processes. The oral-brain axis has been proposed as one possible pathway linking periodontal inflammation with pathological processes in the brain [3].</w:t>
      </w:r>
    </w:p>
    <w:p w14:paraId="28A77760" w14:textId="77777777" w:rsidR="006A449D" w:rsidRDefault="00000000">
      <w:pPr>
        <w:ind w:firstLine="425"/>
        <w:jc w:val="both"/>
      </w:pPr>
      <w:r>
        <w:rPr>
          <w:rFonts w:eastAsia="Times New Roman"/>
          <w:i/>
        </w:rPr>
        <w:t>Porphyromonas gingivalis</w:t>
      </w:r>
      <w:r>
        <w:rPr>
          <w:rFonts w:eastAsia="Times New Roman"/>
        </w:rPr>
        <w:t xml:space="preserve"> has received particular attention because of its lipopolysaccharides, gingipains, and other virulence factors. Previous evidence suggests that </w:t>
      </w:r>
      <w:r>
        <w:rPr>
          <w:rFonts w:eastAsia="Times New Roman"/>
          <w:i/>
        </w:rPr>
        <w:t>Porphyromonas gingivalis</w:t>
      </w:r>
      <w:r>
        <w:rPr>
          <w:rFonts w:eastAsia="Times New Roman"/>
        </w:rPr>
        <w:t xml:space="preserve"> may contribute to neuroinflammatory pathways, while experimental findings have reported that </w:t>
      </w:r>
      <w:r>
        <w:rPr>
          <w:rFonts w:eastAsia="Times New Roman"/>
          <w:i/>
        </w:rPr>
        <w:t>Porphyromonas gingivalis</w:t>
      </w:r>
      <w:r>
        <w:rPr>
          <w:rFonts w:eastAsia="Times New Roman"/>
        </w:rPr>
        <w:t>-induced periodontitis may promote neuroinflammation, tau hyperphosphorylation, neuronal loss, and dysfunction of the brain barrier [4,5]. These mechanisms provide biological plausibility, but they do not establish causality in human observational evidence.</w:t>
      </w:r>
    </w:p>
    <w:p w14:paraId="3B9B65F5" w14:textId="77777777" w:rsidR="006A449D" w:rsidRDefault="00000000">
      <w:pPr>
        <w:ind w:firstLine="425"/>
        <w:jc w:val="both"/>
      </w:pPr>
      <w:r>
        <w:rPr>
          <w:rFonts w:eastAsia="Times New Roman"/>
        </w:rPr>
        <w:t xml:space="preserve">Previous systematic reviews have reported associations between periodontal disease, tooth loss, cognitive impairment, dementia, and Alzheimer disease-related pathology [6-12]. However, these reviews differ in scope and methodology. Some focus mainly on dementia or Alzheimer disease, whereas others combine broader oral-health exposures such as tooth loss with periodontal disease or combine distinct cognitive outcomes. Differences in periodontal </w:t>
      </w:r>
      <w:r>
        <w:rPr>
          <w:rFonts w:eastAsia="Times New Roman"/>
        </w:rPr>
        <w:lastRenderedPageBreak/>
        <w:t>definitions, neurological outcome categories, study design, follow-up, comparator groups, and effect measures continue to complicate interpretation. Accordingly, a broad synthesis can be informative only if the neurological outcomes are not treated as clinically interchangeable and the pooled estimate is interpreted cautiously.</w:t>
      </w:r>
    </w:p>
    <w:p w14:paraId="53A337CD" w14:textId="77777777" w:rsidR="006A449D" w:rsidRDefault="00000000">
      <w:pPr>
        <w:ind w:firstLine="425"/>
        <w:jc w:val="both"/>
      </w:pPr>
      <w:r>
        <w:rPr>
          <w:rFonts w:eastAsia="Times New Roman"/>
        </w:rPr>
        <w:t>The present review was designed to synthesize contemporary primary observational evidence published from 2017 to 2025 with periodontitis or periodontal disease as the principal exposure. Periodontal-related indicators were retained only when the original study explicitly linked them to periodontal status. The review aimed to describe the direction and consistency of associations across cognitive impairment, dementia, Alzheimer disease, Parkinson disease, vascular dementia, and related neurodegenerative outcomes; to document heterogeneity in exposure definitions, outcome categories, comparison groups, and reported effect measures; and to interpret the pooled estimate as an overall standardized association rather than evidence of a disease-specific causal effect.</w:t>
      </w:r>
    </w:p>
    <w:p w14:paraId="37A09E79" w14:textId="77777777" w:rsidR="006A449D" w:rsidRDefault="00000000">
      <w:pPr>
        <w:spacing w:before="160" w:after="40"/>
      </w:pPr>
      <w:r>
        <w:rPr>
          <w:rFonts w:eastAsia="Times New Roman"/>
          <w:b/>
        </w:rPr>
        <w:t>Materials and Methods</w:t>
      </w:r>
    </w:p>
    <w:p w14:paraId="27EC4A1F" w14:textId="77777777" w:rsidR="006A449D" w:rsidRDefault="00000000">
      <w:pPr>
        <w:spacing w:before="80" w:after="40"/>
      </w:pPr>
      <w:r>
        <w:rPr>
          <w:rFonts w:eastAsia="Times New Roman"/>
          <w:b/>
        </w:rPr>
        <w:t>Study Design</w:t>
      </w:r>
    </w:p>
    <w:p w14:paraId="2EE449A6" w14:textId="77777777" w:rsidR="006A449D" w:rsidRDefault="00000000">
      <w:pPr>
        <w:ind w:firstLine="425"/>
        <w:jc w:val="both"/>
      </w:pPr>
      <w:r>
        <w:rPr>
          <w:rFonts w:eastAsia="Times New Roman"/>
        </w:rPr>
        <w:t>This systematic review and meta-analysis synthesized primary observational studies examining periodontitis or periodontal disease in relation to cognitive impairment, dementia, and selected neurodegenerative outcomes. The review was conducted according to the PRISMA 2020 guideline [15], and the reporting was additionally reviewed against MOOSE recommendations for meta-analyses of observational studies [17]. General principles of quantitative synthesis and heterogeneity assessment followed the Cochrane Handbook [16]. The review question was intentionally etiological/associational rather than interventional; therefore, observational evidence was the primary focus.</w:t>
      </w:r>
    </w:p>
    <w:p w14:paraId="06EA3C9A" w14:textId="77777777" w:rsidR="006A449D" w:rsidRDefault="00000000">
      <w:pPr>
        <w:spacing w:before="80" w:after="40"/>
      </w:pPr>
      <w:r>
        <w:rPr>
          <w:rFonts w:eastAsia="Times New Roman"/>
          <w:b/>
        </w:rPr>
        <w:t>PECO Framework</w:t>
      </w:r>
    </w:p>
    <w:p w14:paraId="63238482" w14:textId="77777777" w:rsidR="006A449D" w:rsidRDefault="00000000">
      <w:pPr>
        <w:ind w:firstLine="425"/>
        <w:jc w:val="both"/>
      </w:pPr>
      <w:r>
        <w:rPr>
          <w:rFonts w:eastAsia="Times New Roman"/>
        </w:rPr>
        <w:t xml:space="preserve">The research question was developed using the PECO framework. The population consisted of adult or older adult individuals whose periodontal and cognitive or neurological status were assessed. Tooth loss was not considered as the population, but as a periodontal-related indicator when the original study clearly linked it to periodontal disease or periodontal health status. The exposure was periodontitis or periodontal disease, including clinical diagnosis, clinical attachment loss, probing pocket depth, bleeding on probing, alveolar bone loss, periodontal </w:t>
      </w:r>
      <w:r>
        <w:rPr>
          <w:rFonts w:eastAsia="Times New Roman"/>
        </w:rPr>
        <w:lastRenderedPageBreak/>
        <w:t>treatment status, or other periodontal indicators reported in the included studies. Because these indicators do not represent identical exposure definitions, they were interpreted as related but heterogeneous measures of periodontal status. The comparison group consisted of individuals without periodontitis, individuals with less severe periodontal disease, individuals with better periodontal health, or reference groups defined in the original studies. The outcomes included cognitive impairment, mild cognitive impairment, cognitive decline, dementia, Alzheimer disease, Parkinson disease, vascular dementia, and other neurodegenerative outcomes.</w:t>
      </w:r>
    </w:p>
    <w:p w14:paraId="649F61A4" w14:textId="77777777" w:rsidR="006A449D" w:rsidRDefault="00000000">
      <w:pPr>
        <w:jc w:val="both"/>
      </w:pPr>
      <w:r>
        <w:rPr>
          <w:rFonts w:eastAsia="Times New Roman"/>
        </w:rPr>
        <w:t>Table 1 summarizes the PECO framework used for the review.</w:t>
      </w:r>
    </w:p>
    <w:p w14:paraId="5171B86E" w14:textId="77777777" w:rsidR="006A449D" w:rsidRDefault="00000000">
      <w:pPr>
        <w:spacing w:before="80" w:after="40"/>
      </w:pPr>
      <w:r>
        <w:rPr>
          <w:rFonts w:eastAsia="Times New Roman"/>
          <w:b/>
        </w:rPr>
        <w:t>Search Strategy</w:t>
      </w:r>
    </w:p>
    <w:p w14:paraId="12BD245D" w14:textId="77777777" w:rsidR="006A449D" w:rsidRDefault="00000000">
      <w:pPr>
        <w:ind w:firstLine="425"/>
        <w:jc w:val="both"/>
      </w:pPr>
      <w:r>
        <w:rPr>
          <w:rFonts w:eastAsia="Times New Roman"/>
        </w:rPr>
        <w:t>A systematic literature search was conducted in PubMed/MEDLINE, Scopus, and Web of Science. The final literature search was conducted in December 2025; therefore, articles indexed after this search date were not included in the quantitative dataset. The lower publication boundary of 2017 was prespecified to focus on contemporary observational evidence and to reduce variability arising from older periodontal definitions and older approaches to neurological outcome reporting. This boundary was methodological and was not intended to imply that earlier evidence was absent. Periodontal exposure terms included periodontitis, periodontal disease, periodontal health, clinical attachment loss, probing pocket depth, alveolar bone loss, and tooth loss. Cognitive and neurodegenerative outcome terms included cognitive impairment, cognitive decline, mild cognitive impairment, dementia, Alzheimer disease, Parkinson disease, and neurodegenerative disease. Terms related to statistical measures, including odds ratio, confidence interval, risk factor, and association, were also used to identify studies suitable for quantitative synthesis. The database-specific search strings and numbers of identified records are presented in Table 2.</w:t>
      </w:r>
    </w:p>
    <w:p w14:paraId="7D28B370" w14:textId="77777777" w:rsidR="006A449D" w:rsidRDefault="00000000">
      <w:pPr>
        <w:spacing w:before="80" w:after="40"/>
      </w:pPr>
      <w:r>
        <w:rPr>
          <w:rFonts w:eastAsia="Times New Roman"/>
          <w:b/>
        </w:rPr>
        <w:t>Eligibility Criteria</w:t>
      </w:r>
    </w:p>
    <w:p w14:paraId="1D78BD9C" w14:textId="77777777" w:rsidR="006A449D" w:rsidRDefault="00000000">
      <w:pPr>
        <w:ind w:firstLine="425"/>
        <w:jc w:val="both"/>
      </w:pPr>
      <w:r>
        <w:rPr>
          <w:rFonts w:eastAsia="Times New Roman"/>
        </w:rPr>
        <w:t xml:space="preserve">The inclusion criteria were as follows: articles published from 2017 to 2025; primary quantitative observational studies; adult or older adult populations; studies examining periodontitis or periodontal disease as the main exposure; studies evaluating cognitive impairment, cognitive decline, dementia, Alzheimer disease, Parkinson disease, vascular dementia, or other neurodegenerative outcomes; studies reporting odds ratio, adjusted odds ratio, hazard ratio, adjusted hazard ratio, beta coefficient, confidence interval, p-value, or data that </w:t>
      </w:r>
      <w:r>
        <w:rPr>
          <w:rFonts w:eastAsia="Times New Roman"/>
        </w:rPr>
        <w:lastRenderedPageBreak/>
        <w:t>could be used for effect size calculation; full-text availability; and articles written in English or Indonesian.</w:t>
      </w:r>
    </w:p>
    <w:p w14:paraId="3C0ECF22" w14:textId="77777777" w:rsidR="006A449D" w:rsidRDefault="00000000">
      <w:pPr>
        <w:ind w:firstLine="425"/>
        <w:jc w:val="both"/>
      </w:pPr>
      <w:r>
        <w:rPr>
          <w:rFonts w:eastAsia="Times New Roman"/>
        </w:rPr>
        <w:t>The exclusion criteria were review articles, systematic reviews, meta-analyses, scoping reviews, narrative reviews, editorials, letters, protocols, case reports, and case series; clinical trials or intervention studies that primarily evaluated treatment effects rather than observational associations; studies that did not separate periodontitis data from other oral health exposures; studies that only discussed periodontal microbiology without cognitive or neurological outcomes; studies without usable statistical data; and duplicate studies from the same dataset. Clinical trials were not included because they address whether an intervention changes an outcome, whereas the present PECO question concerned the association between periodontal status and cognitive or neurodegenerative outcomes in human populations.</w:t>
      </w:r>
    </w:p>
    <w:p w14:paraId="1F2D0D71" w14:textId="77777777" w:rsidR="006A449D" w:rsidRDefault="00000000">
      <w:pPr>
        <w:spacing w:before="80" w:after="40"/>
      </w:pPr>
      <w:r>
        <w:rPr>
          <w:rFonts w:eastAsia="Times New Roman"/>
          <w:b/>
        </w:rPr>
        <w:t>Study Selection</w:t>
      </w:r>
    </w:p>
    <w:p w14:paraId="1E696379" w14:textId="77777777" w:rsidR="006A449D" w:rsidRDefault="00000000">
      <w:pPr>
        <w:ind w:firstLine="425"/>
        <w:jc w:val="both"/>
      </w:pPr>
      <w:r>
        <w:rPr>
          <w:rFonts w:eastAsia="Times New Roman"/>
        </w:rPr>
        <w:t>Three reviewers independently screened titles and abstracts and then assessed the full text of potentially eligible articles. Differences in eligibility decisions were resolved through discussion. The study selection process was documented using the PRISMA flow diagram.</w:t>
      </w:r>
    </w:p>
    <w:p w14:paraId="4C19CE01" w14:textId="77777777" w:rsidR="006A449D" w:rsidRDefault="00000000">
      <w:pPr>
        <w:spacing w:before="80" w:after="40"/>
      </w:pPr>
      <w:r>
        <w:rPr>
          <w:rFonts w:eastAsia="Times New Roman"/>
          <w:b/>
        </w:rPr>
        <w:t>Data Extraction</w:t>
      </w:r>
    </w:p>
    <w:p w14:paraId="1500ED48" w14:textId="77777777" w:rsidR="006A449D" w:rsidRDefault="00000000">
      <w:pPr>
        <w:ind w:firstLine="425"/>
        <w:jc w:val="both"/>
      </w:pPr>
      <w:r>
        <w:rPr>
          <w:rFonts w:eastAsia="Times New Roman"/>
        </w:rPr>
        <w:t>Three reviewers used a standardized extraction form to collect author name, year of publication, country or data source, study design, sample size, periodontal exposure, comparison group, cognitive or neurodegenerative outcome, outcome assessment method, statistical measure, effect estimate, confidence interval, p-value, follow-up duration for cohort studies, and main conclusion. Extracted effect measures included odds ratios, adjusted odds ratios, hazard ratios, adjusted hazard ratios, beta coefficients, confidence intervals, and p-values according to the reporting format of each original study.</w:t>
      </w:r>
    </w:p>
    <w:p w14:paraId="5F9BB2BA" w14:textId="77777777" w:rsidR="006A449D" w:rsidRDefault="00000000">
      <w:pPr>
        <w:spacing w:before="80" w:after="40"/>
      </w:pPr>
      <w:r>
        <w:rPr>
          <w:rFonts w:eastAsia="Times New Roman"/>
          <w:b/>
        </w:rPr>
        <w:t>Risk of Bias Assessment</w:t>
      </w:r>
    </w:p>
    <w:p w14:paraId="73248606" w14:textId="77777777" w:rsidR="006A449D" w:rsidRDefault="00000000">
      <w:pPr>
        <w:ind w:firstLine="425"/>
        <w:jc w:val="both"/>
      </w:pPr>
      <w:r>
        <w:rPr>
          <w:rFonts w:eastAsia="Times New Roman"/>
        </w:rPr>
        <w:t>Risk of bias was assessed using the Joanna Briggs Institute critical appraisal tools according to the design of the included studies. The assessment considered appropriateness of study design, participant selection, exposure measurement, outcome assessment, control of confounding factors, follow-up adequacy for cohort studies, and statistical analysis. Risk-of-bias findings were used to support interpretation rather than to exclude studies automatically. The study-level appraisal is presented in Table 3.</w:t>
      </w:r>
    </w:p>
    <w:p w14:paraId="5B368911" w14:textId="77777777" w:rsidR="006A449D" w:rsidRDefault="00000000">
      <w:pPr>
        <w:ind w:firstLine="425"/>
        <w:jc w:val="both"/>
      </w:pPr>
      <w:r>
        <w:rPr>
          <w:rFonts w:eastAsia="Times New Roman"/>
        </w:rPr>
        <w:lastRenderedPageBreak/>
        <w:t>Overall, the included studies were judged as having moderate risk of bias. The main methodological concerns were residual confounding, possible exposure or outcome misclassification, and limited ability to establish temporality, particularly in cross-sectional studies. The findings were therefore interpreted as evidence of association rather than causality.</w:t>
      </w:r>
    </w:p>
    <w:p w14:paraId="563538CD" w14:textId="77777777" w:rsidR="006A449D" w:rsidRDefault="00000000">
      <w:pPr>
        <w:spacing w:before="80" w:after="40"/>
      </w:pPr>
      <w:r>
        <w:rPr>
          <w:rFonts w:eastAsia="Times New Roman"/>
          <w:b/>
        </w:rPr>
        <w:t>Data Analysis</w:t>
      </w:r>
    </w:p>
    <w:p w14:paraId="52D0F254" w14:textId="77777777" w:rsidR="006A449D" w:rsidRDefault="00000000">
      <w:pPr>
        <w:ind w:firstLine="425"/>
        <w:jc w:val="both"/>
      </w:pPr>
      <w:r>
        <w:rPr>
          <w:rFonts w:eastAsia="Times New Roman"/>
        </w:rPr>
        <w:t>The meta-analysis was conducted using JASP. Effect estimates and 95% confidence intervals from the included studies were entered as the main quantitative data. Odds ratios, adjusted odds ratios, hazard ratios, and adjusted hazard ratios were extracted according to the reporting format of the original studies and were transformed before combination to improve comparability across studies reporting different effect measures. The pooled result was presented as a standardized effect size. Because the included studies did not share one identical neurological endpoint or one identical effect measure, this pooled value was interpreted only as an overall standardized association across the evidence base and not as a disease-specific odds ratio, hazard ratio, or causal risk estimate.</w:t>
      </w:r>
    </w:p>
    <w:p w14:paraId="34ED62E6" w14:textId="77777777" w:rsidR="006A449D" w:rsidRDefault="00000000">
      <w:pPr>
        <w:ind w:firstLine="425"/>
        <w:jc w:val="both"/>
      </w:pPr>
      <w:r>
        <w:rPr>
          <w:rFonts w:eastAsia="Times New Roman"/>
        </w:rPr>
        <w:t>A random-effects model was used because clinical and methodological heterogeneity was expected. The included studies differed in study design, periodontal exposure definition, comparison group, cognitive or neurodegenerative outcome, and statistical measure. Heterogeneity was assessed using the Q statistic and I² statistic. Sensitivity analysis was performed to evaluate the robustness of the pooled estimate and showed that no single study substantially influenced the overall result. A funnel plot was used to visually assess possible publication bias, but it was interpreted cautiously because only 12 studies were included. A p-value of less than 0.05 was considered statistically significant.</w:t>
      </w:r>
    </w:p>
    <w:p w14:paraId="11F7D7FE" w14:textId="77777777" w:rsidR="006A449D" w:rsidRDefault="00000000">
      <w:pPr>
        <w:spacing w:before="80" w:after="40"/>
      </w:pPr>
      <w:r>
        <w:rPr>
          <w:rFonts w:eastAsia="Times New Roman"/>
          <w:b/>
        </w:rPr>
        <w:t>Ethical Considerations</w:t>
      </w:r>
    </w:p>
    <w:p w14:paraId="6C25D4DB" w14:textId="77777777" w:rsidR="006A449D" w:rsidRDefault="00000000">
      <w:pPr>
        <w:ind w:firstLine="425"/>
        <w:jc w:val="both"/>
      </w:pPr>
      <w:r>
        <w:rPr>
          <w:rFonts w:eastAsia="Times New Roman"/>
        </w:rPr>
        <w:t>This study was a systematic review and meta-analysis based on previously published studies. It did not involve direct recruitment of human participants, direct collection of human biological samples, or animal experiments. Therefore, ethical approval and informed consent were not required.</w:t>
      </w:r>
    </w:p>
    <w:p w14:paraId="12B2826A" w14:textId="77777777" w:rsidR="004A0F6D" w:rsidRDefault="004A0F6D">
      <w:pPr>
        <w:spacing w:before="160" w:after="40"/>
        <w:rPr>
          <w:rFonts w:eastAsia="Times New Roman"/>
          <w:b/>
        </w:rPr>
      </w:pPr>
    </w:p>
    <w:p w14:paraId="2C91FD28" w14:textId="77777777" w:rsidR="004A0F6D" w:rsidRDefault="004A0F6D">
      <w:pPr>
        <w:spacing w:before="160" w:after="40"/>
        <w:rPr>
          <w:rFonts w:eastAsia="Times New Roman"/>
          <w:b/>
        </w:rPr>
      </w:pPr>
    </w:p>
    <w:p w14:paraId="41EB7F0B" w14:textId="77777777" w:rsidR="004A0F6D" w:rsidRDefault="004A0F6D">
      <w:pPr>
        <w:spacing w:before="160" w:after="40"/>
        <w:rPr>
          <w:rFonts w:eastAsia="Times New Roman"/>
          <w:b/>
        </w:rPr>
      </w:pPr>
    </w:p>
    <w:p w14:paraId="0263CE7F" w14:textId="77A9A352" w:rsidR="006A449D" w:rsidRDefault="00000000">
      <w:pPr>
        <w:spacing w:before="160" w:after="40"/>
      </w:pPr>
      <w:r>
        <w:rPr>
          <w:rFonts w:eastAsia="Times New Roman"/>
          <w:b/>
        </w:rPr>
        <w:lastRenderedPageBreak/>
        <w:t>Results</w:t>
      </w:r>
    </w:p>
    <w:p w14:paraId="49F59835" w14:textId="77777777" w:rsidR="006A449D" w:rsidRDefault="00000000">
      <w:pPr>
        <w:spacing w:before="80" w:after="40"/>
      </w:pPr>
      <w:r>
        <w:rPr>
          <w:rFonts w:eastAsia="Times New Roman"/>
          <w:b/>
        </w:rPr>
        <w:t>Study Selection</w:t>
      </w:r>
    </w:p>
    <w:p w14:paraId="6DDCFA54" w14:textId="77777777" w:rsidR="006A449D" w:rsidRDefault="00000000">
      <w:pPr>
        <w:ind w:firstLine="425"/>
        <w:jc w:val="both"/>
      </w:pPr>
      <w:r>
        <w:rPr>
          <w:rFonts w:eastAsia="Times New Roman"/>
        </w:rPr>
        <w:t>The article selection process followed the PRISMA 2020 guideline [15]. A total of 378 articles were identified from three databases: 124 from PubMed/MEDLINE, 156 from Scopus, and 98 from Web of Science. After removing 5 duplicate records, 373 articles were screened by title and abstract. A total of 291 articles were excluded during screening. The remaining 82 articles were assessed in full text, and 70 articles were excluded for specific reasons. Finally, 12 studies met the inclusion criteria and were included in the qualitative and quantitative synthesis. The 12 included studies involved a total of 7,335,538 participants across different study designs and data sources. The selection process is shown in Figure 1.</w:t>
      </w:r>
    </w:p>
    <w:p w14:paraId="517C4786" w14:textId="77777777" w:rsidR="006A449D" w:rsidRDefault="00000000">
      <w:pPr>
        <w:spacing w:before="80" w:after="40"/>
      </w:pPr>
      <w:r>
        <w:rPr>
          <w:rFonts w:eastAsia="Times New Roman"/>
          <w:b/>
        </w:rPr>
        <w:t>Characteristics of the Included Studies</w:t>
      </w:r>
    </w:p>
    <w:p w14:paraId="27D0C5CF" w14:textId="77777777" w:rsidR="006A449D" w:rsidRDefault="00000000">
      <w:pPr>
        <w:ind w:firstLine="425"/>
        <w:jc w:val="both"/>
      </w:pPr>
      <w:r>
        <w:rPr>
          <w:rFonts w:eastAsia="Times New Roman"/>
        </w:rPr>
        <w:t>The 12 included studies were published between 2017 and 2025. The highest number of publications appeared in 2017 and 2025, with three studies in each year. Taiwan, South Korea, and the United States were the most common country or data sources, each contributing three studies; other studies were conducted in Mexico, Japan, and Spain. Six studies used cohort or population-based cohort designs, while six used cross-sectional or observational analytical designs. The most frequently examined outcomes were cognitive impairment, mild cognitive impairment, and amyloid pathology. Dementia, Alzheimer disease, and vascular dementia were also reported, while Parkinson disease was examined in one study. Statistical measures included hazard ratio or adjusted hazard ratio, odds ratio or adjusted odds ratio, and beta coefficient with p-value. Table 4 provides the detailed study characteristics.</w:t>
      </w:r>
    </w:p>
    <w:p w14:paraId="0F415FC8" w14:textId="77777777" w:rsidR="006A449D" w:rsidRDefault="00000000">
      <w:pPr>
        <w:spacing w:before="80" w:after="40"/>
      </w:pPr>
      <w:r>
        <w:rPr>
          <w:rFonts w:eastAsia="Times New Roman"/>
          <w:b/>
        </w:rPr>
        <w:t>Summary of Findings</w:t>
      </w:r>
    </w:p>
    <w:p w14:paraId="5A043D5E" w14:textId="77777777" w:rsidR="006A449D" w:rsidRDefault="00000000">
      <w:pPr>
        <w:ind w:firstLine="425"/>
        <w:jc w:val="both"/>
      </w:pPr>
      <w:r>
        <w:rPr>
          <w:rFonts w:eastAsia="Times New Roman"/>
        </w:rPr>
        <w:t xml:space="preserve">Several included studies reported associations between periodontitis or periodontal disease and cognitive or neurodegenerative outcomes. Cohort studies reported associations between chronic, untreated, or severe periodontitis and dementia or Alzheimer disease [18-21,24]. Other observational studies reported associations between periodontal parameters, tooth loss related to periodontal status, mild cognitive impairment, cognitive test performance, amyloid pathology, or Parkinson disease [22,23,25-29]. The reported effect sizes varied from smaller statistically significant associations in very large population-based cohorts to stronger associations in smaller clinical or cross-sectional studies. This variation is consistent with differences in study design, </w:t>
      </w:r>
      <w:r>
        <w:rPr>
          <w:rFonts w:eastAsia="Times New Roman"/>
        </w:rPr>
        <w:lastRenderedPageBreak/>
        <w:t>sample size, periodontal definitions, outcome measures, adjustment for confounding variables, and data sources. Accordingly, the overall direction of evidence may be considered compatible with an association, while the magnitude of that association is not uniform across outcomes.</w:t>
      </w:r>
    </w:p>
    <w:p w14:paraId="6FB32473" w14:textId="77777777" w:rsidR="006A449D" w:rsidRDefault="00000000">
      <w:pPr>
        <w:spacing w:before="80" w:after="40"/>
      </w:pPr>
      <w:r>
        <w:rPr>
          <w:rFonts w:eastAsia="Times New Roman"/>
          <w:b/>
        </w:rPr>
        <w:t>Funnel Plot</w:t>
      </w:r>
    </w:p>
    <w:p w14:paraId="468A3FCC" w14:textId="77777777" w:rsidR="006A449D" w:rsidRDefault="00000000">
      <w:pPr>
        <w:ind w:firstLine="425"/>
        <w:jc w:val="both"/>
      </w:pPr>
      <w:r>
        <w:rPr>
          <w:rFonts w:eastAsia="Times New Roman"/>
        </w:rPr>
        <w:t>The funnel plot was used to assess the distribution of studies based on residual values and standard errors. Some studies were located near the central line, whereas others were positioned farther from the center, indicating visual imbalance. This pattern may reflect differences in sample size, study design, outcome type, and statistical measures. Because only 12 studies were included, the funnel plot was interpreted cautiously and cannot reliably exclude publication bias. The funnel plot is shown in Figure 2.</w:t>
      </w:r>
    </w:p>
    <w:p w14:paraId="40BE3DDD" w14:textId="77777777" w:rsidR="006A449D" w:rsidRDefault="00000000">
      <w:pPr>
        <w:spacing w:before="80" w:after="40"/>
      </w:pPr>
      <w:r>
        <w:rPr>
          <w:rFonts w:eastAsia="Times New Roman"/>
          <w:b/>
        </w:rPr>
        <w:t>Forest Plot and Pooled Effect</w:t>
      </w:r>
    </w:p>
    <w:p w14:paraId="5D582F6F" w14:textId="77777777" w:rsidR="006A449D" w:rsidRDefault="00000000">
      <w:pPr>
        <w:ind w:firstLine="425"/>
        <w:jc w:val="both"/>
      </w:pPr>
      <w:r>
        <w:rPr>
          <w:rFonts w:eastAsia="Times New Roman"/>
        </w:rPr>
        <w:t>The forest plot showed that most studies had an effect direction compatible with an association between periodontal disease and cognitive or selected neurodegenerative outcomes. The pooled effect estimate was 0.15, representing a standardized effect size, with a 95% confidence interval of 0.05-0.26 and p = 0.007. Heterogeneity was significant, with Q(11) = 39.24, p &lt; 0.001, and I² = 72.0%, indicating substantial heterogeneity across the included studies. Because the contributing studies differed in populations, exposure definitions, neurological outcomes, comparison groups, study designs, and statistical measures, the pooled standardized effect should not be interpreted as a risk estimate for any single disease. The forest plot is shown in Figure 3.</w:t>
      </w:r>
    </w:p>
    <w:p w14:paraId="1B20A199" w14:textId="77777777" w:rsidR="006A449D" w:rsidRDefault="00000000">
      <w:pPr>
        <w:spacing w:before="160" w:after="40"/>
      </w:pPr>
      <w:r>
        <w:rPr>
          <w:rFonts w:eastAsia="Times New Roman"/>
          <w:b/>
        </w:rPr>
        <w:t>Discussion</w:t>
      </w:r>
    </w:p>
    <w:p w14:paraId="4DE4301D" w14:textId="77777777" w:rsidR="006A449D" w:rsidRDefault="00000000">
      <w:pPr>
        <w:ind w:firstLine="425"/>
        <w:jc w:val="both"/>
      </w:pPr>
      <w:r>
        <w:rPr>
          <w:rFonts w:eastAsia="Times New Roman"/>
        </w:rPr>
        <w:t>This systematic review and meta-analysis identified a statistically significant overall standardized association between periodontitis and cognitive impairment or selected neurodegenerative outcomes. The pooled effect estimate was 0.15 (95% CI 0.05-0.26; p = 0.007), but the result was accompanied by substantial heterogeneity (I² = 72.0%). The central interpretation is therefore not that periodontitis produces one uniform effect across all neurological diseases, but that a directionally compatible association appears across a heterogeneous body of observational evidence.</w:t>
      </w:r>
    </w:p>
    <w:p w14:paraId="4616B7F4" w14:textId="77777777" w:rsidR="006A449D" w:rsidRDefault="00000000">
      <w:pPr>
        <w:ind w:firstLine="425"/>
        <w:jc w:val="both"/>
      </w:pPr>
      <w:r>
        <w:rPr>
          <w:rFonts w:eastAsia="Times New Roman"/>
        </w:rPr>
        <w:t xml:space="preserve">The contribution of this review lies in its direct synthesis of contemporary primary observational studies while making the heterogeneity of the evidence explicit. Earlier reviews </w:t>
      </w:r>
      <w:r>
        <w:rPr>
          <w:rFonts w:eastAsia="Times New Roman"/>
        </w:rPr>
        <w:lastRenderedPageBreak/>
        <w:t>have reported associations between periodontal disease, tooth loss, dementia, cognitive impairment, and Alzheimer disease-related outcomes [6-12]. The present review differs from narrowly disease-specific syntheses by mapping several related neurocognitive and neurodegenerative outcomes while retaining periodontitis or periodontal disease as the principal exposure. This breadth is useful for identifying cross-outcome consistency, but it also requires a conservative interpretation: cognitive impairment, dementia, Alzheimer disease, Parkinson disease, vascular dementia, amyloid pathology, and cognitive test performance are clinically distinct outcomes and should not be treated as interchangeable.</w:t>
      </w:r>
    </w:p>
    <w:p w14:paraId="709BE94C" w14:textId="77777777" w:rsidR="006A449D" w:rsidRDefault="00000000">
      <w:pPr>
        <w:ind w:firstLine="425"/>
        <w:jc w:val="both"/>
      </w:pPr>
      <w:r>
        <w:rPr>
          <w:rFonts w:eastAsia="Times New Roman"/>
        </w:rPr>
        <w:t>The literature continued to develop after the prespecified December 2025 search cutoff. Systematic and umbrella reviews published in 2026 have further examined periodontitis, tooth loss, mild cognitive impairment, dementia, and Alzheimer disease [30-32]. These later reviews were not eligible for inclusion as primary studies in the present quantitative dataset and were published after the final search. Their emergence reinforces the need to define the present contribution precisely: this study is a synthesis of 12 primary observational studies from 2017-2025, with explicit attention to exposure definitions, comparator groups, neurological outcome diversity, study design, and reported effect measures.</w:t>
      </w:r>
    </w:p>
    <w:p w14:paraId="28520AC3" w14:textId="77777777" w:rsidR="006A449D" w:rsidRDefault="00000000">
      <w:pPr>
        <w:ind w:firstLine="425"/>
        <w:jc w:val="both"/>
      </w:pPr>
      <w:r>
        <w:rPr>
          <w:rFonts w:eastAsia="Times New Roman"/>
        </w:rPr>
        <w:t xml:space="preserve">Biological plausibility is supported by inflammatory, microbial, vascular, and immune pathways. Periodontal pathogens and inflammatory mediators may contribute to systemic inflammation, endothelial dysfunction, oxidative stress, and neuroinflammation. The oral-brain axis has been proposed as one mechanism through which periodontal inflammation may be related to neurological pathology [3]. In particular, </w:t>
      </w:r>
      <w:r>
        <w:rPr>
          <w:rFonts w:eastAsia="Times New Roman"/>
          <w:i/>
        </w:rPr>
        <w:t>Porphyromonas gingivalis</w:t>
      </w:r>
      <w:r>
        <w:rPr>
          <w:rFonts w:eastAsia="Times New Roman"/>
        </w:rPr>
        <w:t xml:space="preserve"> has been discussed in relation to neurodegenerative pathways because of its virulence factors and possible inflammatory effects [4,5]. These mechanisms are biologically supportive, but they do not establish that periodontitis causes cognitive decline in humans.</w:t>
      </w:r>
    </w:p>
    <w:p w14:paraId="6E73A1F2" w14:textId="77777777" w:rsidR="006A449D" w:rsidRDefault="00000000">
      <w:pPr>
        <w:ind w:firstLine="425"/>
        <w:jc w:val="both"/>
      </w:pPr>
      <w:r>
        <w:rPr>
          <w:rFonts w:eastAsia="Times New Roman"/>
        </w:rPr>
        <w:t>Interpretation also depends on the neurological outcome. Evidence appeared more consistent for dementia and Alzheimer disease, whereas evidence for Parkinson disease was limited because only one included study specifically evaluated that outcome [23]. Studies of mild cognitive impairment and beta-amyloid pathology may represent earlier clinical or biomarker-related stages and are not equivalent to diagnosed dementia. The breadth of included outcomes therefore provides a broader view of the periodontal-neurocognitive literature, but it also limits disease-specific inference.</w:t>
      </w:r>
    </w:p>
    <w:p w14:paraId="6518A936" w14:textId="77777777" w:rsidR="006A449D" w:rsidRDefault="00000000">
      <w:pPr>
        <w:ind w:firstLine="425"/>
        <w:jc w:val="both"/>
      </w:pPr>
      <w:r>
        <w:rPr>
          <w:rFonts w:eastAsia="Times New Roman"/>
        </w:rPr>
        <w:lastRenderedPageBreak/>
        <w:t>The substantial heterogeneity is clinically and methodologically important. Differences in periodontal exposure definitions, outcome assessment methods, study design, sample size, follow-up duration, comparison groups, and statistical adjustment can all produce variation in effect estimates. Some studies used clinical periodontal examinations, while others used diagnosis codes, treatment history, tooth loss, or broader periodontal indicators. Outcomes likewise ranged from standardized cognitive tests and mild cognitive impairment to dementia, Alzheimer disease, Parkinson disease, vascular dementia, and amyloid pathology. In addition, the included studies reported different effect measures. For this reason, the standardized pooled effect should be read as a summary index across heterogeneous observational evidence, not as a directly interpretable odds ratio or hazard ratio for a specific neurological outcome.</w:t>
      </w:r>
    </w:p>
    <w:p w14:paraId="7E2076D2" w14:textId="77777777" w:rsidR="006A449D" w:rsidRDefault="00000000">
      <w:pPr>
        <w:ind w:firstLine="425"/>
        <w:jc w:val="both"/>
      </w:pPr>
      <w:r>
        <w:rPr>
          <w:rFonts w:eastAsia="Times New Roman"/>
        </w:rPr>
        <w:t>Residual confounding and reverse causality remain major concerns. Age, sex, education, smoking, diabetes, socioeconomic status, depression, cardiovascular disease, oral hygiene behavior, and access to dental care may influence both periodontal status and cognitive outcomes. Cognitive impairment may also reduce a person's ability to maintain oral hygiene, attend dental visits, and follow periodontal treatment recommendations. The association may therefore be bidirectional, and the included observational studies cannot establish that periodontitis directly causes cognitive decline.</w:t>
      </w:r>
    </w:p>
    <w:p w14:paraId="3E7B604F" w14:textId="77777777" w:rsidR="006A449D" w:rsidRDefault="00000000">
      <w:pPr>
        <w:ind w:firstLine="425"/>
        <w:jc w:val="both"/>
      </w:pPr>
      <w:r>
        <w:rPr>
          <w:rFonts w:eastAsia="Times New Roman"/>
        </w:rPr>
        <w:t>Publication bias should also be considered. Although a funnel plot was presented, only 12 studies were available, making visual assessment of asymmetry imprecise. Apparent imbalance may reflect genuine differences in study size and design rather than selective publication alone. Consequently, publication bias cannot be excluded.</w:t>
      </w:r>
    </w:p>
    <w:p w14:paraId="1E2A80A8" w14:textId="77777777" w:rsidR="006A449D" w:rsidRDefault="00000000">
      <w:pPr>
        <w:ind w:firstLine="425"/>
        <w:jc w:val="both"/>
      </w:pPr>
      <w:r>
        <w:rPr>
          <w:rFonts w:eastAsia="Times New Roman"/>
        </w:rPr>
        <w:t xml:space="preserve">Several limitations should be acknowledged. First, the evidence was observational, limiting causal interpretation. Second, clinical trials were intentionally excluded because the review question concerned association rather than treatment efficacy. Third, periodontal exposure definitions and neurological outcomes varied substantially. Fourth, effect measures included odds ratios, adjusted odds ratios, hazard ratios, adjusted hazard ratios, and beta coefficients. Fifth, subgroup analysis by outcome type, study design, exposure definition, or statistical measure was not performed. Sixth, certainty of evidence was not formally assessed using the GRADE framework. Seventh, the 2017 lower publication boundary, although prespecified to emphasize contemporary evidence and reduce variability from older definitions, necessarily excludes earlier </w:t>
      </w:r>
      <w:r>
        <w:rPr>
          <w:rFonts w:eastAsia="Times New Roman"/>
        </w:rPr>
        <w:lastRenderedPageBreak/>
        <w:t>studies. Finally, the search ended in December 2025, so primary studies indexed after that date were not included.</w:t>
      </w:r>
    </w:p>
    <w:p w14:paraId="5F966B38" w14:textId="77777777" w:rsidR="006A449D" w:rsidRDefault="00000000">
      <w:pPr>
        <w:ind w:firstLine="425"/>
        <w:jc w:val="both"/>
      </w:pPr>
      <w:r>
        <w:rPr>
          <w:rFonts w:eastAsia="Times New Roman"/>
        </w:rPr>
        <w:t>From a dental perspective, these findings support the relevance of periodontal health when considering the broader health of adult and older populations, but they do not demonstrate that periodontal treatment prevents dementia or other neurodegenerative disease. The practical implication is therefore one of integrated assessment and research awareness rather than a causal or preventive claim. Future longitudinal studies should use standardized periodontal definitions, repeated cognitive assessments, longer follow-up, and careful adjustment for shared confounders. Future meta-analyses should also prioritize disease-specific and effect-measure-specific pooling where sufficient studies are available.</w:t>
      </w:r>
    </w:p>
    <w:p w14:paraId="289C3A68" w14:textId="77777777" w:rsidR="006A449D" w:rsidRDefault="00000000">
      <w:pPr>
        <w:spacing w:before="160" w:after="40"/>
      </w:pPr>
      <w:r>
        <w:rPr>
          <w:rFonts w:eastAsia="Times New Roman"/>
          <w:b/>
        </w:rPr>
        <w:t>Conclusion</w:t>
      </w:r>
    </w:p>
    <w:p w14:paraId="0C797350" w14:textId="77777777" w:rsidR="006A449D" w:rsidRDefault="00000000">
      <w:pPr>
        <w:ind w:firstLine="425"/>
        <w:jc w:val="both"/>
      </w:pPr>
      <w:r>
        <w:rPr>
          <w:rFonts w:eastAsia="Times New Roman"/>
        </w:rPr>
        <w:t>Periodontitis and periodontal disease may be associated with cognitive impairment, dementia, and selected neurodegenerative outcomes. The pooled result supports an overall standardized association across the included observational evidence, but it should not be interpreted as a disease-specific risk estimate or proof of causality. Substantial clinical and methodological heterogeneity, residual confounding, and differences in neurological outcomes and effect measures limit the strength of inference. More standardized longitudinal research and outcome-specific quantitative synthesis are needed to clarify the magnitude and direction of these associations.</w:t>
      </w:r>
    </w:p>
    <w:p w14:paraId="2A497B23" w14:textId="77777777" w:rsidR="006A449D" w:rsidRDefault="00000000">
      <w:pPr>
        <w:spacing w:before="160" w:after="40"/>
      </w:pPr>
      <w:r>
        <w:rPr>
          <w:rFonts w:eastAsia="Times New Roman"/>
          <w:b/>
        </w:rPr>
        <w:t>Authors' Contributions</w:t>
      </w:r>
    </w:p>
    <w:p w14:paraId="6005B498" w14:textId="77777777" w:rsidR="006A449D" w:rsidRDefault="00000000">
      <w:pPr>
        <w:ind w:left="340" w:hanging="227"/>
      </w:pPr>
      <w:r>
        <w:rPr>
          <w:rFonts w:eastAsia="Times New Roman"/>
        </w:rPr>
        <w:t>• Author 1, Author 2, and Author 3: conceptualization and study design.</w:t>
      </w:r>
    </w:p>
    <w:p w14:paraId="55EE24FA" w14:textId="77777777" w:rsidR="006A449D" w:rsidRDefault="00000000">
      <w:pPr>
        <w:ind w:left="340" w:hanging="227"/>
      </w:pPr>
      <w:r>
        <w:rPr>
          <w:rFonts w:eastAsia="Times New Roman"/>
        </w:rPr>
        <w:t>• Author 1, Author 2, and Author 3: literature search, study screening, data extraction, and data curation.</w:t>
      </w:r>
    </w:p>
    <w:p w14:paraId="2C0D6B08" w14:textId="77777777" w:rsidR="006A449D" w:rsidRDefault="00000000">
      <w:pPr>
        <w:ind w:left="340" w:hanging="227"/>
      </w:pPr>
      <w:r>
        <w:rPr>
          <w:rFonts w:eastAsia="Times New Roman"/>
        </w:rPr>
        <w:t>• Author 1 and Author 2: formal analysis and interpretation.</w:t>
      </w:r>
    </w:p>
    <w:p w14:paraId="19CFCE14" w14:textId="77777777" w:rsidR="006A449D" w:rsidRDefault="00000000">
      <w:pPr>
        <w:ind w:left="340" w:hanging="227"/>
      </w:pPr>
      <w:r>
        <w:rPr>
          <w:rFonts w:eastAsia="Times New Roman"/>
        </w:rPr>
        <w:t>• Author 1: manuscript drafting.</w:t>
      </w:r>
    </w:p>
    <w:p w14:paraId="54218345" w14:textId="77777777" w:rsidR="006A449D" w:rsidRDefault="00000000">
      <w:pPr>
        <w:ind w:left="340" w:hanging="227"/>
      </w:pPr>
      <w:r>
        <w:rPr>
          <w:rFonts w:eastAsia="Times New Roman"/>
        </w:rPr>
        <w:t>• Author 1, Author 2, and Author 3: critical review, supervision, accountability for the work, and final approval.</w:t>
      </w:r>
    </w:p>
    <w:p w14:paraId="24B5DC23" w14:textId="77777777" w:rsidR="006A449D" w:rsidRDefault="00000000">
      <w:pPr>
        <w:spacing w:before="160" w:after="40"/>
      </w:pPr>
      <w:r>
        <w:rPr>
          <w:rFonts w:eastAsia="Times New Roman"/>
          <w:b/>
        </w:rPr>
        <w:t>Acknowledgments</w:t>
      </w:r>
    </w:p>
    <w:p w14:paraId="6FCAFE08" w14:textId="77777777" w:rsidR="006A449D" w:rsidRDefault="00000000">
      <w:pPr>
        <w:ind w:firstLine="425"/>
        <w:jc w:val="both"/>
      </w:pPr>
      <w:r>
        <w:rPr>
          <w:rFonts w:eastAsia="Times New Roman"/>
        </w:rPr>
        <w:t xml:space="preserve">No non-author contributors were involved in the preparation of this manuscript. During manuscript preparation, ChatGPT was used only to support language editing, formatting, and </w:t>
      </w:r>
      <w:r>
        <w:rPr>
          <w:rFonts w:eastAsia="Times New Roman"/>
        </w:rPr>
        <w:lastRenderedPageBreak/>
        <w:t>improvement of readability. The authors reviewed, edited, and verified the resulting text and take full responsibility for the scientific content, data interpretation, references, conclusions, and integrity of the work.</w:t>
      </w:r>
    </w:p>
    <w:p w14:paraId="59807882" w14:textId="77777777" w:rsidR="006A449D" w:rsidRDefault="00000000">
      <w:pPr>
        <w:spacing w:before="160" w:after="40"/>
      </w:pPr>
      <w:r>
        <w:rPr>
          <w:rFonts w:eastAsia="Times New Roman"/>
          <w:b/>
        </w:rPr>
        <w:t>Funding</w:t>
      </w:r>
    </w:p>
    <w:p w14:paraId="309BF9F4" w14:textId="77777777" w:rsidR="006A449D" w:rsidRDefault="00000000">
      <w:pPr>
        <w:ind w:firstLine="425"/>
        <w:jc w:val="both"/>
      </w:pPr>
      <w:r>
        <w:rPr>
          <w:rFonts w:eastAsia="Times New Roman"/>
        </w:rPr>
        <w:t>The authors received no specific financial support for this study.</w:t>
      </w:r>
    </w:p>
    <w:p w14:paraId="6AD0E09A" w14:textId="77777777" w:rsidR="006A449D" w:rsidRDefault="00000000">
      <w:pPr>
        <w:spacing w:before="160" w:after="40"/>
      </w:pPr>
      <w:r>
        <w:rPr>
          <w:rFonts w:eastAsia="Times New Roman"/>
          <w:b/>
        </w:rPr>
        <w:t>Conflict of Interest</w:t>
      </w:r>
    </w:p>
    <w:p w14:paraId="6A45616A" w14:textId="77777777" w:rsidR="006A449D" w:rsidRDefault="00000000">
      <w:pPr>
        <w:ind w:firstLine="425"/>
        <w:jc w:val="both"/>
      </w:pPr>
      <w:r>
        <w:rPr>
          <w:rFonts w:eastAsia="Times New Roman"/>
        </w:rPr>
        <w:t>The authors declare no potential conflicts of interest with respect to the authorship and/or publication of this article.</w:t>
      </w:r>
    </w:p>
    <w:p w14:paraId="02B707E3" w14:textId="77777777" w:rsidR="006A449D" w:rsidRDefault="00000000">
      <w:pPr>
        <w:spacing w:before="160" w:after="40"/>
      </w:pPr>
      <w:r>
        <w:rPr>
          <w:rFonts w:eastAsia="Times New Roman"/>
          <w:b/>
        </w:rPr>
        <w:t>Ethical Approval</w:t>
      </w:r>
    </w:p>
    <w:p w14:paraId="42B643EA" w14:textId="77777777" w:rsidR="006A449D" w:rsidRDefault="00000000">
      <w:pPr>
        <w:ind w:firstLine="425"/>
        <w:jc w:val="both"/>
      </w:pPr>
      <w:r>
        <w:rPr>
          <w:rFonts w:eastAsia="Times New Roman"/>
        </w:rPr>
        <w:t>Ethical approval was not required because this systematic review and meta-analysis was based on previously published studies and did not involve direct recruitment of human participants, collection of biological samples, or animal experiments.</w:t>
      </w:r>
    </w:p>
    <w:p w14:paraId="6558478B" w14:textId="77777777" w:rsidR="006A449D" w:rsidRDefault="00000000">
      <w:pPr>
        <w:spacing w:before="160" w:after="40"/>
      </w:pPr>
      <w:r>
        <w:rPr>
          <w:rFonts w:eastAsia="Times New Roman"/>
          <w:b/>
        </w:rPr>
        <w:t>Data Availability Statement</w:t>
      </w:r>
    </w:p>
    <w:p w14:paraId="06BD80AF" w14:textId="77777777" w:rsidR="006A449D" w:rsidRDefault="00000000">
      <w:pPr>
        <w:ind w:firstLine="425"/>
        <w:jc w:val="both"/>
      </w:pPr>
      <w:r>
        <w:rPr>
          <w:rFonts w:eastAsia="Times New Roman"/>
        </w:rPr>
        <w:t>All data supporting this review were extracted from published studies cited in the manuscript and are summarized in the article tables and figures. No new participant-level dataset was generated.</w:t>
      </w:r>
    </w:p>
    <w:p w14:paraId="2EFE5D3E" w14:textId="77777777" w:rsidR="006A449D" w:rsidRDefault="00000000">
      <w:pPr>
        <w:spacing w:before="160" w:after="40"/>
      </w:pPr>
      <w:r>
        <w:rPr>
          <w:rFonts w:eastAsia="Times New Roman"/>
          <w:b/>
        </w:rPr>
        <w:t>References</w:t>
      </w:r>
    </w:p>
    <w:p w14:paraId="7C01A38B" w14:textId="2B10764F"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 xml:space="preserve">World Health Organization. Oral health [Internet]. Geneva: World Health Organization; 2025 [cited 2026 Jun 5]. Available from: </w:t>
      </w:r>
      <w:hyperlink r:id="rId8" w:history="1">
        <w:r w:rsidR="004A0F6D" w:rsidRPr="003D185B">
          <w:rPr>
            <w:rStyle w:val="Hyperlink"/>
            <w:rFonts w:eastAsia="Times New Roman"/>
          </w:rPr>
          <w:t>https://www.who.int/news-room/fact-sheets/detail/oral-health</w:t>
        </w:r>
      </w:hyperlink>
    </w:p>
    <w:p w14:paraId="507F09F9" w14:textId="5F0B71F9"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 xml:space="preserve">World Health Organization. Dementia [Internet]. Geneva: World Health Organization; 2025 [cited 2026 Jun 5]. Available from: </w:t>
      </w:r>
      <w:hyperlink r:id="rId9" w:history="1">
        <w:r w:rsidR="004A0F6D" w:rsidRPr="003D185B">
          <w:rPr>
            <w:rStyle w:val="Hyperlink"/>
            <w:rFonts w:eastAsia="Times New Roman"/>
          </w:rPr>
          <w:t>https://www.who.int/news-room/fact-sheets/detail/dementia</w:t>
        </w:r>
      </w:hyperlink>
    </w:p>
    <w:p w14:paraId="5F930932"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Li R, Wang J, Xiong W, Luo Y, Feng H, Zhou H, et al. The oral-brain axis: can periodontal pathogens trigger the onset and progression of Alzheimer’s disease? Front Microbiol. 2024;15:1358179. doi:10.3389/fmicb.2024.1358179.</w:t>
      </w:r>
    </w:p>
    <w:p w14:paraId="5AE8E889"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lastRenderedPageBreak/>
        <w:t xml:space="preserve">Huang Z, Hao M, Shi N, Wang X, Yuan L, Yuan H, et al. </w:t>
      </w:r>
      <w:r w:rsidRPr="004A0F6D">
        <w:rPr>
          <w:rFonts w:eastAsia="Times New Roman"/>
          <w:i/>
        </w:rPr>
        <w:t>Porphyromonas gingivalis</w:t>
      </w:r>
      <w:r w:rsidRPr="004A0F6D">
        <w:rPr>
          <w:rFonts w:eastAsia="Times New Roman"/>
        </w:rPr>
        <w:t>: a potential trigger of neurodegenerative disease. Front Immunol. 2025;16:1482033. doi:10.3389/fimmu.2025.1482033.</w:t>
      </w:r>
    </w:p>
    <w:p w14:paraId="0A35467B"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 xml:space="preserve">Jiang Y, Xu L, Zhao X, Shen H, Qiu C, He Z, et al. </w:t>
      </w:r>
      <w:r w:rsidRPr="004A0F6D">
        <w:rPr>
          <w:rFonts w:eastAsia="Times New Roman"/>
          <w:i/>
        </w:rPr>
        <w:t>Porphyromonas gingivalis</w:t>
      </w:r>
      <w:r w:rsidRPr="004A0F6D">
        <w:rPr>
          <w:rFonts w:eastAsia="Times New Roman"/>
        </w:rPr>
        <w:t>-induced periodontitis promotes neuroinflammation and neuronal loss associated with dysfunction of the brain barrier. Front Cell Infect Microbiol. 2025;15:1559182. doi:10.3389/fcimb.2025.1559182.</w:t>
      </w:r>
    </w:p>
    <w:p w14:paraId="6B76F8CC"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Asher S, Stephen R, Mäntylä P, Suominen AL, Solomon A. Periodontal health, cognitive decline, and dementia: a systematic review and meta-analysis of longitudinal studies. J Am Geriatr Soc. 2022;70(9):2695-2709. doi:10.1111/jgs.17978.</w:t>
      </w:r>
    </w:p>
    <w:p w14:paraId="5A64CA68"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Said-Sadier N, Sayegh B, Farah R, Abbas LA, Dweik R, Tang N, et al. Association between periodontal disease and cognitive impairment in adults. Int J Environ Res Public Health. 2023;20:4707. doi:10.3390/ijerph20064707.</w:t>
      </w:r>
    </w:p>
    <w:p w14:paraId="7B8EF505" w14:textId="77777777" w:rsidR="004A0F6D" w:rsidRPr="004A0F6D" w:rsidRDefault="00000000" w:rsidP="004A0F6D">
      <w:pPr>
        <w:pStyle w:val="ListParagraph"/>
        <w:numPr>
          <w:ilvl w:val="0"/>
          <w:numId w:val="10"/>
        </w:numPr>
        <w:spacing w:line="480" w:lineRule="auto"/>
        <w:ind w:left="426" w:hanging="426"/>
        <w:jc w:val="both"/>
      </w:pPr>
      <w:proofErr w:type="spellStart"/>
      <w:r w:rsidRPr="004A0F6D">
        <w:rPr>
          <w:rFonts w:eastAsia="Times New Roman"/>
        </w:rPr>
        <w:t>Dibello</w:t>
      </w:r>
      <w:proofErr w:type="spellEnd"/>
      <w:r w:rsidRPr="004A0F6D">
        <w:rPr>
          <w:rFonts w:eastAsia="Times New Roman"/>
        </w:rPr>
        <w:t xml:space="preserve"> V, </w:t>
      </w:r>
      <w:proofErr w:type="spellStart"/>
      <w:r w:rsidRPr="004A0F6D">
        <w:rPr>
          <w:rFonts w:eastAsia="Times New Roman"/>
        </w:rPr>
        <w:t>Custodero</w:t>
      </w:r>
      <w:proofErr w:type="spellEnd"/>
      <w:r w:rsidRPr="004A0F6D">
        <w:rPr>
          <w:rFonts w:eastAsia="Times New Roman"/>
        </w:rPr>
        <w:t xml:space="preserve"> C, Cavalcanti R, </w:t>
      </w:r>
      <w:proofErr w:type="spellStart"/>
      <w:r w:rsidRPr="004A0F6D">
        <w:rPr>
          <w:rFonts w:eastAsia="Times New Roman"/>
        </w:rPr>
        <w:t>Lafornara</w:t>
      </w:r>
      <w:proofErr w:type="spellEnd"/>
      <w:r w:rsidRPr="004A0F6D">
        <w:rPr>
          <w:rFonts w:eastAsia="Times New Roman"/>
        </w:rPr>
        <w:t xml:space="preserve"> D, Dibello A, Lozupone M, et al. Impact of periodontal disease on cognitive disorders, dementia, and depression: a systematic review and meta-analysis. GeroScience. 2024;46(5):5133-5169. doi:10.1007/s11357-024-01243-8.</w:t>
      </w:r>
    </w:p>
    <w:p w14:paraId="7BC40747"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Fu YD, Li CL, Hu CL, Pei MD, Cai WY, Li YQ, et al. Meta analysis of the correlation between periodontal health and cognitive impairment in the older population. J Prev Alzheimers Dis. 2024;11. doi:10.14283/jpad.2024.87.</w:t>
      </w:r>
    </w:p>
    <w:p w14:paraId="6870FC71" w14:textId="77777777" w:rsidR="004A0F6D" w:rsidRPr="004A0F6D" w:rsidRDefault="00000000" w:rsidP="004A0F6D">
      <w:pPr>
        <w:pStyle w:val="ListParagraph"/>
        <w:numPr>
          <w:ilvl w:val="0"/>
          <w:numId w:val="10"/>
        </w:numPr>
        <w:spacing w:line="480" w:lineRule="auto"/>
        <w:ind w:left="426" w:hanging="426"/>
        <w:jc w:val="both"/>
      </w:pPr>
      <w:proofErr w:type="spellStart"/>
      <w:r w:rsidRPr="004A0F6D">
        <w:rPr>
          <w:rFonts w:eastAsia="Times New Roman"/>
        </w:rPr>
        <w:t>Plachokova</w:t>
      </w:r>
      <w:proofErr w:type="spellEnd"/>
      <w:r w:rsidRPr="004A0F6D">
        <w:rPr>
          <w:rFonts w:eastAsia="Times New Roman"/>
        </w:rPr>
        <w:t xml:space="preserve"> AS, </w:t>
      </w:r>
      <w:proofErr w:type="spellStart"/>
      <w:r w:rsidRPr="004A0F6D">
        <w:rPr>
          <w:rFonts w:eastAsia="Times New Roman"/>
        </w:rPr>
        <w:t>Gjaltema</w:t>
      </w:r>
      <w:proofErr w:type="spellEnd"/>
      <w:r w:rsidRPr="004A0F6D">
        <w:rPr>
          <w:rFonts w:eastAsia="Times New Roman"/>
        </w:rPr>
        <w:t xml:space="preserve"> J, Hagens ERC, Hashemi Z, Knüppe TBA, Kootstra TJM, et al. Periodontitis: a plausible modifiable risk factor for neurodegenerative diseases? A comprehensive review. Int J Mol Sci. 2024;25(8):4504. doi:10.3390/ijms25084504.</w:t>
      </w:r>
    </w:p>
    <w:p w14:paraId="143C4EA2"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lastRenderedPageBreak/>
        <w:t xml:space="preserve">Villar A, Paladini S, </w:t>
      </w:r>
      <w:proofErr w:type="spellStart"/>
      <w:r w:rsidRPr="004A0F6D">
        <w:rPr>
          <w:rFonts w:eastAsia="Times New Roman"/>
        </w:rPr>
        <w:t>Cossatis</w:t>
      </w:r>
      <w:proofErr w:type="spellEnd"/>
      <w:r w:rsidRPr="004A0F6D">
        <w:rPr>
          <w:rFonts w:eastAsia="Times New Roman"/>
        </w:rPr>
        <w:t xml:space="preserve"> J. Periodontal disease and Alzheimer’s: insights from a systematic literature network analysis. J Prev Alzheimers Dis. 2024;11(4):1148-1165. doi:10.14283/jpad.2024.79.</w:t>
      </w:r>
    </w:p>
    <w:p w14:paraId="5AF51A5E"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 xml:space="preserve">Barbarisi A, Visconti V, Lauritano D, </w:t>
      </w:r>
      <w:proofErr w:type="spellStart"/>
      <w:r w:rsidRPr="004A0F6D">
        <w:rPr>
          <w:rFonts w:eastAsia="Times New Roman"/>
        </w:rPr>
        <w:t>Cremonini</w:t>
      </w:r>
      <w:proofErr w:type="spellEnd"/>
      <w:r w:rsidRPr="004A0F6D">
        <w:rPr>
          <w:rFonts w:eastAsia="Times New Roman"/>
        </w:rPr>
        <w:t xml:space="preserve"> F, Caccianiga G, Ceraulo S. Correlation between periodontitis and onset of Alzheimer’s disease: a literature review. Dent J. 2024;12(10):331. doi:10.3390/dj12100331.</w:t>
      </w:r>
    </w:p>
    <w:p w14:paraId="4C108931" w14:textId="77777777" w:rsidR="004A0F6D" w:rsidRPr="004A0F6D" w:rsidRDefault="00000000" w:rsidP="004A0F6D">
      <w:pPr>
        <w:pStyle w:val="ListParagraph"/>
        <w:numPr>
          <w:ilvl w:val="0"/>
          <w:numId w:val="10"/>
        </w:numPr>
        <w:spacing w:line="480" w:lineRule="auto"/>
        <w:ind w:left="426" w:hanging="426"/>
        <w:jc w:val="both"/>
      </w:pPr>
      <w:proofErr w:type="spellStart"/>
      <w:r w:rsidRPr="004A0F6D">
        <w:rPr>
          <w:rFonts w:eastAsia="Times New Roman"/>
        </w:rPr>
        <w:t>Erlianti</w:t>
      </w:r>
      <w:proofErr w:type="spellEnd"/>
      <w:r w:rsidRPr="004A0F6D">
        <w:rPr>
          <w:rFonts w:eastAsia="Times New Roman"/>
        </w:rPr>
        <w:t xml:space="preserve"> CP, </w:t>
      </w:r>
      <w:proofErr w:type="spellStart"/>
      <w:r w:rsidRPr="004A0F6D">
        <w:rPr>
          <w:rFonts w:eastAsia="Times New Roman"/>
        </w:rPr>
        <w:t>Trihandini</w:t>
      </w:r>
      <w:proofErr w:type="spellEnd"/>
      <w:r w:rsidRPr="004A0F6D">
        <w:rPr>
          <w:rFonts w:eastAsia="Times New Roman"/>
        </w:rPr>
        <w:t xml:space="preserve"> I. Factors associated with cognitive impairment among Indonesian older adults. Aging Med Healthc. 2024;15(3):105-113. doi:10.33879/AMH.153.2022.05048.</w:t>
      </w:r>
    </w:p>
    <w:p w14:paraId="559EA505"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 xml:space="preserve">van der Ploeg ES, </w:t>
      </w:r>
      <w:proofErr w:type="spellStart"/>
      <w:r w:rsidRPr="004A0F6D">
        <w:rPr>
          <w:rFonts w:eastAsia="Times New Roman"/>
        </w:rPr>
        <w:t>Handajani</w:t>
      </w:r>
      <w:proofErr w:type="spellEnd"/>
      <w:r w:rsidRPr="004A0F6D">
        <w:rPr>
          <w:rFonts w:eastAsia="Times New Roman"/>
        </w:rPr>
        <w:t xml:space="preserve"> YS, Schröder-Butterfill E. Dementia care in Indonesia: care networks, awareness &amp; perception. J Cross Cult Gerontol. 2025;40(4):441-461. doi:10.1007/s10823-025-09544-x.</w:t>
      </w:r>
    </w:p>
    <w:p w14:paraId="65DC56FF"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 xml:space="preserve">Page MJ, McKenzie JE, Bossuyt PM, </w:t>
      </w:r>
      <w:proofErr w:type="spellStart"/>
      <w:r w:rsidRPr="004A0F6D">
        <w:rPr>
          <w:rFonts w:eastAsia="Times New Roman"/>
        </w:rPr>
        <w:t>Boutron</w:t>
      </w:r>
      <w:proofErr w:type="spellEnd"/>
      <w:r w:rsidRPr="004A0F6D">
        <w:rPr>
          <w:rFonts w:eastAsia="Times New Roman"/>
        </w:rPr>
        <w:t xml:space="preserve"> I, Hoffmann TC, Mulrow CD, et al. The PRISMA 2020 statement: an updated guideline for reporting systematic reviews. BMJ. 2021;372:n71. doi:10.1136/</w:t>
      </w:r>
      <w:proofErr w:type="gramStart"/>
      <w:r w:rsidRPr="004A0F6D">
        <w:rPr>
          <w:rFonts w:eastAsia="Times New Roman"/>
        </w:rPr>
        <w:t>bmj.n</w:t>
      </w:r>
      <w:proofErr w:type="gramEnd"/>
      <w:r w:rsidRPr="004A0F6D">
        <w:rPr>
          <w:rFonts w:eastAsia="Times New Roman"/>
        </w:rPr>
        <w:t>71.</w:t>
      </w:r>
    </w:p>
    <w:p w14:paraId="444289AB" w14:textId="43F0D4DD"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 xml:space="preserve">Higgins JPT, Thomas J, Chandler J, Cumpston M, Li T, Page MJ, et al, editors. Cochrane handbook for systematic reviews of interventions. Version 6.5. Cochrane; 2024. Available from: </w:t>
      </w:r>
      <w:hyperlink r:id="rId10" w:history="1">
        <w:r w:rsidR="004A0F6D" w:rsidRPr="003D185B">
          <w:rPr>
            <w:rStyle w:val="Hyperlink"/>
            <w:rFonts w:eastAsia="Times New Roman"/>
          </w:rPr>
          <w:t>https://training.cochrane.org/handbook</w:t>
        </w:r>
      </w:hyperlink>
    </w:p>
    <w:p w14:paraId="48C085DF"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Stroup DF, Berlin JA, Morton SC, Olkin I, Williamson GD, Rennie D, et al. Meta-analysis of observational studies in epidemiology: a proposal for reporting. JAMA. 2000;283(15):2008-2012. doi:10.1001/jama.283.15.2008.</w:t>
      </w:r>
    </w:p>
    <w:p w14:paraId="2F778FBD"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 xml:space="preserve">Chen CK, Wu YT, Chang YC. Association between chronic periodontitis and the risk of Alzheimer’s disease: a retrospective, population-based, matched-cohort study. Alzheimers Res Ther. </w:t>
      </w:r>
      <w:proofErr w:type="gramStart"/>
      <w:r w:rsidRPr="004A0F6D">
        <w:rPr>
          <w:rFonts w:eastAsia="Times New Roman"/>
        </w:rPr>
        <w:t>2017;9:56</w:t>
      </w:r>
      <w:proofErr w:type="gramEnd"/>
      <w:r w:rsidRPr="004A0F6D">
        <w:rPr>
          <w:rFonts w:eastAsia="Times New Roman"/>
        </w:rPr>
        <w:t>. doi:10.1186/s13195-017-0282-6.</w:t>
      </w:r>
    </w:p>
    <w:p w14:paraId="3A18AF26"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lastRenderedPageBreak/>
        <w:t>Lee YT, Lee HC, Hu CJ, Huang LK, Chao SP, Lin CP, Su ECY, et al. Periodontitis as a modifiable risk factor for dementia: a nationwide population-based cohort study. J Am Geriatr Soc. 2017;65(2):301-305. doi:10.1111/jgs.14449.</w:t>
      </w:r>
    </w:p>
    <w:p w14:paraId="5D401306"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Lee YL, Hu HY, Huang LY, Chou P, Chu DK. Periodontal disease associated with higher risk of dementia: population-based cohort study in Taiwan. J Am Geriatr Soc. 2017;65(9):1975-1980. doi:10.1111/jgs.14944.</w:t>
      </w:r>
    </w:p>
    <w:p w14:paraId="0EEE905A"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Choi S, Kim K, Chang J, Kim SM, Kim SJ, Cho HJ, et al. Association of chronic periodontitis on Alzheimer’s disease or vascular dementia. J Am Geriatr Soc. 2019;67(6):1234-1239. doi:10.1111/jgs.15828.</w:t>
      </w:r>
    </w:p>
    <w:p w14:paraId="40C29F0E"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Sung CE, Huang RY, Cheng WC, Kao TW, Chen WL. Association between periodontitis and cognitive impairment: analysis of National Health and Nutrition Examination Survey III. J Clin Periodontol. 2019;46(8):790-798. doi:10.1111/jcpe.13155.</w:t>
      </w:r>
    </w:p>
    <w:p w14:paraId="7EDFF812"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Jeong E, Park JB, Park YG. Evaluation of the association between periodontitis and risk of Parkinson’s disease: a nationwide retrospective cohort study. Sci Rep. 2021;11:16594. doi:10.1038/s41598-021-96147-4.</w:t>
      </w:r>
    </w:p>
    <w:p w14:paraId="5C0C5FBE"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Kim SR, Son M, Kim YR, Kang HK. Risk of dementia according to the severity of chronic periodontitis in Korea: a nationwide retrospective cohort study. Epidemiol Health. 2022;44:e2022077. doi:10.4178/</w:t>
      </w:r>
      <w:proofErr w:type="gramStart"/>
      <w:r w:rsidRPr="004A0F6D">
        <w:rPr>
          <w:rFonts w:eastAsia="Times New Roman"/>
        </w:rPr>
        <w:t>epih.e</w:t>
      </w:r>
      <w:proofErr w:type="gramEnd"/>
      <w:r w:rsidRPr="004A0F6D">
        <w:rPr>
          <w:rFonts w:eastAsia="Times New Roman"/>
        </w:rPr>
        <w:t>2022077.</w:t>
      </w:r>
    </w:p>
    <w:p w14:paraId="5D2B4C4C"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Luo H, Wu B, González HM, Stickel A, Kaste LM, Tarraf W, et al. Tooth loss, periodontal disease, and mild cognitive impairment among Hispanic/Latino immigrants: the moderating effects of age at immigration. J Gerontol A Biol Sci Med Sci. 2023;78(6):949-957. doi:10.1093/</w:t>
      </w:r>
      <w:proofErr w:type="spellStart"/>
      <w:r w:rsidRPr="004A0F6D">
        <w:rPr>
          <w:rFonts w:eastAsia="Times New Roman"/>
        </w:rPr>
        <w:t>gerona</w:t>
      </w:r>
      <w:proofErr w:type="spellEnd"/>
      <w:r w:rsidRPr="004A0F6D">
        <w:rPr>
          <w:rFonts w:eastAsia="Times New Roman"/>
        </w:rPr>
        <w:t>/glac178.</w:t>
      </w:r>
    </w:p>
    <w:p w14:paraId="4ABBE94E" w14:textId="77777777" w:rsidR="004A0F6D" w:rsidRPr="004A0F6D" w:rsidRDefault="00000000" w:rsidP="004A0F6D">
      <w:pPr>
        <w:pStyle w:val="ListParagraph"/>
        <w:numPr>
          <w:ilvl w:val="0"/>
          <w:numId w:val="10"/>
        </w:numPr>
        <w:spacing w:line="480" w:lineRule="auto"/>
        <w:ind w:left="426" w:hanging="426"/>
        <w:jc w:val="both"/>
      </w:pPr>
      <w:proofErr w:type="spellStart"/>
      <w:r w:rsidRPr="004A0F6D">
        <w:rPr>
          <w:rFonts w:eastAsia="Times New Roman"/>
        </w:rPr>
        <w:lastRenderedPageBreak/>
        <w:t>Igase</w:t>
      </w:r>
      <w:proofErr w:type="spellEnd"/>
      <w:r w:rsidRPr="004A0F6D">
        <w:rPr>
          <w:rFonts w:eastAsia="Times New Roman"/>
        </w:rPr>
        <w:t xml:space="preserve"> M, </w:t>
      </w:r>
      <w:proofErr w:type="spellStart"/>
      <w:r w:rsidRPr="004A0F6D">
        <w:rPr>
          <w:rFonts w:eastAsia="Times New Roman"/>
        </w:rPr>
        <w:t>Igase</w:t>
      </w:r>
      <w:proofErr w:type="spellEnd"/>
      <w:r w:rsidRPr="004A0F6D">
        <w:rPr>
          <w:rFonts w:eastAsia="Times New Roman"/>
        </w:rPr>
        <w:t xml:space="preserve"> K, Hino S, Uchida D, Okada Y, Ochi M, et al. Association of periodontitis with mild cognitive impairment in older adults. J Aging Res Lifestyle. 2024;13:108-112. doi:10.14283/jarlife.2024.16.</w:t>
      </w:r>
    </w:p>
    <w:p w14:paraId="4806344A"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 xml:space="preserve">Gil-Montoya JA, Gerez-Muñoz MJ, Triviño-Ibáñez E, Carrera-Muñoz I, Bravo M, Rashki M, et al. Periodontal disease and brain amyloid pathology in mild cognitive impairment. Neurologia. 2025;40(7):641-650. </w:t>
      </w:r>
      <w:proofErr w:type="gramStart"/>
      <w:r w:rsidRPr="004A0F6D">
        <w:rPr>
          <w:rFonts w:eastAsia="Times New Roman"/>
        </w:rPr>
        <w:t>doi:10.1016/j.nrleng</w:t>
      </w:r>
      <w:proofErr w:type="gramEnd"/>
      <w:r w:rsidRPr="004A0F6D">
        <w:rPr>
          <w:rFonts w:eastAsia="Times New Roman"/>
        </w:rPr>
        <w:t>.2025.07.008.</w:t>
      </w:r>
    </w:p>
    <w:p w14:paraId="2029E28F"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 xml:space="preserve">Sun Q, Li M. Association between periodontitis and cognitive impairment in older adults: a cross-sectional study of the National Health and Nutrition Examination Survey. Clin Epidemiol Glob Health. 2025;33:102020. </w:t>
      </w:r>
      <w:proofErr w:type="gramStart"/>
      <w:r w:rsidRPr="004A0F6D">
        <w:rPr>
          <w:rFonts w:eastAsia="Times New Roman"/>
        </w:rPr>
        <w:t>doi:10.1016/j.cegh</w:t>
      </w:r>
      <w:proofErr w:type="gramEnd"/>
      <w:r w:rsidRPr="004A0F6D">
        <w:rPr>
          <w:rFonts w:eastAsia="Times New Roman"/>
        </w:rPr>
        <w:t>.2025.102020.</w:t>
      </w:r>
    </w:p>
    <w:p w14:paraId="64720ABF"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 xml:space="preserve">Aranda Romo S, </w:t>
      </w:r>
      <w:proofErr w:type="spellStart"/>
      <w:r w:rsidRPr="004A0F6D">
        <w:rPr>
          <w:rFonts w:eastAsia="Times New Roman"/>
        </w:rPr>
        <w:t>Garrocho</w:t>
      </w:r>
      <w:proofErr w:type="spellEnd"/>
      <w:r w:rsidRPr="004A0F6D">
        <w:rPr>
          <w:rFonts w:eastAsia="Times New Roman"/>
        </w:rPr>
        <w:t>-Rangel A, Marín González A, Cepeda-Bravo A, Jiménez-Capdeville ME, Ortega Rodríguez C, et al. Cognitive status and periodontitis: is there a correlation? A cross-sectional study. Dent Med Probl. 2025;62(4):591-600. doi:10.17219/</w:t>
      </w:r>
      <w:proofErr w:type="spellStart"/>
      <w:r w:rsidRPr="004A0F6D">
        <w:rPr>
          <w:rFonts w:eastAsia="Times New Roman"/>
        </w:rPr>
        <w:t>dmp</w:t>
      </w:r>
      <w:proofErr w:type="spellEnd"/>
      <w:r w:rsidRPr="004A0F6D">
        <w:rPr>
          <w:rFonts w:eastAsia="Times New Roman"/>
        </w:rPr>
        <w:t>/177412.</w:t>
      </w:r>
    </w:p>
    <w:p w14:paraId="6BD71947"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Khan AJ, Rahman I, Beg HA, Akter S, Haque R, Monsur DT, et al. Association of periodontitis and tooth loss with cognitive decline in the older adults - a systematic review. BMC Oral Health. 2026;26(1):811. doi:10.1186/s12903-026-08310-w.</w:t>
      </w:r>
    </w:p>
    <w:p w14:paraId="482A1769" w14:textId="77777777" w:rsidR="004A0F6D" w:rsidRPr="004A0F6D" w:rsidRDefault="00000000" w:rsidP="004A0F6D">
      <w:pPr>
        <w:pStyle w:val="ListParagraph"/>
        <w:numPr>
          <w:ilvl w:val="0"/>
          <w:numId w:val="10"/>
        </w:numPr>
        <w:spacing w:line="480" w:lineRule="auto"/>
        <w:ind w:left="426" w:hanging="426"/>
        <w:jc w:val="both"/>
      </w:pPr>
      <w:r w:rsidRPr="004A0F6D">
        <w:rPr>
          <w:rFonts w:eastAsia="Times New Roman"/>
        </w:rPr>
        <w:t>Zou C, Liu H, Li L, Lin Z, Qiu Y. An updated systematic review and meta-analysis of tooth loss in patients with periodontitis and the risk of mild cognitive impairment. Front Oral Health. 2026;7:1710871. doi:10.3389/froh.2026.1710871.</w:t>
      </w:r>
    </w:p>
    <w:p w14:paraId="2C97EE32" w14:textId="0454E6E2" w:rsidR="006A449D" w:rsidRDefault="00000000" w:rsidP="004A0F6D">
      <w:pPr>
        <w:pStyle w:val="ListParagraph"/>
        <w:numPr>
          <w:ilvl w:val="0"/>
          <w:numId w:val="10"/>
        </w:numPr>
        <w:spacing w:line="480" w:lineRule="auto"/>
        <w:ind w:left="426" w:hanging="426"/>
        <w:jc w:val="both"/>
      </w:pPr>
      <w:r w:rsidRPr="004A0F6D">
        <w:rPr>
          <w:rFonts w:eastAsia="Times New Roman"/>
        </w:rPr>
        <w:t xml:space="preserve">Ali AR, Kumar P, </w:t>
      </w:r>
      <w:proofErr w:type="spellStart"/>
      <w:r w:rsidRPr="004A0F6D">
        <w:rPr>
          <w:rFonts w:eastAsia="Times New Roman"/>
        </w:rPr>
        <w:t>Patnana</w:t>
      </w:r>
      <w:proofErr w:type="spellEnd"/>
      <w:r w:rsidRPr="004A0F6D">
        <w:rPr>
          <w:rFonts w:eastAsia="Times New Roman"/>
        </w:rPr>
        <w:t xml:space="preserve"> AK, Shanmugam S, Chugh A, Chaudhry K. Association Between Periodontitis and Mild Cognitive Impairment, Alzheimer’s Disease, and Dementia: An Umbrella Review </w:t>
      </w:r>
      <w:proofErr w:type="gramStart"/>
      <w:r w:rsidRPr="004A0F6D">
        <w:rPr>
          <w:rFonts w:eastAsia="Times New Roman"/>
        </w:rPr>
        <w:t>With</w:t>
      </w:r>
      <w:proofErr w:type="gramEnd"/>
      <w:r w:rsidRPr="004A0F6D">
        <w:rPr>
          <w:rFonts w:eastAsia="Times New Roman"/>
        </w:rPr>
        <w:t xml:space="preserve"> Evidence Stratification. Spec Care Dentist. 2026;46(4):e70235. doi:10.1111/scd.70235.</w:t>
      </w:r>
    </w:p>
    <w:p w14:paraId="5B99B8A6" w14:textId="77777777" w:rsidR="006A449D" w:rsidRDefault="00000000">
      <w:pPr>
        <w:spacing w:before="160" w:after="40"/>
      </w:pPr>
      <w:r>
        <w:rPr>
          <w:rFonts w:eastAsia="Times New Roman"/>
          <w:b/>
        </w:rPr>
        <w:lastRenderedPageBreak/>
        <w:t>Tables</w:t>
      </w:r>
    </w:p>
    <w:p w14:paraId="334D92E5" w14:textId="77777777" w:rsidR="006A449D" w:rsidRDefault="00000000">
      <w:pPr>
        <w:keepNext/>
        <w:spacing w:before="120" w:after="60"/>
      </w:pPr>
      <w:r>
        <w:rPr>
          <w:rFonts w:eastAsia="Times New Roman"/>
          <w:b/>
          <w:sz w:val="20"/>
        </w:rPr>
        <w:t>Table 1. Research PECO.</w:t>
      </w:r>
    </w:p>
    <w:tbl>
      <w:tblPr>
        <w:tblStyle w:val="TableGrid"/>
        <w:tblW w:w="94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77"/>
        <w:gridCol w:w="7862"/>
      </w:tblGrid>
      <w:tr w:rsidR="006A449D" w14:paraId="4258205A" w14:textId="77777777" w:rsidTr="004A0F6D">
        <w:trPr>
          <w:tblHeader/>
          <w:jc w:val="center"/>
        </w:trPr>
        <w:tc>
          <w:tcPr>
            <w:tcW w:w="1577" w:type="dxa"/>
            <w:vAlign w:val="center"/>
          </w:tcPr>
          <w:p w14:paraId="420925D2" w14:textId="77777777" w:rsidR="006A449D" w:rsidRDefault="00000000">
            <w:pPr>
              <w:spacing w:line="240" w:lineRule="auto"/>
              <w:jc w:val="center"/>
            </w:pPr>
            <w:r>
              <w:rPr>
                <w:b/>
                <w:sz w:val="18"/>
              </w:rPr>
              <w:t>Component</w:t>
            </w:r>
          </w:p>
        </w:tc>
        <w:tc>
          <w:tcPr>
            <w:tcW w:w="7862" w:type="dxa"/>
            <w:vAlign w:val="center"/>
          </w:tcPr>
          <w:p w14:paraId="73FCBFD4" w14:textId="77777777" w:rsidR="006A449D" w:rsidRDefault="00000000">
            <w:pPr>
              <w:spacing w:line="240" w:lineRule="auto"/>
              <w:jc w:val="center"/>
            </w:pPr>
            <w:r>
              <w:rPr>
                <w:b/>
                <w:sz w:val="18"/>
              </w:rPr>
              <w:t>Description</w:t>
            </w:r>
          </w:p>
        </w:tc>
      </w:tr>
      <w:tr w:rsidR="006A449D" w14:paraId="49B9B32F" w14:textId="77777777" w:rsidTr="004A0F6D">
        <w:trPr>
          <w:jc w:val="center"/>
        </w:trPr>
        <w:tc>
          <w:tcPr>
            <w:tcW w:w="1577" w:type="dxa"/>
            <w:vAlign w:val="center"/>
          </w:tcPr>
          <w:p w14:paraId="49DDEBBF" w14:textId="77777777" w:rsidR="006A449D" w:rsidRDefault="00000000">
            <w:pPr>
              <w:spacing w:line="240" w:lineRule="auto"/>
            </w:pPr>
            <w:r>
              <w:rPr>
                <w:sz w:val="18"/>
              </w:rPr>
              <w:t>P (Population)</w:t>
            </w:r>
          </w:p>
        </w:tc>
        <w:tc>
          <w:tcPr>
            <w:tcW w:w="7862" w:type="dxa"/>
            <w:vAlign w:val="center"/>
          </w:tcPr>
          <w:p w14:paraId="61A9CA10" w14:textId="77777777" w:rsidR="006A449D" w:rsidRDefault="00000000">
            <w:pPr>
              <w:spacing w:line="240" w:lineRule="auto"/>
            </w:pPr>
            <w:r>
              <w:rPr>
                <w:sz w:val="18"/>
              </w:rPr>
              <w:t>Adult or older adult individuals whose periodontal status and cognitive or neurological status were assessed.</w:t>
            </w:r>
          </w:p>
        </w:tc>
      </w:tr>
      <w:tr w:rsidR="006A449D" w14:paraId="617E2B62" w14:textId="77777777" w:rsidTr="004A0F6D">
        <w:trPr>
          <w:jc w:val="center"/>
        </w:trPr>
        <w:tc>
          <w:tcPr>
            <w:tcW w:w="1577" w:type="dxa"/>
            <w:vAlign w:val="center"/>
          </w:tcPr>
          <w:p w14:paraId="741BF713" w14:textId="77777777" w:rsidR="006A449D" w:rsidRDefault="00000000">
            <w:pPr>
              <w:spacing w:line="240" w:lineRule="auto"/>
            </w:pPr>
            <w:r>
              <w:rPr>
                <w:sz w:val="18"/>
              </w:rPr>
              <w:t>E (Exposure)</w:t>
            </w:r>
          </w:p>
        </w:tc>
        <w:tc>
          <w:tcPr>
            <w:tcW w:w="7862" w:type="dxa"/>
            <w:vAlign w:val="center"/>
          </w:tcPr>
          <w:p w14:paraId="6FE28E68" w14:textId="77777777" w:rsidR="006A449D" w:rsidRDefault="00000000">
            <w:pPr>
              <w:spacing w:line="240" w:lineRule="auto"/>
            </w:pPr>
            <w:r>
              <w:rPr>
                <w:sz w:val="18"/>
              </w:rPr>
              <w:t>Periodontitis or periodontal disease, including clinical diagnosis, clinical attachment loss, probing pocket depth, bleeding on probing, alveolar bone loss, periodontal treatment status, or other periodontal indicators reported in the included studies. These exposure definitions were considered heterogeneous.</w:t>
            </w:r>
          </w:p>
        </w:tc>
      </w:tr>
      <w:tr w:rsidR="006A449D" w14:paraId="3498DFCB" w14:textId="77777777" w:rsidTr="004A0F6D">
        <w:trPr>
          <w:jc w:val="center"/>
        </w:trPr>
        <w:tc>
          <w:tcPr>
            <w:tcW w:w="1577" w:type="dxa"/>
            <w:vAlign w:val="center"/>
          </w:tcPr>
          <w:p w14:paraId="40533554" w14:textId="77777777" w:rsidR="006A449D" w:rsidRDefault="00000000">
            <w:pPr>
              <w:spacing w:line="240" w:lineRule="auto"/>
            </w:pPr>
            <w:r>
              <w:rPr>
                <w:sz w:val="18"/>
              </w:rPr>
              <w:t>C (Comparison)</w:t>
            </w:r>
          </w:p>
        </w:tc>
        <w:tc>
          <w:tcPr>
            <w:tcW w:w="7862" w:type="dxa"/>
            <w:vAlign w:val="center"/>
          </w:tcPr>
          <w:p w14:paraId="5331B27A" w14:textId="77777777" w:rsidR="006A449D" w:rsidRDefault="00000000">
            <w:pPr>
              <w:spacing w:line="240" w:lineRule="auto"/>
            </w:pPr>
            <w:r>
              <w:rPr>
                <w:sz w:val="18"/>
              </w:rPr>
              <w:t>Individuals without periodontitis, individuals with less severe periodontal disease, individuals with better periodontal health, or reference groups defined in the original studies. These comparison groups were not identical across studies.</w:t>
            </w:r>
          </w:p>
        </w:tc>
      </w:tr>
      <w:tr w:rsidR="006A449D" w14:paraId="4E8E5586" w14:textId="77777777" w:rsidTr="004A0F6D">
        <w:trPr>
          <w:jc w:val="center"/>
        </w:trPr>
        <w:tc>
          <w:tcPr>
            <w:tcW w:w="1577" w:type="dxa"/>
            <w:vAlign w:val="center"/>
          </w:tcPr>
          <w:p w14:paraId="67CE30AE" w14:textId="77777777" w:rsidR="006A449D" w:rsidRDefault="00000000">
            <w:pPr>
              <w:spacing w:line="240" w:lineRule="auto"/>
            </w:pPr>
            <w:r>
              <w:rPr>
                <w:sz w:val="18"/>
              </w:rPr>
              <w:t>O (Outcome)</w:t>
            </w:r>
          </w:p>
        </w:tc>
        <w:tc>
          <w:tcPr>
            <w:tcW w:w="7862" w:type="dxa"/>
            <w:vAlign w:val="center"/>
          </w:tcPr>
          <w:p w14:paraId="6C2E7D6B" w14:textId="77777777" w:rsidR="006A449D" w:rsidRDefault="00000000">
            <w:pPr>
              <w:spacing w:line="240" w:lineRule="auto"/>
            </w:pPr>
            <w:r>
              <w:rPr>
                <w:sz w:val="18"/>
              </w:rPr>
              <w:t>Cognitive impairment, mild cognitive impairment, cognitive decline, dementia, Alzheimer’s disease, Parkinson’s disease, and other neurodegenerative diseases assessed through clinical diagnosis, registry data, medical records, or standardized cognitive instruments.</w:t>
            </w:r>
          </w:p>
        </w:tc>
      </w:tr>
    </w:tbl>
    <w:p w14:paraId="6B9BB83E" w14:textId="77777777" w:rsidR="004A0F6D" w:rsidRDefault="004A0F6D">
      <w:pPr>
        <w:keepNext/>
        <w:spacing w:before="120" w:after="60"/>
        <w:rPr>
          <w:rFonts w:eastAsia="Times New Roman"/>
          <w:b/>
          <w:sz w:val="20"/>
        </w:rPr>
      </w:pPr>
    </w:p>
    <w:p w14:paraId="4573E5FF" w14:textId="7A7EEC2A" w:rsidR="006A449D" w:rsidRDefault="00000000">
      <w:pPr>
        <w:keepNext/>
        <w:spacing w:before="120" w:after="60"/>
      </w:pPr>
      <w:r>
        <w:rPr>
          <w:rFonts w:eastAsia="Times New Roman"/>
          <w:b/>
          <w:sz w:val="20"/>
        </w:rPr>
        <w:t>Table 2. Number of articles based on search databases.</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45"/>
        <w:gridCol w:w="5588"/>
        <w:gridCol w:w="1793"/>
      </w:tblGrid>
      <w:tr w:rsidR="006A449D" w14:paraId="5BFB9FFA" w14:textId="77777777" w:rsidTr="004A0F6D">
        <w:trPr>
          <w:tblHeader/>
          <w:jc w:val="center"/>
        </w:trPr>
        <w:tc>
          <w:tcPr>
            <w:tcW w:w="1945" w:type="dxa"/>
            <w:vAlign w:val="center"/>
          </w:tcPr>
          <w:p w14:paraId="0A4B4C32" w14:textId="77777777" w:rsidR="006A449D" w:rsidRDefault="00000000">
            <w:pPr>
              <w:spacing w:line="240" w:lineRule="auto"/>
              <w:jc w:val="center"/>
            </w:pPr>
            <w:r>
              <w:rPr>
                <w:b/>
                <w:sz w:val="18"/>
              </w:rPr>
              <w:t>Database</w:t>
            </w:r>
          </w:p>
        </w:tc>
        <w:tc>
          <w:tcPr>
            <w:tcW w:w="5588" w:type="dxa"/>
            <w:vAlign w:val="center"/>
          </w:tcPr>
          <w:p w14:paraId="05B6C481" w14:textId="77777777" w:rsidR="006A449D" w:rsidRDefault="00000000">
            <w:pPr>
              <w:spacing w:line="240" w:lineRule="auto"/>
              <w:jc w:val="center"/>
            </w:pPr>
            <w:r>
              <w:rPr>
                <w:b/>
                <w:sz w:val="18"/>
              </w:rPr>
              <w:t>Keyword</w:t>
            </w:r>
          </w:p>
        </w:tc>
        <w:tc>
          <w:tcPr>
            <w:tcW w:w="1793" w:type="dxa"/>
            <w:vAlign w:val="center"/>
          </w:tcPr>
          <w:p w14:paraId="4F9D2E07" w14:textId="77777777" w:rsidR="006A449D" w:rsidRDefault="00000000">
            <w:pPr>
              <w:spacing w:line="240" w:lineRule="auto"/>
              <w:jc w:val="center"/>
            </w:pPr>
            <w:r>
              <w:rPr>
                <w:b/>
                <w:sz w:val="18"/>
              </w:rPr>
              <w:t>Number of Articles</w:t>
            </w:r>
          </w:p>
        </w:tc>
      </w:tr>
      <w:tr w:rsidR="006A449D" w14:paraId="2012CA6B" w14:textId="77777777" w:rsidTr="004A0F6D">
        <w:trPr>
          <w:jc w:val="center"/>
        </w:trPr>
        <w:tc>
          <w:tcPr>
            <w:tcW w:w="1945" w:type="dxa"/>
            <w:vAlign w:val="center"/>
          </w:tcPr>
          <w:p w14:paraId="5F352710" w14:textId="77777777" w:rsidR="006A449D" w:rsidRDefault="00000000">
            <w:pPr>
              <w:spacing w:line="240" w:lineRule="auto"/>
            </w:pPr>
            <w:r>
              <w:rPr>
                <w:sz w:val="18"/>
              </w:rPr>
              <w:t>PubMed/MEDLINE</w:t>
            </w:r>
          </w:p>
        </w:tc>
        <w:tc>
          <w:tcPr>
            <w:tcW w:w="5588" w:type="dxa"/>
            <w:vAlign w:val="center"/>
          </w:tcPr>
          <w:p w14:paraId="15288A93" w14:textId="77777777" w:rsidR="006A449D" w:rsidRDefault="00000000">
            <w:pPr>
              <w:spacing w:line="240" w:lineRule="auto"/>
            </w:pPr>
            <w:r>
              <w:rPr>
                <w:sz w:val="18"/>
              </w:rPr>
              <w:t>(“periodontitis” OR “periodontal disease” OR “periodontal health” OR “clinical attachment loss” OR “probing pocket depth” OR “alveolar bone loss” OR “tooth loss”) AND (“cognitive impairment” OR “cognitive decline” OR “mild cognitive impairment” OR dementia OR “Alzheimer disease” OR “Parkinson disease” OR “neurodegenerative disease”) AND (“odds ratio” OR “hazard ratio” OR “confidence interval” OR “p-value” OR association)</w:t>
            </w:r>
          </w:p>
        </w:tc>
        <w:tc>
          <w:tcPr>
            <w:tcW w:w="1793" w:type="dxa"/>
            <w:vAlign w:val="center"/>
          </w:tcPr>
          <w:p w14:paraId="4F58E33F" w14:textId="77777777" w:rsidR="006A449D" w:rsidRDefault="00000000">
            <w:pPr>
              <w:spacing w:line="240" w:lineRule="auto"/>
            </w:pPr>
            <w:r>
              <w:rPr>
                <w:sz w:val="18"/>
              </w:rPr>
              <w:t>124</w:t>
            </w:r>
          </w:p>
        </w:tc>
      </w:tr>
      <w:tr w:rsidR="006A449D" w14:paraId="60B7E45A" w14:textId="77777777" w:rsidTr="004A0F6D">
        <w:trPr>
          <w:jc w:val="center"/>
        </w:trPr>
        <w:tc>
          <w:tcPr>
            <w:tcW w:w="1945" w:type="dxa"/>
            <w:vAlign w:val="center"/>
          </w:tcPr>
          <w:p w14:paraId="0BEC3F3E" w14:textId="77777777" w:rsidR="006A449D" w:rsidRDefault="00000000">
            <w:pPr>
              <w:spacing w:line="240" w:lineRule="auto"/>
            </w:pPr>
            <w:r>
              <w:rPr>
                <w:sz w:val="18"/>
              </w:rPr>
              <w:t>Scopus</w:t>
            </w:r>
          </w:p>
        </w:tc>
        <w:tc>
          <w:tcPr>
            <w:tcW w:w="5588" w:type="dxa"/>
            <w:vAlign w:val="center"/>
          </w:tcPr>
          <w:p w14:paraId="0142F53C" w14:textId="77777777" w:rsidR="006A449D" w:rsidRDefault="00000000">
            <w:pPr>
              <w:spacing w:line="240" w:lineRule="auto"/>
            </w:pPr>
            <w:r>
              <w:rPr>
                <w:sz w:val="18"/>
              </w:rPr>
              <w:t>TITLE-ABS-KEY (“periodontitis” OR “periodontal disease” OR “periodontal health” OR “tooth loss” OR “alveolar bone loss”) AND TITLE-ABS-KEY (“cognitive impairment” OR “cognitive decline” OR dementia OR “Alzheimer disease” OR “Parkinson disease” OR “neurodegenerative disease”) AND TITLE-ABS-KEY (“odds ratio” OR “confidence interval” OR association OR “risk factor”) AND PUBYEAR &gt; 2016</w:t>
            </w:r>
          </w:p>
        </w:tc>
        <w:tc>
          <w:tcPr>
            <w:tcW w:w="1793" w:type="dxa"/>
            <w:vAlign w:val="center"/>
          </w:tcPr>
          <w:p w14:paraId="00C6ABC2" w14:textId="77777777" w:rsidR="006A449D" w:rsidRDefault="00000000">
            <w:pPr>
              <w:spacing w:line="240" w:lineRule="auto"/>
            </w:pPr>
            <w:r>
              <w:rPr>
                <w:sz w:val="18"/>
              </w:rPr>
              <w:t>156</w:t>
            </w:r>
          </w:p>
        </w:tc>
      </w:tr>
      <w:tr w:rsidR="006A449D" w14:paraId="0A01FA97" w14:textId="77777777" w:rsidTr="004A0F6D">
        <w:trPr>
          <w:jc w:val="center"/>
        </w:trPr>
        <w:tc>
          <w:tcPr>
            <w:tcW w:w="1945" w:type="dxa"/>
            <w:vAlign w:val="center"/>
          </w:tcPr>
          <w:p w14:paraId="09C042DA" w14:textId="77777777" w:rsidR="006A449D" w:rsidRDefault="00000000">
            <w:pPr>
              <w:spacing w:line="240" w:lineRule="auto"/>
            </w:pPr>
            <w:r>
              <w:rPr>
                <w:sz w:val="18"/>
              </w:rPr>
              <w:t>Web of Science</w:t>
            </w:r>
          </w:p>
        </w:tc>
        <w:tc>
          <w:tcPr>
            <w:tcW w:w="5588" w:type="dxa"/>
            <w:vAlign w:val="center"/>
          </w:tcPr>
          <w:p w14:paraId="2FD14A83" w14:textId="77777777" w:rsidR="006A449D" w:rsidRDefault="00000000">
            <w:pPr>
              <w:spacing w:line="240" w:lineRule="auto"/>
            </w:pPr>
            <w:r>
              <w:rPr>
                <w:sz w:val="18"/>
              </w:rPr>
              <w:t>TS=(“periodontitis” OR “periodontal disease” OR “periodontal health” OR “clinical attachment loss” OR “probing pocket depth” OR “tooth loss”) AND TS=(“cognitive impairment” OR “cognitive decline” OR dementia OR “Alzheimer disease” OR “Parkinson disease” OR “neurodegenerative disease”) AND TS=(“odds ratio” OR “confidence interval” OR association OR “risk factor”)</w:t>
            </w:r>
          </w:p>
        </w:tc>
        <w:tc>
          <w:tcPr>
            <w:tcW w:w="1793" w:type="dxa"/>
            <w:vAlign w:val="center"/>
          </w:tcPr>
          <w:p w14:paraId="0B24489A" w14:textId="77777777" w:rsidR="006A449D" w:rsidRDefault="00000000">
            <w:pPr>
              <w:spacing w:line="240" w:lineRule="auto"/>
            </w:pPr>
            <w:r>
              <w:rPr>
                <w:sz w:val="18"/>
              </w:rPr>
              <w:t>98</w:t>
            </w:r>
          </w:p>
        </w:tc>
      </w:tr>
      <w:tr w:rsidR="006A449D" w14:paraId="325A93DA" w14:textId="77777777" w:rsidTr="004A0F6D">
        <w:trPr>
          <w:jc w:val="center"/>
        </w:trPr>
        <w:tc>
          <w:tcPr>
            <w:tcW w:w="1945" w:type="dxa"/>
            <w:vAlign w:val="center"/>
          </w:tcPr>
          <w:p w14:paraId="08F720A4" w14:textId="77777777" w:rsidR="006A449D" w:rsidRDefault="00000000">
            <w:pPr>
              <w:spacing w:line="240" w:lineRule="auto"/>
            </w:pPr>
            <w:r>
              <w:rPr>
                <w:sz w:val="18"/>
              </w:rPr>
              <w:t>Total articles identified</w:t>
            </w:r>
          </w:p>
        </w:tc>
        <w:tc>
          <w:tcPr>
            <w:tcW w:w="5588" w:type="dxa"/>
            <w:vAlign w:val="center"/>
          </w:tcPr>
          <w:p w14:paraId="0BABE662" w14:textId="77777777" w:rsidR="006A449D" w:rsidRDefault="00000000">
            <w:pPr>
              <w:spacing w:line="240" w:lineRule="auto"/>
            </w:pPr>
            <w:r>
              <w:rPr>
                <w:sz w:val="18"/>
              </w:rPr>
              <w:t>Total articles identified</w:t>
            </w:r>
          </w:p>
        </w:tc>
        <w:tc>
          <w:tcPr>
            <w:tcW w:w="1793" w:type="dxa"/>
            <w:vAlign w:val="center"/>
          </w:tcPr>
          <w:p w14:paraId="5CB1F6EC" w14:textId="77777777" w:rsidR="006A449D" w:rsidRDefault="00000000">
            <w:pPr>
              <w:spacing w:line="240" w:lineRule="auto"/>
            </w:pPr>
            <w:r>
              <w:rPr>
                <w:sz w:val="18"/>
              </w:rPr>
              <w:t>378</w:t>
            </w:r>
          </w:p>
        </w:tc>
      </w:tr>
    </w:tbl>
    <w:p w14:paraId="41040F9F" w14:textId="77777777" w:rsidR="004A0F6D" w:rsidRDefault="004A0F6D">
      <w:pPr>
        <w:keepNext/>
        <w:spacing w:before="120" w:after="60"/>
        <w:rPr>
          <w:rFonts w:eastAsia="Times New Roman"/>
          <w:b/>
          <w:sz w:val="20"/>
        </w:rPr>
      </w:pPr>
    </w:p>
    <w:p w14:paraId="57E6DD0C" w14:textId="7236F28D" w:rsidR="006A449D" w:rsidRDefault="00000000">
      <w:pPr>
        <w:keepNext/>
        <w:spacing w:before="120" w:after="60"/>
      </w:pPr>
      <w:r>
        <w:rPr>
          <w:rFonts w:eastAsia="Times New Roman"/>
          <w:b/>
          <w:sz w:val="20"/>
        </w:rPr>
        <w:t>Table 3. JBI Critical Appraisal of Included Studies.</w:t>
      </w:r>
    </w:p>
    <w:tbl>
      <w:tblPr>
        <w:tblW w:w="93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2"/>
        <w:gridCol w:w="988"/>
        <w:gridCol w:w="1226"/>
        <w:gridCol w:w="1551"/>
        <w:gridCol w:w="1403"/>
        <w:gridCol w:w="3662"/>
      </w:tblGrid>
      <w:tr w:rsidR="006A449D" w14:paraId="23FEF857" w14:textId="77777777">
        <w:trPr>
          <w:tblHeader/>
          <w:jc w:val="center"/>
        </w:trPr>
        <w:tc>
          <w:tcPr>
            <w:tcW w:w="554" w:type="dxa"/>
            <w:vAlign w:val="center"/>
          </w:tcPr>
          <w:p w14:paraId="4EBB00CE" w14:textId="77777777" w:rsidR="006A449D" w:rsidRDefault="00000000">
            <w:pPr>
              <w:spacing w:line="240" w:lineRule="auto"/>
              <w:jc w:val="center"/>
            </w:pPr>
            <w:r>
              <w:rPr>
                <w:b/>
                <w:sz w:val="18"/>
              </w:rPr>
              <w:t>No.</w:t>
            </w:r>
          </w:p>
        </w:tc>
        <w:tc>
          <w:tcPr>
            <w:tcW w:w="992" w:type="dxa"/>
            <w:vAlign w:val="center"/>
          </w:tcPr>
          <w:p w14:paraId="771ACACE" w14:textId="77777777" w:rsidR="006A449D" w:rsidRDefault="00000000">
            <w:pPr>
              <w:spacing w:line="240" w:lineRule="auto"/>
              <w:jc w:val="center"/>
            </w:pPr>
            <w:r>
              <w:rPr>
                <w:b/>
                <w:sz w:val="18"/>
              </w:rPr>
              <w:t>Study</w:t>
            </w:r>
          </w:p>
        </w:tc>
        <w:tc>
          <w:tcPr>
            <w:tcW w:w="1134" w:type="dxa"/>
            <w:vAlign w:val="center"/>
          </w:tcPr>
          <w:p w14:paraId="59E33739" w14:textId="77777777" w:rsidR="006A449D" w:rsidRDefault="00000000">
            <w:pPr>
              <w:spacing w:line="240" w:lineRule="auto"/>
              <w:jc w:val="center"/>
            </w:pPr>
            <w:r>
              <w:rPr>
                <w:b/>
                <w:sz w:val="18"/>
              </w:rPr>
              <w:t>Study design</w:t>
            </w:r>
          </w:p>
        </w:tc>
        <w:tc>
          <w:tcPr>
            <w:tcW w:w="1560" w:type="dxa"/>
            <w:vAlign w:val="center"/>
          </w:tcPr>
          <w:p w14:paraId="7CCA5F3E" w14:textId="77777777" w:rsidR="006A449D" w:rsidRDefault="00000000">
            <w:pPr>
              <w:spacing w:line="240" w:lineRule="auto"/>
              <w:jc w:val="center"/>
            </w:pPr>
            <w:r>
              <w:rPr>
                <w:b/>
                <w:sz w:val="18"/>
              </w:rPr>
              <w:t>JBI checklist/tool</w:t>
            </w:r>
          </w:p>
        </w:tc>
        <w:tc>
          <w:tcPr>
            <w:tcW w:w="1417" w:type="dxa"/>
            <w:vAlign w:val="center"/>
          </w:tcPr>
          <w:p w14:paraId="7AB4D00C" w14:textId="77777777" w:rsidR="006A449D" w:rsidRDefault="00000000">
            <w:pPr>
              <w:spacing w:line="240" w:lineRule="auto"/>
              <w:jc w:val="center"/>
            </w:pPr>
            <w:r>
              <w:rPr>
                <w:b/>
                <w:sz w:val="18"/>
              </w:rPr>
              <w:t>Overall appraisal</w:t>
            </w:r>
          </w:p>
        </w:tc>
        <w:tc>
          <w:tcPr>
            <w:tcW w:w="3725" w:type="dxa"/>
            <w:vAlign w:val="center"/>
          </w:tcPr>
          <w:p w14:paraId="059E4663" w14:textId="77777777" w:rsidR="006A449D" w:rsidRDefault="00000000">
            <w:pPr>
              <w:spacing w:line="240" w:lineRule="auto"/>
              <w:jc w:val="center"/>
            </w:pPr>
            <w:r>
              <w:rPr>
                <w:b/>
                <w:sz w:val="18"/>
              </w:rPr>
              <w:t>Main concerns/notes</w:t>
            </w:r>
          </w:p>
        </w:tc>
      </w:tr>
      <w:tr w:rsidR="006A449D" w14:paraId="527273C0" w14:textId="77777777">
        <w:trPr>
          <w:jc w:val="center"/>
        </w:trPr>
        <w:tc>
          <w:tcPr>
            <w:tcW w:w="554" w:type="dxa"/>
            <w:vAlign w:val="center"/>
          </w:tcPr>
          <w:p w14:paraId="0789FA2D" w14:textId="77777777" w:rsidR="006A449D" w:rsidRDefault="00000000">
            <w:pPr>
              <w:spacing w:line="240" w:lineRule="auto"/>
              <w:jc w:val="center"/>
            </w:pPr>
            <w:r>
              <w:rPr>
                <w:sz w:val="18"/>
              </w:rPr>
              <w:t>1</w:t>
            </w:r>
          </w:p>
        </w:tc>
        <w:tc>
          <w:tcPr>
            <w:tcW w:w="992" w:type="dxa"/>
            <w:vAlign w:val="center"/>
          </w:tcPr>
          <w:p w14:paraId="534F3849" w14:textId="77777777" w:rsidR="006A449D" w:rsidRDefault="00000000">
            <w:pPr>
              <w:spacing w:line="240" w:lineRule="auto"/>
            </w:pPr>
            <w:r>
              <w:rPr>
                <w:sz w:val="18"/>
              </w:rPr>
              <w:t>Chen et al. (2017)</w:t>
            </w:r>
          </w:p>
        </w:tc>
        <w:tc>
          <w:tcPr>
            <w:tcW w:w="1134" w:type="dxa"/>
            <w:vAlign w:val="center"/>
          </w:tcPr>
          <w:p w14:paraId="212F1B3E" w14:textId="77777777" w:rsidR="006A449D" w:rsidRDefault="00000000">
            <w:pPr>
              <w:spacing w:line="240" w:lineRule="auto"/>
            </w:pPr>
            <w:r>
              <w:rPr>
                <w:sz w:val="18"/>
              </w:rPr>
              <w:t>Retrospective cohort</w:t>
            </w:r>
          </w:p>
        </w:tc>
        <w:tc>
          <w:tcPr>
            <w:tcW w:w="1560" w:type="dxa"/>
            <w:vAlign w:val="center"/>
          </w:tcPr>
          <w:p w14:paraId="2734E162" w14:textId="77777777" w:rsidR="006A449D" w:rsidRDefault="00000000">
            <w:pPr>
              <w:spacing w:line="240" w:lineRule="auto"/>
            </w:pPr>
            <w:r>
              <w:rPr>
                <w:sz w:val="18"/>
              </w:rPr>
              <w:t>JBI checklist for cohort studies</w:t>
            </w:r>
          </w:p>
        </w:tc>
        <w:tc>
          <w:tcPr>
            <w:tcW w:w="1417" w:type="dxa"/>
            <w:vAlign w:val="center"/>
          </w:tcPr>
          <w:p w14:paraId="32B7277F" w14:textId="77777777" w:rsidR="006A449D" w:rsidRDefault="00000000">
            <w:pPr>
              <w:spacing w:line="240" w:lineRule="auto"/>
            </w:pPr>
            <w:r>
              <w:rPr>
                <w:sz w:val="18"/>
              </w:rPr>
              <w:t>Moderate risk of bias</w:t>
            </w:r>
          </w:p>
        </w:tc>
        <w:tc>
          <w:tcPr>
            <w:tcW w:w="3725" w:type="dxa"/>
            <w:vAlign w:val="center"/>
          </w:tcPr>
          <w:p w14:paraId="37730423" w14:textId="77777777" w:rsidR="006A449D" w:rsidRDefault="00000000">
            <w:pPr>
              <w:spacing w:line="240" w:lineRule="auto"/>
            </w:pPr>
            <w:r>
              <w:rPr>
                <w:sz w:val="18"/>
              </w:rPr>
              <w:t>Retrospective design; possible residual confounding; exposure and outcome were based on secondary database records.</w:t>
            </w:r>
          </w:p>
        </w:tc>
      </w:tr>
      <w:tr w:rsidR="006A449D" w14:paraId="6E70F181" w14:textId="77777777">
        <w:trPr>
          <w:jc w:val="center"/>
        </w:trPr>
        <w:tc>
          <w:tcPr>
            <w:tcW w:w="554" w:type="dxa"/>
            <w:vAlign w:val="center"/>
          </w:tcPr>
          <w:p w14:paraId="0BCF8011" w14:textId="77777777" w:rsidR="006A449D" w:rsidRDefault="00000000">
            <w:pPr>
              <w:spacing w:line="240" w:lineRule="auto"/>
              <w:jc w:val="center"/>
            </w:pPr>
            <w:r>
              <w:rPr>
                <w:sz w:val="18"/>
              </w:rPr>
              <w:t>2</w:t>
            </w:r>
          </w:p>
        </w:tc>
        <w:tc>
          <w:tcPr>
            <w:tcW w:w="992" w:type="dxa"/>
            <w:vAlign w:val="center"/>
          </w:tcPr>
          <w:p w14:paraId="3270D48F" w14:textId="77777777" w:rsidR="006A449D" w:rsidRDefault="00000000">
            <w:pPr>
              <w:spacing w:line="240" w:lineRule="auto"/>
            </w:pPr>
            <w:r>
              <w:rPr>
                <w:sz w:val="18"/>
              </w:rPr>
              <w:t>Y.-T. Lee et al. (2017)</w:t>
            </w:r>
          </w:p>
        </w:tc>
        <w:tc>
          <w:tcPr>
            <w:tcW w:w="1134" w:type="dxa"/>
            <w:vAlign w:val="center"/>
          </w:tcPr>
          <w:p w14:paraId="2D973742" w14:textId="77777777" w:rsidR="006A449D" w:rsidRDefault="00000000">
            <w:pPr>
              <w:spacing w:line="240" w:lineRule="auto"/>
            </w:pPr>
            <w:r>
              <w:rPr>
                <w:sz w:val="18"/>
              </w:rPr>
              <w:t>Prospective cohort</w:t>
            </w:r>
          </w:p>
        </w:tc>
        <w:tc>
          <w:tcPr>
            <w:tcW w:w="1560" w:type="dxa"/>
            <w:vAlign w:val="center"/>
          </w:tcPr>
          <w:p w14:paraId="1D2FB97E" w14:textId="77777777" w:rsidR="006A449D" w:rsidRDefault="00000000">
            <w:pPr>
              <w:spacing w:line="240" w:lineRule="auto"/>
            </w:pPr>
            <w:r>
              <w:rPr>
                <w:sz w:val="18"/>
              </w:rPr>
              <w:t>JBI checklist for cohort studies</w:t>
            </w:r>
          </w:p>
        </w:tc>
        <w:tc>
          <w:tcPr>
            <w:tcW w:w="1417" w:type="dxa"/>
            <w:vAlign w:val="center"/>
          </w:tcPr>
          <w:p w14:paraId="4AEBDA6F" w14:textId="77777777" w:rsidR="006A449D" w:rsidRDefault="00000000">
            <w:pPr>
              <w:spacing w:line="240" w:lineRule="auto"/>
            </w:pPr>
            <w:r>
              <w:rPr>
                <w:sz w:val="18"/>
              </w:rPr>
              <w:t>Moderate risk of bias</w:t>
            </w:r>
          </w:p>
        </w:tc>
        <w:tc>
          <w:tcPr>
            <w:tcW w:w="3725" w:type="dxa"/>
            <w:vAlign w:val="center"/>
          </w:tcPr>
          <w:p w14:paraId="5527AEFD" w14:textId="77777777" w:rsidR="006A449D" w:rsidRDefault="00000000">
            <w:pPr>
              <w:spacing w:line="240" w:lineRule="auto"/>
            </w:pPr>
            <w:r>
              <w:rPr>
                <w:sz w:val="18"/>
              </w:rPr>
              <w:t>Large database cohort; possible misclassification of periodontitis and dementia; residual confounding remains possible.</w:t>
            </w:r>
          </w:p>
        </w:tc>
      </w:tr>
      <w:tr w:rsidR="006A449D" w14:paraId="2C2E53DB" w14:textId="77777777">
        <w:trPr>
          <w:jc w:val="center"/>
        </w:trPr>
        <w:tc>
          <w:tcPr>
            <w:tcW w:w="554" w:type="dxa"/>
            <w:vAlign w:val="center"/>
          </w:tcPr>
          <w:p w14:paraId="7DEDDAA5" w14:textId="77777777" w:rsidR="006A449D" w:rsidRDefault="00000000">
            <w:pPr>
              <w:spacing w:line="240" w:lineRule="auto"/>
              <w:jc w:val="center"/>
            </w:pPr>
            <w:r>
              <w:rPr>
                <w:sz w:val="18"/>
              </w:rPr>
              <w:t>3</w:t>
            </w:r>
          </w:p>
        </w:tc>
        <w:tc>
          <w:tcPr>
            <w:tcW w:w="992" w:type="dxa"/>
            <w:vAlign w:val="center"/>
          </w:tcPr>
          <w:p w14:paraId="28E9E4A7" w14:textId="77777777" w:rsidR="006A449D" w:rsidRDefault="00000000">
            <w:pPr>
              <w:spacing w:line="240" w:lineRule="auto"/>
            </w:pPr>
            <w:r>
              <w:rPr>
                <w:sz w:val="18"/>
              </w:rPr>
              <w:t>Y.-L. Lee et al. (2017)</w:t>
            </w:r>
          </w:p>
        </w:tc>
        <w:tc>
          <w:tcPr>
            <w:tcW w:w="1134" w:type="dxa"/>
            <w:vAlign w:val="center"/>
          </w:tcPr>
          <w:p w14:paraId="2FF5A61F" w14:textId="77777777" w:rsidR="006A449D" w:rsidRDefault="00000000">
            <w:pPr>
              <w:spacing w:line="240" w:lineRule="auto"/>
            </w:pPr>
            <w:r>
              <w:rPr>
                <w:sz w:val="18"/>
              </w:rPr>
              <w:t>Retrospective cohort</w:t>
            </w:r>
          </w:p>
        </w:tc>
        <w:tc>
          <w:tcPr>
            <w:tcW w:w="1560" w:type="dxa"/>
            <w:vAlign w:val="center"/>
          </w:tcPr>
          <w:p w14:paraId="7DF2C9BA" w14:textId="77777777" w:rsidR="006A449D" w:rsidRDefault="00000000">
            <w:pPr>
              <w:spacing w:line="240" w:lineRule="auto"/>
            </w:pPr>
            <w:r>
              <w:rPr>
                <w:sz w:val="18"/>
              </w:rPr>
              <w:t>JBI checklist for cohort studies</w:t>
            </w:r>
          </w:p>
        </w:tc>
        <w:tc>
          <w:tcPr>
            <w:tcW w:w="1417" w:type="dxa"/>
            <w:vAlign w:val="center"/>
          </w:tcPr>
          <w:p w14:paraId="6631D5EF" w14:textId="77777777" w:rsidR="006A449D" w:rsidRDefault="00000000">
            <w:pPr>
              <w:spacing w:line="240" w:lineRule="auto"/>
            </w:pPr>
            <w:r>
              <w:rPr>
                <w:sz w:val="18"/>
              </w:rPr>
              <w:t>Moderate risk of bias</w:t>
            </w:r>
          </w:p>
        </w:tc>
        <w:tc>
          <w:tcPr>
            <w:tcW w:w="3725" w:type="dxa"/>
            <w:vAlign w:val="center"/>
          </w:tcPr>
          <w:p w14:paraId="20E92B49" w14:textId="77777777" w:rsidR="006A449D" w:rsidRDefault="00000000">
            <w:pPr>
              <w:spacing w:line="240" w:lineRule="auto"/>
            </w:pPr>
            <w:r>
              <w:rPr>
                <w:sz w:val="18"/>
              </w:rPr>
              <w:t>Periodontal treatment status may reflect health-seeking behavior; residual confounding and indication bias may affect interpretation.</w:t>
            </w:r>
          </w:p>
        </w:tc>
      </w:tr>
      <w:tr w:rsidR="006A449D" w14:paraId="0FAF5906" w14:textId="77777777">
        <w:trPr>
          <w:jc w:val="center"/>
        </w:trPr>
        <w:tc>
          <w:tcPr>
            <w:tcW w:w="554" w:type="dxa"/>
            <w:vAlign w:val="center"/>
          </w:tcPr>
          <w:p w14:paraId="0853C537" w14:textId="77777777" w:rsidR="006A449D" w:rsidRDefault="00000000">
            <w:pPr>
              <w:spacing w:line="240" w:lineRule="auto"/>
              <w:jc w:val="center"/>
            </w:pPr>
            <w:r>
              <w:rPr>
                <w:sz w:val="18"/>
              </w:rPr>
              <w:t>4</w:t>
            </w:r>
          </w:p>
        </w:tc>
        <w:tc>
          <w:tcPr>
            <w:tcW w:w="992" w:type="dxa"/>
            <w:vAlign w:val="center"/>
          </w:tcPr>
          <w:p w14:paraId="10C17B7E" w14:textId="77777777" w:rsidR="006A449D" w:rsidRDefault="00000000">
            <w:pPr>
              <w:spacing w:line="240" w:lineRule="auto"/>
            </w:pPr>
            <w:r>
              <w:rPr>
                <w:sz w:val="18"/>
              </w:rPr>
              <w:t>Choi et al. (2019)</w:t>
            </w:r>
          </w:p>
        </w:tc>
        <w:tc>
          <w:tcPr>
            <w:tcW w:w="1134" w:type="dxa"/>
            <w:vAlign w:val="center"/>
          </w:tcPr>
          <w:p w14:paraId="69AB4033" w14:textId="77777777" w:rsidR="006A449D" w:rsidRDefault="00000000">
            <w:pPr>
              <w:spacing w:line="240" w:lineRule="auto"/>
            </w:pPr>
            <w:r>
              <w:rPr>
                <w:sz w:val="18"/>
              </w:rPr>
              <w:t>Retrospective cohort</w:t>
            </w:r>
          </w:p>
        </w:tc>
        <w:tc>
          <w:tcPr>
            <w:tcW w:w="1560" w:type="dxa"/>
            <w:vAlign w:val="center"/>
          </w:tcPr>
          <w:p w14:paraId="69CAE3E7" w14:textId="77777777" w:rsidR="006A449D" w:rsidRDefault="00000000">
            <w:pPr>
              <w:spacing w:line="240" w:lineRule="auto"/>
            </w:pPr>
            <w:r>
              <w:rPr>
                <w:sz w:val="18"/>
              </w:rPr>
              <w:t>JBI checklist for cohort studies</w:t>
            </w:r>
          </w:p>
        </w:tc>
        <w:tc>
          <w:tcPr>
            <w:tcW w:w="1417" w:type="dxa"/>
            <w:vAlign w:val="center"/>
          </w:tcPr>
          <w:p w14:paraId="27960D08" w14:textId="77777777" w:rsidR="006A449D" w:rsidRDefault="00000000">
            <w:pPr>
              <w:spacing w:line="240" w:lineRule="auto"/>
            </w:pPr>
            <w:r>
              <w:rPr>
                <w:sz w:val="18"/>
              </w:rPr>
              <w:t>Moderate risk of bias</w:t>
            </w:r>
          </w:p>
        </w:tc>
        <w:tc>
          <w:tcPr>
            <w:tcW w:w="3725" w:type="dxa"/>
            <w:vAlign w:val="center"/>
          </w:tcPr>
          <w:p w14:paraId="427EA5E7" w14:textId="77777777" w:rsidR="006A449D" w:rsidRDefault="00000000">
            <w:pPr>
              <w:spacing w:line="240" w:lineRule="auto"/>
            </w:pPr>
            <w:r>
              <w:rPr>
                <w:sz w:val="18"/>
              </w:rPr>
              <w:t xml:space="preserve">Diagnosis based on administrative data; possible residual confounding; vascular </w:t>
            </w:r>
            <w:r>
              <w:rPr>
                <w:sz w:val="18"/>
              </w:rPr>
              <w:lastRenderedPageBreak/>
              <w:t>dementia association was not statistically significant.</w:t>
            </w:r>
          </w:p>
        </w:tc>
      </w:tr>
      <w:tr w:rsidR="006A449D" w14:paraId="24CBC978" w14:textId="77777777">
        <w:trPr>
          <w:jc w:val="center"/>
        </w:trPr>
        <w:tc>
          <w:tcPr>
            <w:tcW w:w="554" w:type="dxa"/>
            <w:vAlign w:val="center"/>
          </w:tcPr>
          <w:p w14:paraId="54F7074E" w14:textId="77777777" w:rsidR="006A449D" w:rsidRDefault="00000000">
            <w:pPr>
              <w:spacing w:line="240" w:lineRule="auto"/>
              <w:jc w:val="center"/>
            </w:pPr>
            <w:r>
              <w:rPr>
                <w:sz w:val="18"/>
              </w:rPr>
              <w:lastRenderedPageBreak/>
              <w:t>5</w:t>
            </w:r>
          </w:p>
        </w:tc>
        <w:tc>
          <w:tcPr>
            <w:tcW w:w="992" w:type="dxa"/>
            <w:vAlign w:val="center"/>
          </w:tcPr>
          <w:p w14:paraId="23E02A28" w14:textId="77777777" w:rsidR="006A449D" w:rsidRDefault="00000000">
            <w:pPr>
              <w:spacing w:line="240" w:lineRule="auto"/>
            </w:pPr>
            <w:r>
              <w:rPr>
                <w:sz w:val="18"/>
              </w:rPr>
              <w:t>Sung et al. (2019)</w:t>
            </w:r>
          </w:p>
        </w:tc>
        <w:tc>
          <w:tcPr>
            <w:tcW w:w="1134" w:type="dxa"/>
            <w:vAlign w:val="center"/>
          </w:tcPr>
          <w:p w14:paraId="69BE0CCE" w14:textId="77777777" w:rsidR="006A449D" w:rsidRDefault="00000000">
            <w:pPr>
              <w:spacing w:line="240" w:lineRule="auto"/>
            </w:pPr>
            <w:r>
              <w:rPr>
                <w:sz w:val="18"/>
              </w:rPr>
              <w:t>Cross-sectional study</w:t>
            </w:r>
          </w:p>
        </w:tc>
        <w:tc>
          <w:tcPr>
            <w:tcW w:w="1560" w:type="dxa"/>
            <w:vAlign w:val="center"/>
          </w:tcPr>
          <w:p w14:paraId="3AFE3798" w14:textId="77777777" w:rsidR="006A449D" w:rsidRDefault="00000000">
            <w:pPr>
              <w:spacing w:line="240" w:lineRule="auto"/>
            </w:pPr>
            <w:r>
              <w:rPr>
                <w:sz w:val="18"/>
              </w:rPr>
              <w:t>JBI analytical cross-sectional checklist</w:t>
            </w:r>
          </w:p>
        </w:tc>
        <w:tc>
          <w:tcPr>
            <w:tcW w:w="1417" w:type="dxa"/>
            <w:vAlign w:val="center"/>
          </w:tcPr>
          <w:p w14:paraId="45A78641" w14:textId="77777777" w:rsidR="006A449D" w:rsidRDefault="00000000">
            <w:pPr>
              <w:spacing w:line="240" w:lineRule="auto"/>
            </w:pPr>
            <w:r>
              <w:rPr>
                <w:sz w:val="18"/>
              </w:rPr>
              <w:t>Moderate risk of bias</w:t>
            </w:r>
          </w:p>
        </w:tc>
        <w:tc>
          <w:tcPr>
            <w:tcW w:w="3725" w:type="dxa"/>
            <w:vAlign w:val="center"/>
          </w:tcPr>
          <w:p w14:paraId="46D642C1" w14:textId="77777777" w:rsidR="006A449D" w:rsidRDefault="00000000">
            <w:pPr>
              <w:spacing w:line="240" w:lineRule="auto"/>
            </w:pPr>
            <w:r>
              <w:rPr>
                <w:sz w:val="18"/>
              </w:rPr>
              <w:t>Cross-sectional design; temporal relationship cannot be established; possible reverse causality.</w:t>
            </w:r>
          </w:p>
        </w:tc>
      </w:tr>
      <w:tr w:rsidR="006A449D" w14:paraId="09AA01A9" w14:textId="77777777">
        <w:trPr>
          <w:jc w:val="center"/>
        </w:trPr>
        <w:tc>
          <w:tcPr>
            <w:tcW w:w="554" w:type="dxa"/>
            <w:vAlign w:val="center"/>
          </w:tcPr>
          <w:p w14:paraId="38FCD4E4" w14:textId="77777777" w:rsidR="006A449D" w:rsidRDefault="00000000">
            <w:pPr>
              <w:spacing w:line="240" w:lineRule="auto"/>
              <w:jc w:val="center"/>
            </w:pPr>
            <w:r>
              <w:rPr>
                <w:sz w:val="18"/>
              </w:rPr>
              <w:t>6</w:t>
            </w:r>
          </w:p>
        </w:tc>
        <w:tc>
          <w:tcPr>
            <w:tcW w:w="992" w:type="dxa"/>
            <w:vAlign w:val="center"/>
          </w:tcPr>
          <w:p w14:paraId="567FEF91" w14:textId="77777777" w:rsidR="006A449D" w:rsidRDefault="00000000">
            <w:pPr>
              <w:spacing w:line="240" w:lineRule="auto"/>
            </w:pPr>
            <w:r>
              <w:rPr>
                <w:sz w:val="18"/>
              </w:rPr>
              <w:t>Jeong et al. (2021)</w:t>
            </w:r>
          </w:p>
        </w:tc>
        <w:tc>
          <w:tcPr>
            <w:tcW w:w="1134" w:type="dxa"/>
            <w:vAlign w:val="center"/>
          </w:tcPr>
          <w:p w14:paraId="0516651F" w14:textId="77777777" w:rsidR="006A449D" w:rsidRDefault="00000000">
            <w:pPr>
              <w:spacing w:line="240" w:lineRule="auto"/>
            </w:pPr>
            <w:r>
              <w:rPr>
                <w:sz w:val="18"/>
              </w:rPr>
              <w:t>Retrospective cohort</w:t>
            </w:r>
          </w:p>
        </w:tc>
        <w:tc>
          <w:tcPr>
            <w:tcW w:w="1560" w:type="dxa"/>
            <w:vAlign w:val="center"/>
          </w:tcPr>
          <w:p w14:paraId="473208C3" w14:textId="77777777" w:rsidR="006A449D" w:rsidRDefault="00000000">
            <w:pPr>
              <w:spacing w:line="240" w:lineRule="auto"/>
            </w:pPr>
            <w:r>
              <w:rPr>
                <w:sz w:val="18"/>
              </w:rPr>
              <w:t>JBI checklist for cohort studies</w:t>
            </w:r>
          </w:p>
        </w:tc>
        <w:tc>
          <w:tcPr>
            <w:tcW w:w="1417" w:type="dxa"/>
            <w:vAlign w:val="center"/>
          </w:tcPr>
          <w:p w14:paraId="65870B03" w14:textId="77777777" w:rsidR="006A449D" w:rsidRDefault="00000000">
            <w:pPr>
              <w:spacing w:line="240" w:lineRule="auto"/>
            </w:pPr>
            <w:r>
              <w:rPr>
                <w:sz w:val="18"/>
              </w:rPr>
              <w:t>Moderate risk of bias</w:t>
            </w:r>
          </w:p>
        </w:tc>
        <w:tc>
          <w:tcPr>
            <w:tcW w:w="3725" w:type="dxa"/>
            <w:vAlign w:val="center"/>
          </w:tcPr>
          <w:p w14:paraId="08BE5AB2" w14:textId="77777777" w:rsidR="006A449D" w:rsidRDefault="00000000">
            <w:pPr>
              <w:spacing w:line="240" w:lineRule="auto"/>
            </w:pPr>
            <w:r>
              <w:rPr>
                <w:sz w:val="18"/>
              </w:rPr>
              <w:t>Nationwide database study; exposure and outcome were identified through records; possible diagnostic misclassification.</w:t>
            </w:r>
          </w:p>
        </w:tc>
      </w:tr>
      <w:tr w:rsidR="006A449D" w14:paraId="7509EB17" w14:textId="77777777">
        <w:trPr>
          <w:jc w:val="center"/>
        </w:trPr>
        <w:tc>
          <w:tcPr>
            <w:tcW w:w="554" w:type="dxa"/>
            <w:vAlign w:val="center"/>
          </w:tcPr>
          <w:p w14:paraId="5A0E5D33" w14:textId="77777777" w:rsidR="006A449D" w:rsidRDefault="00000000">
            <w:pPr>
              <w:spacing w:line="240" w:lineRule="auto"/>
              <w:jc w:val="center"/>
            </w:pPr>
            <w:r>
              <w:rPr>
                <w:sz w:val="18"/>
              </w:rPr>
              <w:t>7</w:t>
            </w:r>
          </w:p>
        </w:tc>
        <w:tc>
          <w:tcPr>
            <w:tcW w:w="992" w:type="dxa"/>
            <w:vAlign w:val="center"/>
          </w:tcPr>
          <w:p w14:paraId="741A5F31" w14:textId="77777777" w:rsidR="006A449D" w:rsidRDefault="00000000">
            <w:pPr>
              <w:spacing w:line="240" w:lineRule="auto"/>
            </w:pPr>
            <w:r>
              <w:rPr>
                <w:sz w:val="18"/>
              </w:rPr>
              <w:t>Kim et al. (2022)</w:t>
            </w:r>
          </w:p>
        </w:tc>
        <w:tc>
          <w:tcPr>
            <w:tcW w:w="1134" w:type="dxa"/>
            <w:vAlign w:val="center"/>
          </w:tcPr>
          <w:p w14:paraId="32C2C9B2" w14:textId="77777777" w:rsidR="006A449D" w:rsidRDefault="00000000">
            <w:pPr>
              <w:spacing w:line="240" w:lineRule="auto"/>
            </w:pPr>
            <w:r>
              <w:rPr>
                <w:sz w:val="18"/>
              </w:rPr>
              <w:t>Retrospective cohort</w:t>
            </w:r>
          </w:p>
        </w:tc>
        <w:tc>
          <w:tcPr>
            <w:tcW w:w="1560" w:type="dxa"/>
            <w:vAlign w:val="center"/>
          </w:tcPr>
          <w:p w14:paraId="75C084E8" w14:textId="77777777" w:rsidR="006A449D" w:rsidRDefault="00000000">
            <w:pPr>
              <w:spacing w:line="240" w:lineRule="auto"/>
            </w:pPr>
            <w:r>
              <w:rPr>
                <w:sz w:val="18"/>
              </w:rPr>
              <w:t>JBI checklist for cohort studies</w:t>
            </w:r>
          </w:p>
        </w:tc>
        <w:tc>
          <w:tcPr>
            <w:tcW w:w="1417" w:type="dxa"/>
            <w:vAlign w:val="center"/>
          </w:tcPr>
          <w:p w14:paraId="75B7B0EA" w14:textId="77777777" w:rsidR="006A449D" w:rsidRDefault="00000000">
            <w:pPr>
              <w:spacing w:line="240" w:lineRule="auto"/>
            </w:pPr>
            <w:r>
              <w:rPr>
                <w:sz w:val="18"/>
              </w:rPr>
              <w:t>Moderate risk of bias</w:t>
            </w:r>
          </w:p>
        </w:tc>
        <w:tc>
          <w:tcPr>
            <w:tcW w:w="3725" w:type="dxa"/>
            <w:vAlign w:val="center"/>
          </w:tcPr>
          <w:p w14:paraId="230AEBEF" w14:textId="77777777" w:rsidR="006A449D" w:rsidRDefault="00000000">
            <w:pPr>
              <w:spacing w:line="240" w:lineRule="auto"/>
            </w:pPr>
            <w:r>
              <w:rPr>
                <w:sz w:val="18"/>
              </w:rPr>
              <w:t>Propensity score matching was used, but residual confounding may remain; severity classification may vary across records.</w:t>
            </w:r>
          </w:p>
        </w:tc>
      </w:tr>
      <w:tr w:rsidR="006A449D" w14:paraId="122DBBC3" w14:textId="77777777">
        <w:trPr>
          <w:jc w:val="center"/>
        </w:trPr>
        <w:tc>
          <w:tcPr>
            <w:tcW w:w="554" w:type="dxa"/>
            <w:vAlign w:val="center"/>
          </w:tcPr>
          <w:p w14:paraId="188CC533" w14:textId="77777777" w:rsidR="006A449D" w:rsidRDefault="00000000">
            <w:pPr>
              <w:spacing w:line="240" w:lineRule="auto"/>
              <w:jc w:val="center"/>
            </w:pPr>
            <w:r>
              <w:rPr>
                <w:sz w:val="18"/>
              </w:rPr>
              <w:t>8</w:t>
            </w:r>
          </w:p>
        </w:tc>
        <w:tc>
          <w:tcPr>
            <w:tcW w:w="992" w:type="dxa"/>
            <w:vAlign w:val="center"/>
          </w:tcPr>
          <w:p w14:paraId="6B75E21B" w14:textId="77777777" w:rsidR="006A449D" w:rsidRDefault="00000000">
            <w:pPr>
              <w:spacing w:line="240" w:lineRule="auto"/>
            </w:pPr>
            <w:r>
              <w:rPr>
                <w:sz w:val="18"/>
              </w:rPr>
              <w:t>Luo et al. (2023)</w:t>
            </w:r>
          </w:p>
        </w:tc>
        <w:tc>
          <w:tcPr>
            <w:tcW w:w="1134" w:type="dxa"/>
            <w:vAlign w:val="center"/>
          </w:tcPr>
          <w:p w14:paraId="247028EF" w14:textId="77777777" w:rsidR="006A449D" w:rsidRDefault="00000000">
            <w:pPr>
              <w:spacing w:line="240" w:lineRule="auto"/>
            </w:pPr>
            <w:r>
              <w:rPr>
                <w:sz w:val="18"/>
              </w:rPr>
              <w:t>Observational analytical study</w:t>
            </w:r>
          </w:p>
        </w:tc>
        <w:tc>
          <w:tcPr>
            <w:tcW w:w="1560" w:type="dxa"/>
            <w:vAlign w:val="center"/>
          </w:tcPr>
          <w:p w14:paraId="7DDF2DDD" w14:textId="77777777" w:rsidR="006A449D" w:rsidRDefault="00000000">
            <w:pPr>
              <w:spacing w:line="240" w:lineRule="auto"/>
            </w:pPr>
            <w:r>
              <w:rPr>
                <w:sz w:val="18"/>
              </w:rPr>
              <w:t>JBI checklist according to study design</w:t>
            </w:r>
          </w:p>
        </w:tc>
        <w:tc>
          <w:tcPr>
            <w:tcW w:w="1417" w:type="dxa"/>
            <w:vAlign w:val="center"/>
          </w:tcPr>
          <w:p w14:paraId="75EF7DB4" w14:textId="77777777" w:rsidR="006A449D" w:rsidRDefault="00000000">
            <w:pPr>
              <w:spacing w:line="240" w:lineRule="auto"/>
            </w:pPr>
            <w:r>
              <w:rPr>
                <w:sz w:val="18"/>
              </w:rPr>
              <w:t>Moderate risk of bias</w:t>
            </w:r>
          </w:p>
        </w:tc>
        <w:tc>
          <w:tcPr>
            <w:tcW w:w="3725" w:type="dxa"/>
            <w:vAlign w:val="center"/>
          </w:tcPr>
          <w:p w14:paraId="7FB65D7F" w14:textId="77777777" w:rsidR="006A449D" w:rsidRDefault="00000000">
            <w:pPr>
              <w:spacing w:line="240" w:lineRule="auto"/>
            </w:pPr>
            <w:r>
              <w:rPr>
                <w:sz w:val="18"/>
              </w:rPr>
              <w:t>Tooth loss and periodontal disease may reflect broader socioeconomic and health-related factors; residual confounding possible.</w:t>
            </w:r>
          </w:p>
        </w:tc>
      </w:tr>
      <w:tr w:rsidR="006A449D" w14:paraId="2C82F774" w14:textId="77777777">
        <w:trPr>
          <w:jc w:val="center"/>
        </w:trPr>
        <w:tc>
          <w:tcPr>
            <w:tcW w:w="554" w:type="dxa"/>
            <w:vAlign w:val="center"/>
          </w:tcPr>
          <w:p w14:paraId="7F88ED98" w14:textId="77777777" w:rsidR="006A449D" w:rsidRDefault="00000000">
            <w:pPr>
              <w:spacing w:line="240" w:lineRule="auto"/>
              <w:jc w:val="center"/>
            </w:pPr>
            <w:r>
              <w:rPr>
                <w:sz w:val="18"/>
              </w:rPr>
              <w:t>9</w:t>
            </w:r>
          </w:p>
        </w:tc>
        <w:tc>
          <w:tcPr>
            <w:tcW w:w="992" w:type="dxa"/>
            <w:vAlign w:val="center"/>
          </w:tcPr>
          <w:p w14:paraId="430FE48B" w14:textId="77777777" w:rsidR="006A449D" w:rsidRDefault="00000000">
            <w:pPr>
              <w:spacing w:line="240" w:lineRule="auto"/>
            </w:pPr>
            <w:proofErr w:type="spellStart"/>
            <w:r>
              <w:rPr>
                <w:sz w:val="18"/>
              </w:rPr>
              <w:t>Igase</w:t>
            </w:r>
            <w:proofErr w:type="spellEnd"/>
            <w:r>
              <w:rPr>
                <w:sz w:val="18"/>
              </w:rPr>
              <w:t xml:space="preserve"> et al. (2024)</w:t>
            </w:r>
          </w:p>
        </w:tc>
        <w:tc>
          <w:tcPr>
            <w:tcW w:w="1134" w:type="dxa"/>
            <w:vAlign w:val="center"/>
          </w:tcPr>
          <w:p w14:paraId="53BF79F1" w14:textId="77777777" w:rsidR="006A449D" w:rsidRDefault="00000000">
            <w:pPr>
              <w:spacing w:line="240" w:lineRule="auto"/>
            </w:pPr>
            <w:r>
              <w:rPr>
                <w:sz w:val="18"/>
              </w:rPr>
              <w:t>Cross-sectional study</w:t>
            </w:r>
          </w:p>
        </w:tc>
        <w:tc>
          <w:tcPr>
            <w:tcW w:w="1560" w:type="dxa"/>
            <w:vAlign w:val="center"/>
          </w:tcPr>
          <w:p w14:paraId="73B5FD65" w14:textId="77777777" w:rsidR="006A449D" w:rsidRDefault="00000000">
            <w:pPr>
              <w:spacing w:line="240" w:lineRule="auto"/>
            </w:pPr>
            <w:r>
              <w:rPr>
                <w:sz w:val="18"/>
              </w:rPr>
              <w:t>JBI analytical cross-sectional checklist</w:t>
            </w:r>
          </w:p>
        </w:tc>
        <w:tc>
          <w:tcPr>
            <w:tcW w:w="1417" w:type="dxa"/>
            <w:vAlign w:val="center"/>
          </w:tcPr>
          <w:p w14:paraId="27C70CA5" w14:textId="77777777" w:rsidR="006A449D" w:rsidRDefault="00000000">
            <w:pPr>
              <w:spacing w:line="240" w:lineRule="auto"/>
            </w:pPr>
            <w:r>
              <w:rPr>
                <w:sz w:val="18"/>
              </w:rPr>
              <w:t>Moderate risk of bias</w:t>
            </w:r>
          </w:p>
        </w:tc>
        <w:tc>
          <w:tcPr>
            <w:tcW w:w="3725" w:type="dxa"/>
            <w:vAlign w:val="center"/>
          </w:tcPr>
          <w:p w14:paraId="1A3CE0A6" w14:textId="77777777" w:rsidR="006A449D" w:rsidRDefault="00000000">
            <w:pPr>
              <w:spacing w:line="240" w:lineRule="auto"/>
            </w:pPr>
            <w:r>
              <w:rPr>
                <w:sz w:val="18"/>
              </w:rPr>
              <w:t>Cross-sectional design; relatively small sample; temporality cannot be established.</w:t>
            </w:r>
          </w:p>
        </w:tc>
      </w:tr>
      <w:tr w:rsidR="006A449D" w14:paraId="33E8FE0C" w14:textId="77777777">
        <w:trPr>
          <w:jc w:val="center"/>
        </w:trPr>
        <w:tc>
          <w:tcPr>
            <w:tcW w:w="554" w:type="dxa"/>
            <w:vAlign w:val="center"/>
          </w:tcPr>
          <w:p w14:paraId="375BEAFE" w14:textId="77777777" w:rsidR="006A449D" w:rsidRDefault="00000000">
            <w:pPr>
              <w:spacing w:line="240" w:lineRule="auto"/>
              <w:jc w:val="center"/>
            </w:pPr>
            <w:r>
              <w:rPr>
                <w:sz w:val="18"/>
              </w:rPr>
              <w:t>10</w:t>
            </w:r>
          </w:p>
        </w:tc>
        <w:tc>
          <w:tcPr>
            <w:tcW w:w="992" w:type="dxa"/>
            <w:vAlign w:val="center"/>
          </w:tcPr>
          <w:p w14:paraId="5C52E18C" w14:textId="77777777" w:rsidR="006A449D" w:rsidRDefault="00000000">
            <w:pPr>
              <w:spacing w:line="240" w:lineRule="auto"/>
            </w:pPr>
            <w:r>
              <w:rPr>
                <w:sz w:val="18"/>
              </w:rPr>
              <w:t>Gil-Montoya et al. (2025)</w:t>
            </w:r>
          </w:p>
        </w:tc>
        <w:tc>
          <w:tcPr>
            <w:tcW w:w="1134" w:type="dxa"/>
            <w:vAlign w:val="center"/>
          </w:tcPr>
          <w:p w14:paraId="72A39870" w14:textId="77777777" w:rsidR="006A449D" w:rsidRDefault="00000000">
            <w:pPr>
              <w:spacing w:line="240" w:lineRule="auto"/>
            </w:pPr>
            <w:r>
              <w:rPr>
                <w:sz w:val="18"/>
              </w:rPr>
              <w:t>Observational study</w:t>
            </w:r>
          </w:p>
        </w:tc>
        <w:tc>
          <w:tcPr>
            <w:tcW w:w="1560" w:type="dxa"/>
            <w:vAlign w:val="center"/>
          </w:tcPr>
          <w:p w14:paraId="091C0610" w14:textId="77777777" w:rsidR="006A449D" w:rsidRDefault="00000000">
            <w:pPr>
              <w:spacing w:line="240" w:lineRule="auto"/>
            </w:pPr>
            <w:r>
              <w:rPr>
                <w:sz w:val="18"/>
              </w:rPr>
              <w:t>JBI checklist according to study design</w:t>
            </w:r>
          </w:p>
        </w:tc>
        <w:tc>
          <w:tcPr>
            <w:tcW w:w="1417" w:type="dxa"/>
            <w:vAlign w:val="center"/>
          </w:tcPr>
          <w:p w14:paraId="13215394" w14:textId="77777777" w:rsidR="006A449D" w:rsidRDefault="00000000">
            <w:pPr>
              <w:spacing w:line="240" w:lineRule="auto"/>
            </w:pPr>
            <w:r>
              <w:rPr>
                <w:sz w:val="18"/>
              </w:rPr>
              <w:t>Moderate risk of bias</w:t>
            </w:r>
          </w:p>
        </w:tc>
        <w:tc>
          <w:tcPr>
            <w:tcW w:w="3725" w:type="dxa"/>
            <w:vAlign w:val="center"/>
          </w:tcPr>
          <w:p w14:paraId="00901E59" w14:textId="77777777" w:rsidR="006A449D" w:rsidRDefault="00000000">
            <w:pPr>
              <w:spacing w:line="240" w:lineRule="auto"/>
            </w:pPr>
            <w:r>
              <w:rPr>
                <w:sz w:val="18"/>
              </w:rPr>
              <w:t>Limited sample size; possible confounding; amyloid pathology findings should be interpreted cautiously.</w:t>
            </w:r>
          </w:p>
        </w:tc>
      </w:tr>
      <w:tr w:rsidR="006A449D" w14:paraId="69DA07D0" w14:textId="77777777">
        <w:trPr>
          <w:jc w:val="center"/>
        </w:trPr>
        <w:tc>
          <w:tcPr>
            <w:tcW w:w="554" w:type="dxa"/>
            <w:vAlign w:val="center"/>
          </w:tcPr>
          <w:p w14:paraId="0C66D14E" w14:textId="77777777" w:rsidR="006A449D" w:rsidRDefault="00000000">
            <w:pPr>
              <w:spacing w:line="240" w:lineRule="auto"/>
              <w:jc w:val="center"/>
            </w:pPr>
            <w:r>
              <w:rPr>
                <w:sz w:val="18"/>
              </w:rPr>
              <w:t>11</w:t>
            </w:r>
          </w:p>
        </w:tc>
        <w:tc>
          <w:tcPr>
            <w:tcW w:w="992" w:type="dxa"/>
            <w:vAlign w:val="center"/>
          </w:tcPr>
          <w:p w14:paraId="5F784C21" w14:textId="77777777" w:rsidR="006A449D" w:rsidRDefault="00000000">
            <w:pPr>
              <w:spacing w:line="240" w:lineRule="auto"/>
            </w:pPr>
            <w:r>
              <w:rPr>
                <w:sz w:val="18"/>
              </w:rPr>
              <w:t>Sun and Li (2025)</w:t>
            </w:r>
          </w:p>
        </w:tc>
        <w:tc>
          <w:tcPr>
            <w:tcW w:w="1134" w:type="dxa"/>
            <w:vAlign w:val="center"/>
          </w:tcPr>
          <w:p w14:paraId="250D6552" w14:textId="77777777" w:rsidR="006A449D" w:rsidRDefault="00000000">
            <w:pPr>
              <w:spacing w:line="240" w:lineRule="auto"/>
            </w:pPr>
            <w:r>
              <w:rPr>
                <w:sz w:val="18"/>
              </w:rPr>
              <w:t>Cross-sectional study</w:t>
            </w:r>
          </w:p>
        </w:tc>
        <w:tc>
          <w:tcPr>
            <w:tcW w:w="1560" w:type="dxa"/>
            <w:vAlign w:val="center"/>
          </w:tcPr>
          <w:p w14:paraId="0DF4B5FC" w14:textId="77777777" w:rsidR="006A449D" w:rsidRDefault="00000000">
            <w:pPr>
              <w:spacing w:line="240" w:lineRule="auto"/>
            </w:pPr>
            <w:r>
              <w:rPr>
                <w:sz w:val="18"/>
              </w:rPr>
              <w:t>JBI analytical cross-sectional checklist</w:t>
            </w:r>
          </w:p>
        </w:tc>
        <w:tc>
          <w:tcPr>
            <w:tcW w:w="1417" w:type="dxa"/>
            <w:vAlign w:val="center"/>
          </w:tcPr>
          <w:p w14:paraId="7FF64B0D" w14:textId="77777777" w:rsidR="006A449D" w:rsidRDefault="00000000">
            <w:pPr>
              <w:spacing w:line="240" w:lineRule="auto"/>
            </w:pPr>
            <w:r>
              <w:rPr>
                <w:sz w:val="18"/>
              </w:rPr>
              <w:t>Moderate risk of bias</w:t>
            </w:r>
          </w:p>
        </w:tc>
        <w:tc>
          <w:tcPr>
            <w:tcW w:w="3725" w:type="dxa"/>
            <w:vAlign w:val="center"/>
          </w:tcPr>
          <w:p w14:paraId="26AA2F01" w14:textId="77777777" w:rsidR="006A449D" w:rsidRDefault="00000000">
            <w:pPr>
              <w:spacing w:line="240" w:lineRule="auto"/>
            </w:pPr>
            <w:r>
              <w:rPr>
                <w:sz w:val="18"/>
              </w:rPr>
              <w:t>Cross-sectional NHANES-based study; temporal direction cannot be determined; possible residual confounding.</w:t>
            </w:r>
          </w:p>
        </w:tc>
      </w:tr>
      <w:tr w:rsidR="006A449D" w14:paraId="3812F7BB" w14:textId="77777777">
        <w:trPr>
          <w:jc w:val="center"/>
        </w:trPr>
        <w:tc>
          <w:tcPr>
            <w:tcW w:w="554" w:type="dxa"/>
            <w:vAlign w:val="center"/>
          </w:tcPr>
          <w:p w14:paraId="6C6A9738" w14:textId="77777777" w:rsidR="006A449D" w:rsidRDefault="00000000">
            <w:pPr>
              <w:spacing w:line="240" w:lineRule="auto"/>
              <w:jc w:val="center"/>
            </w:pPr>
            <w:r>
              <w:rPr>
                <w:sz w:val="18"/>
              </w:rPr>
              <w:t>12</w:t>
            </w:r>
          </w:p>
        </w:tc>
        <w:tc>
          <w:tcPr>
            <w:tcW w:w="992" w:type="dxa"/>
            <w:vAlign w:val="center"/>
          </w:tcPr>
          <w:p w14:paraId="50382552" w14:textId="77777777" w:rsidR="006A449D" w:rsidRDefault="00000000">
            <w:pPr>
              <w:spacing w:line="240" w:lineRule="auto"/>
            </w:pPr>
            <w:r>
              <w:rPr>
                <w:sz w:val="18"/>
              </w:rPr>
              <w:t>Aranda Romo et al. (2025)</w:t>
            </w:r>
          </w:p>
        </w:tc>
        <w:tc>
          <w:tcPr>
            <w:tcW w:w="1134" w:type="dxa"/>
            <w:vAlign w:val="center"/>
          </w:tcPr>
          <w:p w14:paraId="14FC9CE0" w14:textId="77777777" w:rsidR="006A449D" w:rsidRDefault="00000000">
            <w:pPr>
              <w:spacing w:line="240" w:lineRule="auto"/>
            </w:pPr>
            <w:r>
              <w:rPr>
                <w:sz w:val="18"/>
              </w:rPr>
              <w:t>Cross-sectional study</w:t>
            </w:r>
          </w:p>
        </w:tc>
        <w:tc>
          <w:tcPr>
            <w:tcW w:w="1560" w:type="dxa"/>
            <w:vAlign w:val="center"/>
          </w:tcPr>
          <w:p w14:paraId="3A1AE7EF" w14:textId="77777777" w:rsidR="006A449D" w:rsidRDefault="00000000">
            <w:pPr>
              <w:spacing w:line="240" w:lineRule="auto"/>
            </w:pPr>
            <w:r>
              <w:rPr>
                <w:sz w:val="18"/>
              </w:rPr>
              <w:t>JBI analytical cross-sectional checklist</w:t>
            </w:r>
          </w:p>
        </w:tc>
        <w:tc>
          <w:tcPr>
            <w:tcW w:w="1417" w:type="dxa"/>
            <w:vAlign w:val="center"/>
          </w:tcPr>
          <w:p w14:paraId="35409C42" w14:textId="77777777" w:rsidR="006A449D" w:rsidRDefault="00000000">
            <w:pPr>
              <w:spacing w:line="240" w:lineRule="auto"/>
            </w:pPr>
            <w:r>
              <w:rPr>
                <w:sz w:val="18"/>
              </w:rPr>
              <w:t>Moderate risk of bias</w:t>
            </w:r>
          </w:p>
        </w:tc>
        <w:tc>
          <w:tcPr>
            <w:tcW w:w="3725" w:type="dxa"/>
            <w:vAlign w:val="center"/>
          </w:tcPr>
          <w:p w14:paraId="0AB7610D" w14:textId="77777777" w:rsidR="006A449D" w:rsidRDefault="00000000">
            <w:pPr>
              <w:spacing w:line="240" w:lineRule="auto"/>
            </w:pPr>
            <w:r>
              <w:rPr>
                <w:sz w:val="18"/>
              </w:rPr>
              <w:t>Cross-sectional design with limited sample size; possible selection bias; causality cannot be established.</w:t>
            </w:r>
          </w:p>
        </w:tc>
      </w:tr>
    </w:tbl>
    <w:p w14:paraId="252E0835" w14:textId="77777777" w:rsidR="004A0F6D" w:rsidRDefault="004A0F6D">
      <w:pPr>
        <w:keepNext/>
        <w:spacing w:before="120" w:after="60"/>
        <w:rPr>
          <w:rFonts w:eastAsia="Times New Roman"/>
          <w:b/>
          <w:sz w:val="20"/>
        </w:rPr>
      </w:pPr>
    </w:p>
    <w:p w14:paraId="4AB689C3" w14:textId="53D81F1A" w:rsidR="006A449D" w:rsidRDefault="00000000">
      <w:pPr>
        <w:keepNext/>
        <w:spacing w:before="120" w:after="60"/>
      </w:pPr>
      <w:r>
        <w:rPr>
          <w:rFonts w:eastAsia="Times New Roman"/>
          <w:b/>
          <w:sz w:val="20"/>
        </w:rPr>
        <w:t>Table 4. Summary of studies on the association of periodontitis with cognitive impairment and neurodegenerative disease.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81"/>
        <w:gridCol w:w="963"/>
        <w:gridCol w:w="1481"/>
        <w:gridCol w:w="1812"/>
        <w:gridCol w:w="2341"/>
        <w:gridCol w:w="2318"/>
      </w:tblGrid>
      <w:tr w:rsidR="006A449D" w14:paraId="5EC7BB1B" w14:textId="77777777">
        <w:trPr>
          <w:tblHeader/>
          <w:jc w:val="center"/>
        </w:trPr>
        <w:tc>
          <w:tcPr>
            <w:tcW w:w="481" w:type="dxa"/>
            <w:vAlign w:val="center"/>
          </w:tcPr>
          <w:p w14:paraId="57CFECF5" w14:textId="77777777" w:rsidR="006A449D" w:rsidRDefault="00000000">
            <w:pPr>
              <w:spacing w:line="240" w:lineRule="auto"/>
              <w:jc w:val="center"/>
            </w:pPr>
            <w:r>
              <w:rPr>
                <w:b/>
                <w:sz w:val="17"/>
              </w:rPr>
              <w:t>No.</w:t>
            </w:r>
          </w:p>
        </w:tc>
        <w:tc>
          <w:tcPr>
            <w:tcW w:w="966" w:type="dxa"/>
            <w:vAlign w:val="center"/>
          </w:tcPr>
          <w:p w14:paraId="5EC25B27" w14:textId="77777777" w:rsidR="006A449D" w:rsidRDefault="00000000">
            <w:pPr>
              <w:spacing w:line="240" w:lineRule="auto"/>
              <w:jc w:val="center"/>
            </w:pPr>
            <w:r>
              <w:rPr>
                <w:b/>
                <w:sz w:val="17"/>
              </w:rPr>
              <w:t>Author(s) (Year)</w:t>
            </w:r>
          </w:p>
        </w:tc>
        <w:tc>
          <w:tcPr>
            <w:tcW w:w="1493" w:type="dxa"/>
            <w:vAlign w:val="center"/>
          </w:tcPr>
          <w:p w14:paraId="612FD370" w14:textId="77777777" w:rsidR="006A449D" w:rsidRDefault="00000000">
            <w:pPr>
              <w:spacing w:line="240" w:lineRule="auto"/>
              <w:jc w:val="center"/>
            </w:pPr>
            <w:r>
              <w:rPr>
                <w:b/>
                <w:sz w:val="17"/>
              </w:rPr>
              <w:t>Objective</w:t>
            </w:r>
          </w:p>
        </w:tc>
        <w:tc>
          <w:tcPr>
            <w:tcW w:w="1843" w:type="dxa"/>
            <w:vAlign w:val="center"/>
          </w:tcPr>
          <w:p w14:paraId="02CF5B97" w14:textId="77777777" w:rsidR="006A449D" w:rsidRDefault="00000000">
            <w:pPr>
              <w:spacing w:line="240" w:lineRule="auto"/>
              <w:jc w:val="center"/>
            </w:pPr>
            <w:r>
              <w:rPr>
                <w:b/>
                <w:sz w:val="17"/>
              </w:rPr>
              <w:t>Method</w:t>
            </w:r>
          </w:p>
        </w:tc>
        <w:tc>
          <w:tcPr>
            <w:tcW w:w="2410" w:type="dxa"/>
            <w:vAlign w:val="center"/>
          </w:tcPr>
          <w:p w14:paraId="67F9528C" w14:textId="77777777" w:rsidR="006A449D" w:rsidRDefault="00000000">
            <w:pPr>
              <w:spacing w:line="240" w:lineRule="auto"/>
              <w:jc w:val="center"/>
            </w:pPr>
            <w:r>
              <w:rPr>
                <w:b/>
                <w:sz w:val="17"/>
              </w:rPr>
              <w:t>Results</w:t>
            </w:r>
          </w:p>
        </w:tc>
        <w:tc>
          <w:tcPr>
            <w:tcW w:w="2377" w:type="dxa"/>
            <w:vAlign w:val="center"/>
          </w:tcPr>
          <w:p w14:paraId="62E0A285" w14:textId="77777777" w:rsidR="006A449D" w:rsidRDefault="00000000">
            <w:pPr>
              <w:spacing w:line="240" w:lineRule="auto"/>
              <w:jc w:val="center"/>
            </w:pPr>
            <w:r>
              <w:rPr>
                <w:b/>
                <w:sz w:val="17"/>
              </w:rPr>
              <w:t>Conclusion</w:t>
            </w:r>
          </w:p>
        </w:tc>
      </w:tr>
      <w:tr w:rsidR="006A449D" w14:paraId="5ABEC214" w14:textId="77777777">
        <w:trPr>
          <w:jc w:val="center"/>
        </w:trPr>
        <w:tc>
          <w:tcPr>
            <w:tcW w:w="481" w:type="dxa"/>
            <w:vAlign w:val="center"/>
          </w:tcPr>
          <w:p w14:paraId="2F61DF24" w14:textId="77777777" w:rsidR="006A449D" w:rsidRDefault="00000000">
            <w:pPr>
              <w:spacing w:line="240" w:lineRule="auto"/>
              <w:jc w:val="center"/>
            </w:pPr>
            <w:r>
              <w:rPr>
                <w:sz w:val="17"/>
              </w:rPr>
              <w:t>1</w:t>
            </w:r>
          </w:p>
        </w:tc>
        <w:tc>
          <w:tcPr>
            <w:tcW w:w="966" w:type="dxa"/>
            <w:vAlign w:val="center"/>
          </w:tcPr>
          <w:p w14:paraId="58BA23DF" w14:textId="77777777" w:rsidR="006A449D" w:rsidRDefault="00000000">
            <w:pPr>
              <w:spacing w:line="240" w:lineRule="auto"/>
            </w:pPr>
            <w:r>
              <w:rPr>
                <w:sz w:val="17"/>
              </w:rPr>
              <w:t>Chen et al. (2017)</w:t>
            </w:r>
          </w:p>
        </w:tc>
        <w:tc>
          <w:tcPr>
            <w:tcW w:w="1493" w:type="dxa"/>
            <w:vAlign w:val="center"/>
          </w:tcPr>
          <w:p w14:paraId="77FEF9E6" w14:textId="77777777" w:rsidR="006A449D" w:rsidRDefault="00000000">
            <w:pPr>
              <w:spacing w:line="240" w:lineRule="auto"/>
            </w:pPr>
            <w:r>
              <w:rPr>
                <w:sz w:val="17"/>
              </w:rPr>
              <w:t>To analyze the risk of Alzheimer’s disease in patients with chronic periodontitis.</w:t>
            </w:r>
          </w:p>
        </w:tc>
        <w:tc>
          <w:tcPr>
            <w:tcW w:w="1843" w:type="dxa"/>
            <w:vAlign w:val="center"/>
          </w:tcPr>
          <w:p w14:paraId="0BC5EF3C" w14:textId="77777777" w:rsidR="006A449D" w:rsidRDefault="00000000">
            <w:pPr>
              <w:spacing w:line="240" w:lineRule="auto"/>
            </w:pPr>
            <w:r>
              <w:rPr>
                <w:sz w:val="17"/>
              </w:rPr>
              <w:t>A retrospective population-based matched cohort study in Taiwan. The sample consisted of 9,291 patients with chronic periodontitis and 18,672 controls without chronic periodontitis. The analysis used Cox proportional hazards regression.</w:t>
            </w:r>
          </w:p>
        </w:tc>
        <w:tc>
          <w:tcPr>
            <w:tcW w:w="2410" w:type="dxa"/>
            <w:vAlign w:val="center"/>
          </w:tcPr>
          <w:p w14:paraId="43777BE1" w14:textId="77777777" w:rsidR="006A449D" w:rsidRDefault="00000000">
            <w:pPr>
              <w:spacing w:line="240" w:lineRule="auto"/>
            </w:pPr>
            <w:r>
              <w:rPr>
                <w:sz w:val="17"/>
              </w:rPr>
              <w:t>Patients with 10 years of exposure to chronic periodontitis had a higher risk of Alzheimer’s disease than those without chronic periodontitis. The adjusted HR was 1.707; 95% CI = 1.152–2.528; p = 0.0077.</w:t>
            </w:r>
          </w:p>
        </w:tc>
        <w:tc>
          <w:tcPr>
            <w:tcW w:w="2377" w:type="dxa"/>
            <w:vAlign w:val="center"/>
          </w:tcPr>
          <w:p w14:paraId="59D85196" w14:textId="77777777" w:rsidR="006A449D" w:rsidRDefault="00000000">
            <w:pPr>
              <w:spacing w:line="240" w:lineRule="auto"/>
            </w:pPr>
            <w:r>
              <w:rPr>
                <w:sz w:val="17"/>
              </w:rPr>
              <w:t>Long-term exposure to chronic periodontitis is associated with an increased risk of Alzheimer’s disease. These findings suggest that periodontal status may be relevant to neurodegenerative outcomes, although causality cannot be inferred.</w:t>
            </w:r>
          </w:p>
        </w:tc>
      </w:tr>
      <w:tr w:rsidR="006A449D" w14:paraId="5F5C059C" w14:textId="77777777">
        <w:trPr>
          <w:jc w:val="center"/>
        </w:trPr>
        <w:tc>
          <w:tcPr>
            <w:tcW w:w="481" w:type="dxa"/>
            <w:vAlign w:val="center"/>
          </w:tcPr>
          <w:p w14:paraId="63286A41" w14:textId="77777777" w:rsidR="006A449D" w:rsidRDefault="00000000">
            <w:pPr>
              <w:spacing w:line="240" w:lineRule="auto"/>
              <w:jc w:val="center"/>
            </w:pPr>
            <w:r>
              <w:rPr>
                <w:sz w:val="17"/>
              </w:rPr>
              <w:t>2</w:t>
            </w:r>
          </w:p>
        </w:tc>
        <w:tc>
          <w:tcPr>
            <w:tcW w:w="966" w:type="dxa"/>
            <w:vAlign w:val="center"/>
          </w:tcPr>
          <w:p w14:paraId="20813C85" w14:textId="77777777" w:rsidR="006A449D" w:rsidRDefault="00000000">
            <w:pPr>
              <w:spacing w:line="240" w:lineRule="auto"/>
            </w:pPr>
            <w:r>
              <w:rPr>
                <w:sz w:val="17"/>
              </w:rPr>
              <w:t>Y.-T. Lee et al. (2017)</w:t>
            </w:r>
          </w:p>
        </w:tc>
        <w:tc>
          <w:tcPr>
            <w:tcW w:w="1493" w:type="dxa"/>
            <w:vAlign w:val="center"/>
          </w:tcPr>
          <w:p w14:paraId="18FB8C4A" w14:textId="77777777" w:rsidR="006A449D" w:rsidRDefault="00000000">
            <w:pPr>
              <w:spacing w:line="240" w:lineRule="auto"/>
            </w:pPr>
            <w:r>
              <w:rPr>
                <w:sz w:val="17"/>
              </w:rPr>
              <w:t>To assess whether periodontitis can serve as a modifiable risk factor for incident dementia.</w:t>
            </w:r>
          </w:p>
        </w:tc>
        <w:tc>
          <w:tcPr>
            <w:tcW w:w="1843" w:type="dxa"/>
            <w:vAlign w:val="center"/>
          </w:tcPr>
          <w:p w14:paraId="0541C1C9" w14:textId="77777777" w:rsidR="006A449D" w:rsidRDefault="00000000">
            <w:pPr>
              <w:spacing w:line="240" w:lineRule="auto"/>
            </w:pPr>
            <w:r>
              <w:rPr>
                <w:sz w:val="17"/>
              </w:rPr>
              <w:t>A prospective cohort study using the Taiwan National Health Insurance Research Database. The sample consisted of 3,028 older adults with periodontitis and 3,028 age- and sex-matched controls.</w:t>
            </w:r>
          </w:p>
        </w:tc>
        <w:tc>
          <w:tcPr>
            <w:tcW w:w="2410" w:type="dxa"/>
            <w:vAlign w:val="center"/>
          </w:tcPr>
          <w:p w14:paraId="46B3F9C3" w14:textId="77777777" w:rsidR="006A449D" w:rsidRDefault="00000000">
            <w:pPr>
              <w:spacing w:line="240" w:lineRule="auto"/>
            </w:pPr>
            <w:r>
              <w:rPr>
                <w:sz w:val="17"/>
              </w:rPr>
              <w:t>The risk of dementia was higher in the periodontitis group than in the control group. The HR was 1.16; 95% CI = 1.01–1.32; p = 0.03.</w:t>
            </w:r>
          </w:p>
        </w:tc>
        <w:tc>
          <w:tcPr>
            <w:tcW w:w="2377" w:type="dxa"/>
            <w:vAlign w:val="center"/>
          </w:tcPr>
          <w:p w14:paraId="01817B18" w14:textId="77777777" w:rsidR="006A449D" w:rsidRDefault="00000000">
            <w:pPr>
              <w:spacing w:line="240" w:lineRule="auto"/>
            </w:pPr>
            <w:r>
              <w:rPr>
                <w:sz w:val="17"/>
              </w:rPr>
              <w:t>Periodontitis is associated with the risk of new-onset dementia. Periodontal infection may be considered a potentially modifiable oral health factor, although preventive effects require further evidence.</w:t>
            </w:r>
          </w:p>
        </w:tc>
      </w:tr>
      <w:tr w:rsidR="006A449D" w14:paraId="30A11781" w14:textId="77777777">
        <w:trPr>
          <w:jc w:val="center"/>
        </w:trPr>
        <w:tc>
          <w:tcPr>
            <w:tcW w:w="481" w:type="dxa"/>
            <w:vAlign w:val="center"/>
          </w:tcPr>
          <w:p w14:paraId="68500CDC" w14:textId="77777777" w:rsidR="006A449D" w:rsidRDefault="00000000">
            <w:pPr>
              <w:spacing w:line="240" w:lineRule="auto"/>
              <w:jc w:val="center"/>
            </w:pPr>
            <w:r>
              <w:rPr>
                <w:sz w:val="17"/>
              </w:rPr>
              <w:t>3</w:t>
            </w:r>
          </w:p>
        </w:tc>
        <w:tc>
          <w:tcPr>
            <w:tcW w:w="966" w:type="dxa"/>
            <w:vAlign w:val="center"/>
          </w:tcPr>
          <w:p w14:paraId="620A3B65" w14:textId="77777777" w:rsidR="006A449D" w:rsidRDefault="00000000">
            <w:pPr>
              <w:spacing w:line="240" w:lineRule="auto"/>
            </w:pPr>
            <w:r>
              <w:rPr>
                <w:sz w:val="17"/>
              </w:rPr>
              <w:t>Y.-L. Lee et al. (2017)</w:t>
            </w:r>
          </w:p>
        </w:tc>
        <w:tc>
          <w:tcPr>
            <w:tcW w:w="1493" w:type="dxa"/>
            <w:vAlign w:val="center"/>
          </w:tcPr>
          <w:p w14:paraId="3D958BFA" w14:textId="77777777" w:rsidR="006A449D" w:rsidRDefault="00000000">
            <w:pPr>
              <w:spacing w:line="240" w:lineRule="auto"/>
            </w:pPr>
            <w:r>
              <w:rPr>
                <w:sz w:val="17"/>
              </w:rPr>
              <w:t xml:space="preserve">To assess the magnitude and temporal aspects of the association </w:t>
            </w:r>
            <w:r>
              <w:rPr>
                <w:sz w:val="17"/>
              </w:rPr>
              <w:lastRenderedPageBreak/>
              <w:t>between periodontal disease and dementia risk.</w:t>
            </w:r>
          </w:p>
        </w:tc>
        <w:tc>
          <w:tcPr>
            <w:tcW w:w="1843" w:type="dxa"/>
            <w:vAlign w:val="center"/>
          </w:tcPr>
          <w:p w14:paraId="2D27BA15" w14:textId="77777777" w:rsidR="006A449D" w:rsidRDefault="00000000">
            <w:pPr>
              <w:spacing w:line="240" w:lineRule="auto"/>
            </w:pPr>
            <w:r>
              <w:rPr>
                <w:sz w:val="17"/>
              </w:rPr>
              <w:lastRenderedPageBreak/>
              <w:t xml:space="preserve">A retrospective cohort study based on the Taiwan National Health Insurance </w:t>
            </w:r>
            <w:r>
              <w:rPr>
                <w:sz w:val="17"/>
              </w:rPr>
              <w:lastRenderedPageBreak/>
              <w:t>Research Database. The sample included 182,747 individuals with newly diagnosed periodontal disease. The analysis compared dental prophylaxis, intensive periodontal treatment, tooth extraction, and no treatment groups.</w:t>
            </w:r>
          </w:p>
        </w:tc>
        <w:tc>
          <w:tcPr>
            <w:tcW w:w="2410" w:type="dxa"/>
            <w:vAlign w:val="center"/>
          </w:tcPr>
          <w:p w14:paraId="681A7D4F" w14:textId="77777777" w:rsidR="006A449D" w:rsidRDefault="00000000">
            <w:pPr>
              <w:spacing w:line="240" w:lineRule="auto"/>
            </w:pPr>
            <w:r>
              <w:rPr>
                <w:sz w:val="17"/>
              </w:rPr>
              <w:lastRenderedPageBreak/>
              <w:t xml:space="preserve">The incidence of dementia was higher in the untreated periodontal disease group at 0.76% per year and in the tooth </w:t>
            </w:r>
            <w:r>
              <w:rPr>
                <w:sz w:val="17"/>
              </w:rPr>
              <w:lastRenderedPageBreak/>
              <w:t>extraction group at 0.57% per year. The untreated group had an HR of 1.14; 95% CI = 1.04–1.24. The tooth extraction group had an HR of 1.10; 95% CI = 1.04–1.16. Differences in incidence between groups were significant, with p &lt; 0.001.</w:t>
            </w:r>
          </w:p>
        </w:tc>
        <w:tc>
          <w:tcPr>
            <w:tcW w:w="2377" w:type="dxa"/>
            <w:vAlign w:val="center"/>
          </w:tcPr>
          <w:p w14:paraId="5B463D0E" w14:textId="77777777" w:rsidR="006A449D" w:rsidRDefault="00000000">
            <w:pPr>
              <w:spacing w:line="240" w:lineRule="auto"/>
            </w:pPr>
            <w:r>
              <w:rPr>
                <w:sz w:val="17"/>
              </w:rPr>
              <w:lastRenderedPageBreak/>
              <w:t xml:space="preserve">More severe or untreated periodontal disease is associated with a higher risk of dementia. Periodontal </w:t>
            </w:r>
            <w:r>
              <w:rPr>
                <w:sz w:val="17"/>
              </w:rPr>
              <w:lastRenderedPageBreak/>
              <w:t>treatment status may be related to differences in dementia incidence, although causality cannot be inferred.</w:t>
            </w:r>
          </w:p>
        </w:tc>
      </w:tr>
      <w:tr w:rsidR="006A449D" w14:paraId="5E4FDBA1" w14:textId="77777777">
        <w:trPr>
          <w:jc w:val="center"/>
        </w:trPr>
        <w:tc>
          <w:tcPr>
            <w:tcW w:w="481" w:type="dxa"/>
            <w:vAlign w:val="center"/>
          </w:tcPr>
          <w:p w14:paraId="2F0F8C67" w14:textId="77777777" w:rsidR="006A449D" w:rsidRDefault="00000000">
            <w:pPr>
              <w:spacing w:line="240" w:lineRule="auto"/>
              <w:jc w:val="center"/>
            </w:pPr>
            <w:r>
              <w:rPr>
                <w:sz w:val="17"/>
              </w:rPr>
              <w:t>4</w:t>
            </w:r>
          </w:p>
        </w:tc>
        <w:tc>
          <w:tcPr>
            <w:tcW w:w="966" w:type="dxa"/>
            <w:vAlign w:val="center"/>
          </w:tcPr>
          <w:p w14:paraId="028A0B69" w14:textId="77777777" w:rsidR="006A449D" w:rsidRDefault="00000000">
            <w:pPr>
              <w:spacing w:line="240" w:lineRule="auto"/>
            </w:pPr>
            <w:r>
              <w:rPr>
                <w:sz w:val="17"/>
              </w:rPr>
              <w:t>Choi et al. (2019)</w:t>
            </w:r>
          </w:p>
        </w:tc>
        <w:tc>
          <w:tcPr>
            <w:tcW w:w="1493" w:type="dxa"/>
            <w:vAlign w:val="center"/>
          </w:tcPr>
          <w:p w14:paraId="04E47345" w14:textId="77777777" w:rsidR="006A449D" w:rsidRDefault="00000000">
            <w:pPr>
              <w:spacing w:line="240" w:lineRule="auto"/>
            </w:pPr>
            <w:r>
              <w:rPr>
                <w:sz w:val="17"/>
              </w:rPr>
              <w:t>To analyze the association between chronic periodontitis and overall dementia, Alzheimer’s disease, and vascular dementia.</w:t>
            </w:r>
          </w:p>
        </w:tc>
        <w:tc>
          <w:tcPr>
            <w:tcW w:w="1843" w:type="dxa"/>
            <w:vAlign w:val="center"/>
          </w:tcPr>
          <w:p w14:paraId="4B26D36B" w14:textId="77777777" w:rsidR="006A449D" w:rsidRDefault="00000000">
            <w:pPr>
              <w:spacing w:line="240" w:lineRule="auto"/>
            </w:pPr>
            <w:r>
              <w:rPr>
                <w:sz w:val="17"/>
              </w:rPr>
              <w:t>A retrospective cohort study based on the Korean National Health Insurance Service-Health Screening Cohort. The sample consisted of 262,349 participants. The analysis used Cox proportional hazards regression.</w:t>
            </w:r>
          </w:p>
        </w:tc>
        <w:tc>
          <w:tcPr>
            <w:tcW w:w="2410" w:type="dxa"/>
            <w:vAlign w:val="center"/>
          </w:tcPr>
          <w:p w14:paraId="2B8986EE" w14:textId="77777777" w:rsidR="006A449D" w:rsidRDefault="00000000">
            <w:pPr>
              <w:spacing w:line="240" w:lineRule="auto"/>
            </w:pPr>
            <w:r>
              <w:rPr>
                <w:sz w:val="17"/>
              </w:rPr>
              <w:t>Chronic periodontitis was associated with an increased risk of overall dementia, with an aHR of 1.06; 95% CI = 1.01–1.11; p = 0.015. The risk of Alzheimer’s disease also increased, with an aHR of 1.05; 95% CI = 1.00–1.11; p = 0.042. The risk of vascular dementia increased but was not statistically significant, with an aHR of 1.10; 95% CI = 0.98–1.22; p = 0.088.</w:t>
            </w:r>
          </w:p>
        </w:tc>
        <w:tc>
          <w:tcPr>
            <w:tcW w:w="2377" w:type="dxa"/>
            <w:vAlign w:val="center"/>
          </w:tcPr>
          <w:p w14:paraId="560A2590" w14:textId="77777777" w:rsidR="006A449D" w:rsidRDefault="00000000">
            <w:pPr>
              <w:spacing w:line="240" w:lineRule="auto"/>
            </w:pPr>
            <w:r>
              <w:rPr>
                <w:sz w:val="17"/>
              </w:rPr>
              <w:t>Chronic periodontitis is associated with a higher risk of dementia and Alzheimer’s disease. The association with vascular dementia appears to increase but is not statistically significant.</w:t>
            </w:r>
          </w:p>
        </w:tc>
      </w:tr>
      <w:tr w:rsidR="006A449D" w14:paraId="46F9C538" w14:textId="77777777">
        <w:trPr>
          <w:jc w:val="center"/>
        </w:trPr>
        <w:tc>
          <w:tcPr>
            <w:tcW w:w="481" w:type="dxa"/>
            <w:vAlign w:val="center"/>
          </w:tcPr>
          <w:p w14:paraId="38A992EB" w14:textId="77777777" w:rsidR="006A449D" w:rsidRDefault="00000000">
            <w:pPr>
              <w:spacing w:line="240" w:lineRule="auto"/>
              <w:jc w:val="center"/>
            </w:pPr>
            <w:r>
              <w:rPr>
                <w:sz w:val="17"/>
              </w:rPr>
              <w:t>5</w:t>
            </w:r>
          </w:p>
        </w:tc>
        <w:tc>
          <w:tcPr>
            <w:tcW w:w="966" w:type="dxa"/>
            <w:vAlign w:val="center"/>
          </w:tcPr>
          <w:p w14:paraId="5C761CA2" w14:textId="77777777" w:rsidR="006A449D" w:rsidRDefault="00000000">
            <w:pPr>
              <w:spacing w:line="240" w:lineRule="auto"/>
            </w:pPr>
            <w:r>
              <w:rPr>
                <w:sz w:val="17"/>
              </w:rPr>
              <w:t>Sung et al. (2019)</w:t>
            </w:r>
          </w:p>
        </w:tc>
        <w:tc>
          <w:tcPr>
            <w:tcW w:w="1493" w:type="dxa"/>
            <w:vAlign w:val="center"/>
          </w:tcPr>
          <w:p w14:paraId="3A3555D5" w14:textId="77777777" w:rsidR="006A449D" w:rsidRDefault="00000000">
            <w:pPr>
              <w:spacing w:line="240" w:lineRule="auto"/>
            </w:pPr>
            <w:r>
              <w:rPr>
                <w:sz w:val="17"/>
              </w:rPr>
              <w:t>To analyze the association between periodontitis and impaired cognitive function in the adult population of the United States.</w:t>
            </w:r>
          </w:p>
        </w:tc>
        <w:tc>
          <w:tcPr>
            <w:tcW w:w="1843" w:type="dxa"/>
            <w:vAlign w:val="center"/>
          </w:tcPr>
          <w:p w14:paraId="2B2AA432" w14:textId="77777777" w:rsidR="006A449D" w:rsidRDefault="00000000">
            <w:pPr>
              <w:spacing w:line="240" w:lineRule="auto"/>
            </w:pPr>
            <w:r>
              <w:rPr>
                <w:sz w:val="17"/>
              </w:rPr>
              <w:t>A cross-sectional study using NHANES III. The sample consisted of 4,663 participants aged 20–59 years. Periodontitis status was categorized as normal, mild, moderate, and severe. Cognitive function was assessed using SRTT, SDST, and SDLT.</w:t>
            </w:r>
          </w:p>
        </w:tc>
        <w:tc>
          <w:tcPr>
            <w:tcW w:w="2410" w:type="dxa"/>
            <w:vAlign w:val="center"/>
          </w:tcPr>
          <w:p w14:paraId="1DE9E783" w14:textId="77777777" w:rsidR="006A449D" w:rsidRDefault="00000000">
            <w:pPr>
              <w:spacing w:line="240" w:lineRule="auto"/>
            </w:pPr>
            <w:r>
              <w:rPr>
                <w:sz w:val="17"/>
              </w:rPr>
              <w:t>After adjustment for demographic factors, education, smoking, cardiovascular disease, and laboratory data, periodontitis was significantly associated with increased SDST and SDLT scores. The p for trend was 0.014 for SDST and 0.038 for SDLT. In the fully adjusted model, moderate-to-severe periodontitis was associated with the SDLT total score, with β = 0.146; 95% CI = 0.010–0.282; p = 0.036.</w:t>
            </w:r>
          </w:p>
        </w:tc>
        <w:tc>
          <w:tcPr>
            <w:tcW w:w="2377" w:type="dxa"/>
            <w:vAlign w:val="center"/>
          </w:tcPr>
          <w:p w14:paraId="31633BCC" w14:textId="77777777" w:rsidR="006A449D" w:rsidRDefault="00000000">
            <w:pPr>
              <w:spacing w:line="240" w:lineRule="auto"/>
            </w:pPr>
            <w:r>
              <w:rPr>
                <w:sz w:val="17"/>
              </w:rPr>
              <w:t>Periodontal status is associated with reduced cognitive function in a national adult sample. Individuals with cognitive impairment require attention in periodontal care.</w:t>
            </w:r>
          </w:p>
        </w:tc>
      </w:tr>
      <w:tr w:rsidR="006A449D" w14:paraId="2A5F1403" w14:textId="77777777">
        <w:trPr>
          <w:jc w:val="center"/>
        </w:trPr>
        <w:tc>
          <w:tcPr>
            <w:tcW w:w="481" w:type="dxa"/>
            <w:vAlign w:val="center"/>
          </w:tcPr>
          <w:p w14:paraId="770FD373" w14:textId="77777777" w:rsidR="006A449D" w:rsidRDefault="00000000">
            <w:pPr>
              <w:spacing w:line="240" w:lineRule="auto"/>
              <w:jc w:val="center"/>
            </w:pPr>
            <w:r>
              <w:rPr>
                <w:sz w:val="17"/>
              </w:rPr>
              <w:t>6</w:t>
            </w:r>
          </w:p>
        </w:tc>
        <w:tc>
          <w:tcPr>
            <w:tcW w:w="966" w:type="dxa"/>
            <w:vAlign w:val="center"/>
          </w:tcPr>
          <w:p w14:paraId="352FE860" w14:textId="77777777" w:rsidR="006A449D" w:rsidRDefault="00000000">
            <w:pPr>
              <w:spacing w:line="240" w:lineRule="auto"/>
            </w:pPr>
            <w:r>
              <w:rPr>
                <w:sz w:val="17"/>
              </w:rPr>
              <w:t>Jeong et al. (2021)</w:t>
            </w:r>
          </w:p>
        </w:tc>
        <w:tc>
          <w:tcPr>
            <w:tcW w:w="1493" w:type="dxa"/>
            <w:vAlign w:val="center"/>
          </w:tcPr>
          <w:p w14:paraId="09F27F9F" w14:textId="77777777" w:rsidR="006A449D" w:rsidRDefault="00000000">
            <w:pPr>
              <w:spacing w:line="240" w:lineRule="auto"/>
            </w:pPr>
            <w:r>
              <w:rPr>
                <w:sz w:val="17"/>
              </w:rPr>
              <w:t>To evaluate the association between periodontitis and the risk of Parkinson’s disease.</w:t>
            </w:r>
          </w:p>
        </w:tc>
        <w:tc>
          <w:tcPr>
            <w:tcW w:w="1843" w:type="dxa"/>
            <w:vAlign w:val="center"/>
          </w:tcPr>
          <w:p w14:paraId="3716BAF3" w14:textId="77777777" w:rsidR="006A449D" w:rsidRDefault="00000000">
            <w:pPr>
              <w:spacing w:line="240" w:lineRule="auto"/>
            </w:pPr>
            <w:r>
              <w:rPr>
                <w:sz w:val="17"/>
              </w:rPr>
              <w:t>A nationwide retrospective cohort study using data from the South Korean National Health Insurance Service. The final sample consisted of 6,825,684 participants aged ≥40 years. The analysis used the Cox proportional hazards model.</w:t>
            </w:r>
          </w:p>
        </w:tc>
        <w:tc>
          <w:tcPr>
            <w:tcW w:w="2410" w:type="dxa"/>
            <w:vAlign w:val="center"/>
          </w:tcPr>
          <w:p w14:paraId="7E0EBAFD" w14:textId="77777777" w:rsidR="006A449D" w:rsidRDefault="00000000">
            <w:pPr>
              <w:spacing w:line="240" w:lineRule="auto"/>
            </w:pPr>
            <w:r>
              <w:rPr>
                <w:sz w:val="17"/>
              </w:rPr>
              <w:t>The risk of Parkinson’s disease increased among individuals requiring further dental visits, with an HR of 1.142; 95% CI = 1.094–1.193. The group with periodontitis and a need for further dental visits had the highest risk, with an HR of 1.167; 95% CI = 1.118–1.219.</w:t>
            </w:r>
          </w:p>
        </w:tc>
        <w:tc>
          <w:tcPr>
            <w:tcW w:w="2377" w:type="dxa"/>
            <w:vAlign w:val="center"/>
          </w:tcPr>
          <w:p w14:paraId="16287D64" w14:textId="77777777" w:rsidR="006A449D" w:rsidRDefault="00000000">
            <w:pPr>
              <w:spacing w:line="240" w:lineRule="auto"/>
            </w:pPr>
            <w:r>
              <w:rPr>
                <w:sz w:val="17"/>
              </w:rPr>
              <w:t>Periodontitis is associated with an increased risk of Parkinson’s disease. Regular dental and periodontal care may be relevant to broader health management, although its effect on neurodegenerative disease risk remains unconfirmed.</w:t>
            </w:r>
          </w:p>
        </w:tc>
      </w:tr>
      <w:tr w:rsidR="006A449D" w14:paraId="4D798D4D" w14:textId="77777777">
        <w:trPr>
          <w:jc w:val="center"/>
        </w:trPr>
        <w:tc>
          <w:tcPr>
            <w:tcW w:w="481" w:type="dxa"/>
            <w:vAlign w:val="center"/>
          </w:tcPr>
          <w:p w14:paraId="1C8F70CA" w14:textId="77777777" w:rsidR="006A449D" w:rsidRDefault="00000000">
            <w:pPr>
              <w:spacing w:line="240" w:lineRule="auto"/>
              <w:jc w:val="center"/>
            </w:pPr>
            <w:r>
              <w:rPr>
                <w:sz w:val="17"/>
              </w:rPr>
              <w:t>7</w:t>
            </w:r>
          </w:p>
        </w:tc>
        <w:tc>
          <w:tcPr>
            <w:tcW w:w="966" w:type="dxa"/>
            <w:vAlign w:val="center"/>
          </w:tcPr>
          <w:p w14:paraId="45E6A39D" w14:textId="77777777" w:rsidR="006A449D" w:rsidRDefault="00000000">
            <w:pPr>
              <w:spacing w:line="240" w:lineRule="auto"/>
            </w:pPr>
            <w:r>
              <w:rPr>
                <w:sz w:val="17"/>
              </w:rPr>
              <w:t>Kim et al, (2022)</w:t>
            </w:r>
          </w:p>
        </w:tc>
        <w:tc>
          <w:tcPr>
            <w:tcW w:w="1493" w:type="dxa"/>
            <w:vAlign w:val="center"/>
          </w:tcPr>
          <w:p w14:paraId="3C1F9AA6" w14:textId="77777777" w:rsidR="006A449D" w:rsidRDefault="00000000">
            <w:pPr>
              <w:spacing w:line="240" w:lineRule="auto"/>
            </w:pPr>
            <w:r>
              <w:rPr>
                <w:sz w:val="17"/>
              </w:rPr>
              <w:t>To analyze the risk of dementia among older adults with chronic periodontitis according to the severity of periodontitis.</w:t>
            </w:r>
          </w:p>
        </w:tc>
        <w:tc>
          <w:tcPr>
            <w:tcW w:w="1843" w:type="dxa"/>
            <w:vAlign w:val="center"/>
          </w:tcPr>
          <w:p w14:paraId="237C9944" w14:textId="77777777" w:rsidR="006A449D" w:rsidRDefault="00000000">
            <w:pPr>
              <w:spacing w:line="240" w:lineRule="auto"/>
            </w:pPr>
            <w:r>
              <w:rPr>
                <w:sz w:val="17"/>
              </w:rPr>
              <w:t xml:space="preserve">A nationwide retrospective cohort study based on the South Korean National Health Insurance Service-Senior cohort database. After propensity score matching, there were 8,624 patients with mild chronic periodontitis and 8,624 patients with severe </w:t>
            </w:r>
            <w:r>
              <w:rPr>
                <w:sz w:val="17"/>
              </w:rPr>
              <w:lastRenderedPageBreak/>
              <w:t>chronic periodontitis.</w:t>
            </w:r>
          </w:p>
        </w:tc>
        <w:tc>
          <w:tcPr>
            <w:tcW w:w="2410" w:type="dxa"/>
            <w:vAlign w:val="center"/>
          </w:tcPr>
          <w:p w14:paraId="7E1079B3" w14:textId="77777777" w:rsidR="006A449D" w:rsidRDefault="00000000">
            <w:pPr>
              <w:spacing w:line="240" w:lineRule="auto"/>
            </w:pPr>
            <w:r>
              <w:rPr>
                <w:sz w:val="17"/>
              </w:rPr>
              <w:lastRenderedPageBreak/>
              <w:t>The severe chronic periodontitis group had a higher risk of dementia than the mild chronic periodontitis group. The HR was 1.15; 95% CI = 1.04–1.27; p = 0.009. Kaplan-Meier analysis showed a lower disease-free probability in the severe chronic periodontitis group, with p for log-rank = 0.001.</w:t>
            </w:r>
          </w:p>
        </w:tc>
        <w:tc>
          <w:tcPr>
            <w:tcW w:w="2377" w:type="dxa"/>
            <w:vAlign w:val="center"/>
          </w:tcPr>
          <w:p w14:paraId="5919CA7A" w14:textId="77777777" w:rsidR="006A449D" w:rsidRDefault="00000000">
            <w:pPr>
              <w:spacing w:line="240" w:lineRule="auto"/>
            </w:pPr>
            <w:r>
              <w:rPr>
                <w:sz w:val="17"/>
              </w:rPr>
              <w:t>The severity of chronic periodontitis is associated with an increased risk of dementia. Management of periodontitis from the mild stage may be clinically relevant, although its role in altering dementia risk requires further study.</w:t>
            </w:r>
          </w:p>
        </w:tc>
      </w:tr>
      <w:tr w:rsidR="006A449D" w14:paraId="1FA91464" w14:textId="77777777">
        <w:trPr>
          <w:jc w:val="center"/>
        </w:trPr>
        <w:tc>
          <w:tcPr>
            <w:tcW w:w="481" w:type="dxa"/>
            <w:vAlign w:val="center"/>
          </w:tcPr>
          <w:p w14:paraId="4B2E9ACA" w14:textId="77777777" w:rsidR="006A449D" w:rsidRDefault="00000000">
            <w:pPr>
              <w:spacing w:line="240" w:lineRule="auto"/>
              <w:jc w:val="center"/>
            </w:pPr>
            <w:r>
              <w:rPr>
                <w:sz w:val="17"/>
              </w:rPr>
              <w:t>8</w:t>
            </w:r>
          </w:p>
        </w:tc>
        <w:tc>
          <w:tcPr>
            <w:tcW w:w="966" w:type="dxa"/>
            <w:vAlign w:val="center"/>
          </w:tcPr>
          <w:p w14:paraId="55F50CBA" w14:textId="77777777" w:rsidR="006A449D" w:rsidRDefault="00000000">
            <w:pPr>
              <w:spacing w:line="240" w:lineRule="auto"/>
            </w:pPr>
            <w:r>
              <w:rPr>
                <w:sz w:val="17"/>
              </w:rPr>
              <w:t>Luo et al. (2023)</w:t>
            </w:r>
          </w:p>
        </w:tc>
        <w:tc>
          <w:tcPr>
            <w:tcW w:w="1493" w:type="dxa"/>
            <w:vAlign w:val="center"/>
          </w:tcPr>
          <w:p w14:paraId="34F61124" w14:textId="77777777" w:rsidR="006A449D" w:rsidRDefault="00000000">
            <w:pPr>
              <w:spacing w:line="240" w:lineRule="auto"/>
            </w:pPr>
            <w:r>
              <w:rPr>
                <w:sz w:val="17"/>
              </w:rPr>
              <w:t>To assess the association of tooth loss and periodontal disease with mild cognitive impairment among Hispanic/Latino immigrants and to examine the role of age at immigration.</w:t>
            </w:r>
          </w:p>
        </w:tc>
        <w:tc>
          <w:tcPr>
            <w:tcW w:w="1843" w:type="dxa"/>
            <w:vAlign w:val="center"/>
          </w:tcPr>
          <w:p w14:paraId="5EFC5630" w14:textId="77777777" w:rsidR="006A449D" w:rsidRDefault="00000000">
            <w:pPr>
              <w:spacing w:line="240" w:lineRule="auto"/>
            </w:pPr>
            <w:r>
              <w:rPr>
                <w:sz w:val="17"/>
              </w:rPr>
              <w:t>An observational study using data from the Hispanic Community Health Study/Study of Latinos. The analyzed immigrant sample consisted of 5,709 participants. The analysis used adjusted regression models.</w:t>
            </w:r>
          </w:p>
        </w:tc>
        <w:tc>
          <w:tcPr>
            <w:tcW w:w="2410" w:type="dxa"/>
            <w:vAlign w:val="center"/>
          </w:tcPr>
          <w:p w14:paraId="11834D8D" w14:textId="77777777" w:rsidR="006A449D" w:rsidRDefault="00000000">
            <w:pPr>
              <w:spacing w:line="240" w:lineRule="auto"/>
            </w:pPr>
            <w:r>
              <w:rPr>
                <w:sz w:val="17"/>
              </w:rPr>
              <w:t>Severe tooth loss was associated with MCI, with an AOR of 1.36; 95% CI = 1.01–1.85. Overall, periodontal disease was associated with MCI, with p = 0.04. Comparisons of mild, moderate, and severe periodontal disease with no periodontal disease were not significant, with all p values &gt; 0.05. The interaction between periodontal disease and age at immigration was also not significant, with p = 0.10.</w:t>
            </w:r>
          </w:p>
        </w:tc>
        <w:tc>
          <w:tcPr>
            <w:tcW w:w="2377" w:type="dxa"/>
            <w:vAlign w:val="center"/>
          </w:tcPr>
          <w:p w14:paraId="7542D317" w14:textId="77777777" w:rsidR="006A449D" w:rsidRDefault="00000000">
            <w:pPr>
              <w:spacing w:line="240" w:lineRule="auto"/>
            </w:pPr>
            <w:r>
              <w:rPr>
                <w:sz w:val="17"/>
              </w:rPr>
              <w:t>Tooth loss appears to be a stronger oral health indicator of MCI than periodontal disease severity. Periodontal disease still shows a general association with MCI.</w:t>
            </w:r>
          </w:p>
        </w:tc>
      </w:tr>
      <w:tr w:rsidR="006A449D" w14:paraId="0B224BC1" w14:textId="77777777">
        <w:trPr>
          <w:jc w:val="center"/>
        </w:trPr>
        <w:tc>
          <w:tcPr>
            <w:tcW w:w="481" w:type="dxa"/>
            <w:vAlign w:val="center"/>
          </w:tcPr>
          <w:p w14:paraId="347FFDB2" w14:textId="77777777" w:rsidR="006A449D" w:rsidRDefault="00000000">
            <w:pPr>
              <w:spacing w:line="240" w:lineRule="auto"/>
              <w:jc w:val="center"/>
            </w:pPr>
            <w:r>
              <w:rPr>
                <w:sz w:val="17"/>
              </w:rPr>
              <w:t>9</w:t>
            </w:r>
          </w:p>
        </w:tc>
        <w:tc>
          <w:tcPr>
            <w:tcW w:w="966" w:type="dxa"/>
            <w:vAlign w:val="center"/>
          </w:tcPr>
          <w:p w14:paraId="2D346670" w14:textId="77777777" w:rsidR="006A449D" w:rsidRDefault="00000000">
            <w:pPr>
              <w:spacing w:line="240" w:lineRule="auto"/>
            </w:pPr>
            <w:r>
              <w:rPr>
                <w:sz w:val="17"/>
              </w:rPr>
              <w:t>Igase et al. (2024)</w:t>
            </w:r>
          </w:p>
        </w:tc>
        <w:tc>
          <w:tcPr>
            <w:tcW w:w="1493" w:type="dxa"/>
            <w:vAlign w:val="center"/>
          </w:tcPr>
          <w:p w14:paraId="4E4AA92F" w14:textId="77777777" w:rsidR="006A449D" w:rsidRDefault="00000000">
            <w:pPr>
              <w:spacing w:line="240" w:lineRule="auto"/>
            </w:pPr>
            <w:r>
              <w:rPr>
                <w:sz w:val="17"/>
              </w:rPr>
              <w:t>To examine the association between severe periodontitis and mild cognitive impairment among community residents who underwent dental health examinations.</w:t>
            </w:r>
          </w:p>
        </w:tc>
        <w:tc>
          <w:tcPr>
            <w:tcW w:w="1843" w:type="dxa"/>
            <w:vAlign w:val="center"/>
          </w:tcPr>
          <w:p w14:paraId="21494964" w14:textId="77777777" w:rsidR="006A449D" w:rsidRDefault="00000000">
            <w:pPr>
              <w:spacing w:line="240" w:lineRule="auto"/>
            </w:pPr>
            <w:r>
              <w:rPr>
                <w:sz w:val="17"/>
              </w:rPr>
              <w:t>A cross-sectional study involving 321 community participants in Japan. MCI was assessed using the MCI screening test. Periodontitis was diagnosed based on probing pocket depth. The analysis used multivariate logistic regression.</w:t>
            </w:r>
          </w:p>
        </w:tc>
        <w:tc>
          <w:tcPr>
            <w:tcW w:w="2410" w:type="dxa"/>
            <w:vAlign w:val="center"/>
          </w:tcPr>
          <w:p w14:paraId="13914897" w14:textId="77777777" w:rsidR="006A449D" w:rsidRDefault="00000000">
            <w:pPr>
              <w:spacing w:line="240" w:lineRule="auto"/>
            </w:pPr>
            <w:r>
              <w:rPr>
                <w:sz w:val="17"/>
              </w:rPr>
              <w:t>MCI was found in 41 subjects. Severe periodontitis was found in 123 subjects. Severe periodontitis was significantly associated with MCI after including age, education, number of functional teeth, and the presence of severe periodontitis. The OR was 4.024; 95% CI = 1.768–9.161; p &lt; 0.001.</w:t>
            </w:r>
          </w:p>
        </w:tc>
        <w:tc>
          <w:tcPr>
            <w:tcW w:w="2377" w:type="dxa"/>
            <w:vAlign w:val="center"/>
          </w:tcPr>
          <w:p w14:paraId="479A725E" w14:textId="77777777" w:rsidR="006A449D" w:rsidRDefault="00000000">
            <w:pPr>
              <w:spacing w:line="240" w:lineRule="auto"/>
            </w:pPr>
            <w:r>
              <w:rPr>
                <w:sz w:val="17"/>
              </w:rPr>
              <w:t>Severe periodontitis is strongly associated with mild cognitive impairment. Patients with severe periodontitis should be considered for cognitive function screening.</w:t>
            </w:r>
          </w:p>
        </w:tc>
      </w:tr>
      <w:tr w:rsidR="006A449D" w14:paraId="19AAB4AA" w14:textId="77777777">
        <w:trPr>
          <w:jc w:val="center"/>
        </w:trPr>
        <w:tc>
          <w:tcPr>
            <w:tcW w:w="481" w:type="dxa"/>
            <w:vAlign w:val="center"/>
          </w:tcPr>
          <w:p w14:paraId="3DC0E928" w14:textId="77777777" w:rsidR="006A449D" w:rsidRDefault="00000000">
            <w:pPr>
              <w:spacing w:line="240" w:lineRule="auto"/>
              <w:jc w:val="center"/>
            </w:pPr>
            <w:r>
              <w:rPr>
                <w:sz w:val="17"/>
              </w:rPr>
              <w:t>10</w:t>
            </w:r>
          </w:p>
        </w:tc>
        <w:tc>
          <w:tcPr>
            <w:tcW w:w="966" w:type="dxa"/>
            <w:vAlign w:val="center"/>
          </w:tcPr>
          <w:p w14:paraId="2CBD664B" w14:textId="77777777" w:rsidR="006A449D" w:rsidRDefault="00000000">
            <w:pPr>
              <w:spacing w:line="240" w:lineRule="auto"/>
            </w:pPr>
            <w:r>
              <w:rPr>
                <w:sz w:val="17"/>
              </w:rPr>
              <w:t>Gil-Montoya et al. (2025)</w:t>
            </w:r>
          </w:p>
        </w:tc>
        <w:tc>
          <w:tcPr>
            <w:tcW w:w="1493" w:type="dxa"/>
            <w:vAlign w:val="center"/>
          </w:tcPr>
          <w:p w14:paraId="790A1F03" w14:textId="77777777" w:rsidR="006A449D" w:rsidRDefault="00000000">
            <w:pPr>
              <w:spacing w:line="240" w:lineRule="auto"/>
            </w:pPr>
            <w:r>
              <w:rPr>
                <w:sz w:val="17"/>
              </w:rPr>
              <w:t>To assess the association between periodontal disease and brain beta-amyloid accumulation in patients with mild cognitive impairment.</w:t>
            </w:r>
          </w:p>
        </w:tc>
        <w:tc>
          <w:tcPr>
            <w:tcW w:w="1843" w:type="dxa"/>
            <w:vAlign w:val="center"/>
          </w:tcPr>
          <w:p w14:paraId="1454B924" w14:textId="77777777" w:rsidR="006A449D" w:rsidRDefault="00000000">
            <w:pPr>
              <w:spacing w:line="240" w:lineRule="auto"/>
            </w:pPr>
            <w:r>
              <w:rPr>
                <w:sz w:val="17"/>
              </w:rPr>
              <w:t>An observational study in Spain. All participants underwent periodontal examination and amyloid-PET scanning. The sample consisted of MCI/Aβ+ n = 45, MCI/Aβ− n = 59, and non-MCI/Aβ− n = 60.</w:t>
            </w:r>
          </w:p>
        </w:tc>
        <w:tc>
          <w:tcPr>
            <w:tcW w:w="2410" w:type="dxa"/>
            <w:vAlign w:val="center"/>
          </w:tcPr>
          <w:p w14:paraId="114F6815" w14:textId="77777777" w:rsidR="006A449D" w:rsidRDefault="00000000">
            <w:pPr>
              <w:spacing w:line="240" w:lineRule="auto"/>
            </w:pPr>
            <w:r>
              <w:rPr>
                <w:sz w:val="17"/>
              </w:rPr>
              <w:t>Patients with moderate-to-severe periodontitis had a higher risk of abnormal Aβ accumulation. The comparison between MCI/Aβ+ and MCI/Aβ− showed OR = 3.30; 95% CI = 1.30–8.26. The comparison between MCI/Aβ+ and non-MCI/Aβ− showed OR = 4.94; 95% CI = 1.65–14.84.</w:t>
            </w:r>
          </w:p>
        </w:tc>
        <w:tc>
          <w:tcPr>
            <w:tcW w:w="2377" w:type="dxa"/>
            <w:vAlign w:val="center"/>
          </w:tcPr>
          <w:p w14:paraId="2E58A47A" w14:textId="77777777" w:rsidR="006A449D" w:rsidRDefault="00000000">
            <w:pPr>
              <w:spacing w:line="240" w:lineRule="auto"/>
            </w:pPr>
            <w:r>
              <w:rPr>
                <w:sz w:val="17"/>
              </w:rPr>
              <w:t>Periodontal disease is associated with brain beta-amyloid accumulation. These findings support the suspected link between periodontal disease and Alzheimer’s pathology at the MCI stage.</w:t>
            </w:r>
          </w:p>
        </w:tc>
      </w:tr>
      <w:tr w:rsidR="006A449D" w14:paraId="6EE39B79" w14:textId="77777777">
        <w:trPr>
          <w:jc w:val="center"/>
        </w:trPr>
        <w:tc>
          <w:tcPr>
            <w:tcW w:w="481" w:type="dxa"/>
            <w:vAlign w:val="center"/>
          </w:tcPr>
          <w:p w14:paraId="44E19727" w14:textId="77777777" w:rsidR="006A449D" w:rsidRDefault="00000000">
            <w:pPr>
              <w:spacing w:line="240" w:lineRule="auto"/>
              <w:jc w:val="center"/>
            </w:pPr>
            <w:r>
              <w:rPr>
                <w:sz w:val="17"/>
              </w:rPr>
              <w:t>11</w:t>
            </w:r>
          </w:p>
        </w:tc>
        <w:tc>
          <w:tcPr>
            <w:tcW w:w="966" w:type="dxa"/>
            <w:vAlign w:val="center"/>
          </w:tcPr>
          <w:p w14:paraId="1D709241" w14:textId="77777777" w:rsidR="006A449D" w:rsidRDefault="00000000">
            <w:pPr>
              <w:spacing w:line="240" w:lineRule="auto"/>
            </w:pPr>
            <w:r>
              <w:rPr>
                <w:sz w:val="17"/>
              </w:rPr>
              <w:t>Sun &amp; Li (2025)</w:t>
            </w:r>
          </w:p>
        </w:tc>
        <w:tc>
          <w:tcPr>
            <w:tcW w:w="1493" w:type="dxa"/>
            <w:vAlign w:val="center"/>
          </w:tcPr>
          <w:p w14:paraId="02A78E5A" w14:textId="77777777" w:rsidR="006A449D" w:rsidRDefault="00000000">
            <w:pPr>
              <w:spacing w:line="240" w:lineRule="auto"/>
            </w:pPr>
            <w:r>
              <w:rPr>
                <w:sz w:val="17"/>
              </w:rPr>
              <w:t>To analyze the association between periodontitis and cognitive impairment among older adults in the United States.</w:t>
            </w:r>
          </w:p>
        </w:tc>
        <w:tc>
          <w:tcPr>
            <w:tcW w:w="1843" w:type="dxa"/>
            <w:vAlign w:val="center"/>
          </w:tcPr>
          <w:p w14:paraId="710CB1CA" w14:textId="77777777" w:rsidR="006A449D" w:rsidRDefault="00000000">
            <w:pPr>
              <w:spacing w:line="240" w:lineRule="auto"/>
            </w:pPr>
            <w:r>
              <w:rPr>
                <w:sz w:val="17"/>
              </w:rPr>
              <w:t>A cross-sectional study using NHANES 2011–2014. The sample consisted of 2,514 individuals aged ≥60 years. Periodontitis was categorized as no/mild and moderate/severe. Cognitive function was assessed using CERAD-WL, AFT, and DSST.</w:t>
            </w:r>
          </w:p>
        </w:tc>
        <w:tc>
          <w:tcPr>
            <w:tcW w:w="2410" w:type="dxa"/>
            <w:vAlign w:val="center"/>
          </w:tcPr>
          <w:p w14:paraId="0F0D7AD7" w14:textId="77777777" w:rsidR="006A449D" w:rsidRDefault="00000000">
            <w:pPr>
              <w:spacing w:line="240" w:lineRule="auto"/>
            </w:pPr>
            <w:r>
              <w:rPr>
                <w:sz w:val="17"/>
              </w:rPr>
              <w:t>A total of 52.6% of the sample had moderate/severe periodontitis. Moderate/severe periodontitis was associated with cognitive impairment on the DSST. The fully adjusted model showed OR = 1.290; 95% CI = 1.021–1.630; p = 0.033. Differences in CERAD-WL and DSST scores across periodontal status were significant, with p = 0.046 and p = 0.010.</w:t>
            </w:r>
          </w:p>
        </w:tc>
        <w:tc>
          <w:tcPr>
            <w:tcW w:w="2377" w:type="dxa"/>
            <w:vAlign w:val="center"/>
          </w:tcPr>
          <w:p w14:paraId="132E363E" w14:textId="77777777" w:rsidR="006A449D" w:rsidRDefault="00000000">
            <w:pPr>
              <w:spacing w:line="240" w:lineRule="auto"/>
            </w:pPr>
            <w:r>
              <w:rPr>
                <w:sz w:val="17"/>
              </w:rPr>
              <w:t>Periodontitis is significantly associated with cognitive impairment among older adults. Periodontal care may be considered within older adult health management, although its effect on cognitive decline requires further study.</w:t>
            </w:r>
          </w:p>
        </w:tc>
      </w:tr>
      <w:tr w:rsidR="006A449D" w14:paraId="6AB881D9" w14:textId="77777777">
        <w:trPr>
          <w:jc w:val="center"/>
        </w:trPr>
        <w:tc>
          <w:tcPr>
            <w:tcW w:w="481" w:type="dxa"/>
            <w:vAlign w:val="center"/>
          </w:tcPr>
          <w:p w14:paraId="2CD05E94" w14:textId="77777777" w:rsidR="006A449D" w:rsidRDefault="00000000">
            <w:pPr>
              <w:spacing w:line="240" w:lineRule="auto"/>
              <w:jc w:val="center"/>
            </w:pPr>
            <w:r>
              <w:rPr>
                <w:sz w:val="17"/>
              </w:rPr>
              <w:t>12</w:t>
            </w:r>
          </w:p>
        </w:tc>
        <w:tc>
          <w:tcPr>
            <w:tcW w:w="966" w:type="dxa"/>
            <w:vAlign w:val="center"/>
          </w:tcPr>
          <w:p w14:paraId="50C923B7" w14:textId="77777777" w:rsidR="006A449D" w:rsidRDefault="00000000">
            <w:pPr>
              <w:spacing w:line="240" w:lineRule="auto"/>
            </w:pPr>
            <w:r>
              <w:rPr>
                <w:sz w:val="17"/>
              </w:rPr>
              <w:t>Aranda Romo et al. (2025)</w:t>
            </w:r>
          </w:p>
        </w:tc>
        <w:tc>
          <w:tcPr>
            <w:tcW w:w="1493" w:type="dxa"/>
            <w:vAlign w:val="center"/>
          </w:tcPr>
          <w:p w14:paraId="4F6BF60D" w14:textId="77777777" w:rsidR="006A449D" w:rsidRDefault="00000000">
            <w:pPr>
              <w:spacing w:line="240" w:lineRule="auto"/>
            </w:pPr>
            <w:r>
              <w:rPr>
                <w:sz w:val="17"/>
              </w:rPr>
              <w:t>To determine the correlation between gingival index, periodontitis staging, and mild cognitive impairment assessed using MoCA in adults aged ≥55 years.</w:t>
            </w:r>
          </w:p>
        </w:tc>
        <w:tc>
          <w:tcPr>
            <w:tcW w:w="1843" w:type="dxa"/>
            <w:vAlign w:val="center"/>
          </w:tcPr>
          <w:p w14:paraId="7BCB3101" w14:textId="77777777" w:rsidR="006A449D" w:rsidRDefault="00000000">
            <w:pPr>
              <w:spacing w:line="240" w:lineRule="auto"/>
            </w:pPr>
            <w:r>
              <w:rPr>
                <w:sz w:val="17"/>
              </w:rPr>
              <w:t>A cross-sectional study involving 120 Mexican patients with or without periodontal disease. Periodontal examinations were conducted clinically and radiographically. MCI was assessed using the Montreal Cognitive Assessment.</w:t>
            </w:r>
          </w:p>
        </w:tc>
        <w:tc>
          <w:tcPr>
            <w:tcW w:w="2410" w:type="dxa"/>
            <w:vAlign w:val="center"/>
          </w:tcPr>
          <w:p w14:paraId="3D23DCDD" w14:textId="77777777" w:rsidR="006A449D" w:rsidRDefault="00000000">
            <w:pPr>
              <w:spacing w:line="240" w:lineRule="auto"/>
            </w:pPr>
            <w:r>
              <w:rPr>
                <w:sz w:val="17"/>
              </w:rPr>
              <w:t>A total of 54% of subjects had MCI. Loss of clinical attachment level was associated with MCI, with OR = 1.68; 95% CI = 1.06–2.68; p = 0.027. Gingival index was also correlated with MCI, with p = 0.025. Other associated variables were sex, with OR = 2.97; p = 0.015, and education, with OR = 0.37; p = 0.021.</w:t>
            </w:r>
          </w:p>
        </w:tc>
        <w:tc>
          <w:tcPr>
            <w:tcW w:w="2377" w:type="dxa"/>
            <w:vAlign w:val="center"/>
          </w:tcPr>
          <w:p w14:paraId="23DCDA89" w14:textId="77777777" w:rsidR="006A449D" w:rsidRDefault="00000000">
            <w:pPr>
              <w:spacing w:line="240" w:lineRule="auto"/>
            </w:pPr>
            <w:r>
              <w:rPr>
                <w:sz w:val="17"/>
              </w:rPr>
              <w:t>Gingival and periodontal parameters, particularly clinical attachment loss, are associated with mild cognitive impairment in older adults. Periodontal examination may provide additional information for the early detection of cognitive impairment.</w:t>
            </w:r>
          </w:p>
        </w:tc>
      </w:tr>
    </w:tbl>
    <w:p w14:paraId="435A57FE" w14:textId="77777777" w:rsidR="006A449D" w:rsidRDefault="00000000">
      <w:pPr>
        <w:spacing w:before="160" w:after="40"/>
      </w:pPr>
      <w:r>
        <w:rPr>
          <w:rFonts w:eastAsia="Times New Roman"/>
          <w:b/>
        </w:rPr>
        <w:lastRenderedPageBreak/>
        <w:t>Figure Legends and Figures</w:t>
      </w:r>
    </w:p>
    <w:p w14:paraId="31DFCA45" w14:textId="77777777" w:rsidR="004A0F6D" w:rsidRDefault="004A0F6D" w:rsidP="004A0F6D">
      <w:pPr>
        <w:keepNext/>
        <w:spacing w:before="120" w:after="40"/>
        <w:rPr>
          <w:rFonts w:eastAsia="Times New Roman"/>
          <w:b/>
          <w:sz w:val="20"/>
        </w:rPr>
      </w:pPr>
    </w:p>
    <w:p w14:paraId="7BEE9645" w14:textId="60B8F019" w:rsidR="006A449D" w:rsidRDefault="00000000" w:rsidP="004A0F6D">
      <w:pPr>
        <w:keepNext/>
        <w:spacing w:before="120" w:after="40"/>
      </w:pPr>
      <w:r>
        <w:rPr>
          <w:rFonts w:eastAsia="Times New Roman"/>
          <w:b/>
          <w:sz w:val="20"/>
        </w:rPr>
        <w:t>Figure 1. PRISMA flow diagram of study selection.</w:t>
      </w:r>
    </w:p>
    <w:p w14:paraId="0B07BD98" w14:textId="77777777" w:rsidR="006A449D" w:rsidRDefault="00000000">
      <w:pPr>
        <w:jc w:val="center"/>
      </w:pPr>
      <w:r>
        <w:rPr>
          <w:noProof/>
        </w:rPr>
        <w:drawing>
          <wp:inline distT="0" distB="0" distL="0" distR="0" wp14:anchorId="3250E15F" wp14:editId="63E2C2B7">
            <wp:extent cx="5029200" cy="4039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11"/>
                    <a:stretch>
                      <a:fillRect/>
                    </a:stretch>
                  </pic:blipFill>
                  <pic:spPr>
                    <a:xfrm>
                      <a:off x="0" y="0"/>
                      <a:ext cx="5029200" cy="4039717"/>
                    </a:xfrm>
                    <a:prstGeom prst="rect">
                      <a:avLst/>
                    </a:prstGeom>
                  </pic:spPr>
                </pic:pic>
              </a:graphicData>
            </a:graphic>
          </wp:inline>
        </w:drawing>
      </w:r>
    </w:p>
    <w:p w14:paraId="430132AE" w14:textId="77777777" w:rsidR="006A449D" w:rsidRDefault="00000000">
      <w:pPr>
        <w:spacing w:line="240" w:lineRule="auto"/>
        <w:jc w:val="both"/>
      </w:pPr>
      <w:r>
        <w:rPr>
          <w:rFonts w:eastAsia="Times New Roman"/>
          <w:i/>
          <w:sz w:val="18"/>
        </w:rPr>
        <w:t>The diagram shows the identification, screening, eligibility assessment, and inclusion process of articles in this systematic review and meta-analysis.</w:t>
      </w:r>
    </w:p>
    <w:p w14:paraId="20021B79" w14:textId="77777777" w:rsidR="006A449D" w:rsidRDefault="00000000">
      <w:pPr>
        <w:keepNext/>
        <w:pageBreakBefore/>
        <w:spacing w:before="120" w:after="40"/>
      </w:pPr>
      <w:r>
        <w:rPr>
          <w:rFonts w:eastAsia="Times New Roman"/>
          <w:b/>
          <w:sz w:val="20"/>
        </w:rPr>
        <w:lastRenderedPageBreak/>
        <w:t>Figure 2. Funnel plot of the relationship between periodontitis, cognitive impairment, and neurodegenerative disease.</w:t>
      </w:r>
    </w:p>
    <w:p w14:paraId="0BE4B7C5" w14:textId="77777777" w:rsidR="006A449D" w:rsidRDefault="00000000">
      <w:pPr>
        <w:jc w:val="center"/>
      </w:pPr>
      <w:r>
        <w:rPr>
          <w:noProof/>
        </w:rPr>
        <w:drawing>
          <wp:inline distT="0" distB="0" distL="0" distR="0" wp14:anchorId="0D54D215" wp14:editId="0A0C1CD0">
            <wp:extent cx="5303520" cy="3339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2"/>
                    <a:stretch>
                      <a:fillRect/>
                    </a:stretch>
                  </pic:blipFill>
                  <pic:spPr>
                    <a:xfrm>
                      <a:off x="0" y="0"/>
                      <a:ext cx="5303520" cy="3339589"/>
                    </a:xfrm>
                    <a:prstGeom prst="rect">
                      <a:avLst/>
                    </a:prstGeom>
                  </pic:spPr>
                </pic:pic>
              </a:graphicData>
            </a:graphic>
          </wp:inline>
        </w:drawing>
      </w:r>
    </w:p>
    <w:p w14:paraId="606AA6A1" w14:textId="77777777" w:rsidR="006A449D" w:rsidRDefault="00000000">
      <w:pPr>
        <w:spacing w:line="240" w:lineRule="auto"/>
        <w:jc w:val="both"/>
      </w:pPr>
      <w:r>
        <w:rPr>
          <w:rFonts w:eastAsia="Times New Roman"/>
          <w:i/>
          <w:sz w:val="18"/>
        </w:rPr>
        <w:t>The funnel plot presents the distribution of included studies based on residual values and standard errors to visually assess possible publication bias and variation across studies.</w:t>
      </w:r>
    </w:p>
    <w:p w14:paraId="768752D0" w14:textId="77777777" w:rsidR="006A449D" w:rsidRDefault="00000000">
      <w:pPr>
        <w:keepNext/>
        <w:pageBreakBefore/>
        <w:spacing w:before="120" w:after="40"/>
      </w:pPr>
      <w:r>
        <w:rPr>
          <w:rFonts w:eastAsia="Times New Roman"/>
          <w:b/>
          <w:sz w:val="20"/>
        </w:rPr>
        <w:lastRenderedPageBreak/>
        <w:t>Figure 3. Forest plot of the association between periodontitis, cognitive impairment, and neurodegenerative disease.</w:t>
      </w:r>
    </w:p>
    <w:p w14:paraId="4080FE15" w14:textId="77777777" w:rsidR="006A449D" w:rsidRDefault="00000000">
      <w:pPr>
        <w:jc w:val="center"/>
      </w:pPr>
      <w:r>
        <w:rPr>
          <w:noProof/>
        </w:rPr>
        <w:drawing>
          <wp:inline distT="0" distB="0" distL="0" distR="0" wp14:anchorId="0DBA1F59" wp14:editId="38514D42">
            <wp:extent cx="5303520" cy="21647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3"/>
                    <a:stretch>
                      <a:fillRect/>
                    </a:stretch>
                  </pic:blipFill>
                  <pic:spPr>
                    <a:xfrm>
                      <a:off x="0" y="0"/>
                      <a:ext cx="5303520" cy="2164702"/>
                    </a:xfrm>
                    <a:prstGeom prst="rect">
                      <a:avLst/>
                    </a:prstGeom>
                  </pic:spPr>
                </pic:pic>
              </a:graphicData>
            </a:graphic>
          </wp:inline>
        </w:drawing>
      </w:r>
    </w:p>
    <w:p w14:paraId="2FA043AC" w14:textId="77777777" w:rsidR="006A449D" w:rsidRDefault="00000000">
      <w:pPr>
        <w:spacing w:line="240" w:lineRule="auto"/>
        <w:jc w:val="both"/>
      </w:pPr>
      <w:r>
        <w:rPr>
          <w:rFonts w:eastAsia="Times New Roman"/>
          <w:i/>
          <w:sz w:val="18"/>
        </w:rPr>
        <w:t>The forest plot presents the effect estimate, confidence interval, pooled effect, and heterogeneity of the included studies.</w:t>
      </w:r>
    </w:p>
    <w:sectPr w:rsidR="006A449D">
      <w:footerReference w:type="default" r:id="rId14"/>
      <w:pgSz w:w="12240" w:h="15840"/>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A9D39" w14:textId="77777777" w:rsidR="00FB3F7B" w:rsidRDefault="00FB3F7B">
      <w:pPr>
        <w:spacing w:line="240" w:lineRule="auto"/>
      </w:pPr>
      <w:r>
        <w:separator/>
      </w:r>
    </w:p>
  </w:endnote>
  <w:endnote w:type="continuationSeparator" w:id="0">
    <w:p w14:paraId="42C2626D" w14:textId="77777777" w:rsidR="00FB3F7B" w:rsidRDefault="00FB3F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FEBD2" w14:textId="77777777" w:rsidR="006A449D" w:rsidRDefault="00000000">
    <w:pPr>
      <w:pStyle w:val="Footer"/>
      <w:jc w:val="center"/>
    </w:pPr>
    <w:r>
      <w:rPr>
        <w:rFonts w:eastAsia="Times New Roman"/>
        <w:sz w:val="20"/>
      </w:rPr>
      <w:fldChar w:fldCharType="begin"/>
    </w:r>
    <w:r>
      <w:rPr>
        <w:rFonts w:eastAsia="Times New Roman"/>
        <w:sz w:val="20"/>
      </w:rPr>
      <w:instrText xml:space="preserve"> PAGE </w:instrText>
    </w:r>
    <w:r w:rsidR="004A0F6D">
      <w:rPr>
        <w:rFonts w:eastAsia="Times New Roman"/>
        <w:sz w:val="20"/>
      </w:rPr>
      <w:fldChar w:fldCharType="separate"/>
    </w:r>
    <w:r w:rsidR="004A0F6D">
      <w:rPr>
        <w:rFonts w:eastAsia="Times New Roman"/>
        <w:noProof/>
        <w:sz w:val="20"/>
      </w:rPr>
      <w:t>1</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9484B" w14:textId="77777777" w:rsidR="00FB3F7B" w:rsidRDefault="00FB3F7B">
      <w:pPr>
        <w:spacing w:line="240" w:lineRule="auto"/>
      </w:pPr>
      <w:r>
        <w:separator/>
      </w:r>
    </w:p>
  </w:footnote>
  <w:footnote w:type="continuationSeparator" w:id="0">
    <w:p w14:paraId="4AC5AFBD" w14:textId="77777777" w:rsidR="00FB3F7B" w:rsidRDefault="00FB3F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3927BA"/>
    <w:multiLevelType w:val="hybridMultilevel"/>
    <w:tmpl w:val="822AFE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81734859">
    <w:abstractNumId w:val="8"/>
  </w:num>
  <w:num w:numId="2" w16cid:durableId="545023882">
    <w:abstractNumId w:val="6"/>
  </w:num>
  <w:num w:numId="3" w16cid:durableId="548035137">
    <w:abstractNumId w:val="5"/>
  </w:num>
  <w:num w:numId="4" w16cid:durableId="974144286">
    <w:abstractNumId w:val="4"/>
  </w:num>
  <w:num w:numId="5" w16cid:durableId="1762410490">
    <w:abstractNumId w:val="7"/>
  </w:num>
  <w:num w:numId="6" w16cid:durableId="780881242">
    <w:abstractNumId w:val="3"/>
  </w:num>
  <w:num w:numId="7" w16cid:durableId="1555576300">
    <w:abstractNumId w:val="2"/>
  </w:num>
  <w:num w:numId="8" w16cid:durableId="1974018330">
    <w:abstractNumId w:val="1"/>
  </w:num>
  <w:num w:numId="9" w16cid:durableId="1800568171">
    <w:abstractNumId w:val="0"/>
  </w:num>
  <w:num w:numId="10" w16cid:durableId="7777219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46F"/>
    <w:rsid w:val="0029639D"/>
    <w:rsid w:val="00326F90"/>
    <w:rsid w:val="003D2ACA"/>
    <w:rsid w:val="004A0F6D"/>
    <w:rsid w:val="006A449D"/>
    <w:rsid w:val="00AA1D8D"/>
    <w:rsid w:val="00B47730"/>
    <w:rsid w:val="00CB0664"/>
    <w:rsid w:val="00DD6D5F"/>
    <w:rsid w:val="00FB3F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55246"/>
  <w14:defaultImageDpi w14:val="300"/>
  <w15:docId w15:val="{AFE5AE5C-E00B-48A9-8456-3949DE1B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A0F6D"/>
    <w:rPr>
      <w:color w:val="0000FF" w:themeColor="hyperlink"/>
      <w:u w:val="single"/>
    </w:rPr>
  </w:style>
  <w:style w:type="character" w:styleId="UnresolvedMention">
    <w:name w:val="Unresolved Mention"/>
    <w:basedOn w:val="DefaultParagraphFont"/>
    <w:uiPriority w:val="99"/>
    <w:semiHidden/>
    <w:unhideWhenUsed/>
    <w:rsid w:val="004A0F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oral-health"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raining.cochrane.org/handbook" TargetMode="External"/><Relationship Id="rId4" Type="http://schemas.openxmlformats.org/officeDocument/2006/relationships/settings" Target="settings.xml"/><Relationship Id="rId9" Type="http://schemas.openxmlformats.org/officeDocument/2006/relationships/hyperlink" Target="https://www.who.int/news-room/fact-sheets/detail/dementi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7721</Words>
  <Characters>44010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ANOA MANDIRI SEJAHTERA</dc:creator>
  <cp:keywords/>
  <dc:description>generated by python-docx</dc:description>
  <cp:lastModifiedBy>PT ANOA MANDIRI SEJAHTERA</cp:lastModifiedBy>
  <cp:revision>2</cp:revision>
  <dcterms:created xsi:type="dcterms:W3CDTF">2026-09-16T08:13:00Z</dcterms:created>
  <dcterms:modified xsi:type="dcterms:W3CDTF">2026-09-16T08:13:00Z</dcterms:modified>
  <cp:category/>
</cp:coreProperties>
</file>