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B5036" w14:textId="77777777" w:rsidR="00F50DC5" w:rsidRDefault="00000000">
      <w:pPr>
        <w:jc w:val="center"/>
        <w:rPr>
          <w:rFonts w:cs="Times New Roman"/>
          <w:b/>
          <w:bCs/>
          <w:szCs w:val="24"/>
        </w:rPr>
      </w:pPr>
      <w:r>
        <w:rPr>
          <w:rFonts w:eastAsia="Times New Roman" w:cs="Times New Roman"/>
          <w:b/>
          <w:bCs/>
          <w:szCs w:val="24"/>
        </w:rPr>
        <w:t>Diagnostic accuracy of salivary microRNAs for detecting oral squamous cell carcinoma: An exploratory systematic review and meta-analysis</w:t>
      </w:r>
    </w:p>
    <w:p w14:paraId="300120C7" w14:textId="77777777" w:rsidR="00F50DC5" w:rsidRDefault="00F50DC5">
      <w:pPr>
        <w:rPr>
          <w:rFonts w:cs="Times New Roman"/>
          <w:szCs w:val="24"/>
        </w:rPr>
      </w:pPr>
    </w:p>
    <w:p w14:paraId="3653411E" w14:textId="77777777" w:rsidR="00F50DC5" w:rsidRDefault="00000000">
      <w:pPr>
        <w:keepNext/>
        <w:spacing w:before="240" w:after="120" w:line="240" w:lineRule="auto"/>
        <w:jc w:val="center"/>
        <w:rPr>
          <w:rFonts w:cs="Times New Roman"/>
          <w:b/>
          <w:bCs/>
          <w:szCs w:val="24"/>
        </w:rPr>
      </w:pPr>
      <w:r>
        <w:rPr>
          <w:rFonts w:eastAsia="Times New Roman" w:cs="Times New Roman"/>
          <w:b/>
          <w:bCs/>
          <w:szCs w:val="24"/>
        </w:rPr>
        <w:t>ABSTRACT</w:t>
      </w:r>
    </w:p>
    <w:p w14:paraId="32F5F909" w14:textId="77777777" w:rsidR="00F50DC5" w:rsidRDefault="00000000">
      <w:pPr>
        <w:jc w:val="both"/>
        <w:rPr>
          <w:rFonts w:cs="Times New Roman"/>
          <w:szCs w:val="24"/>
        </w:rPr>
      </w:pPr>
      <w:r>
        <w:rPr>
          <w:rFonts w:eastAsia="Times New Roman" w:cs="Times New Roman"/>
          <w:b/>
        </w:rPr>
        <w:t>Background:</w:t>
      </w:r>
      <w:r>
        <w:rPr>
          <w:rFonts w:eastAsia="Times New Roman" w:cs="Times New Roman"/>
        </w:rPr>
        <w:t xml:space="preserve"> Salivary microRNAs have been investigated as noninvasive biomarkers for oral squamous cell carcinoma (OSCC), but their diagnostic performance and clinical applicability remain uncertain. This exploratory systematic review and meta-analysis evaluated their diagnostic accuracy for histopathologically confirmed OSCC.</w:t>
      </w:r>
    </w:p>
    <w:p w14:paraId="215F9FA5" w14:textId="77777777" w:rsidR="00F50DC5" w:rsidRDefault="00000000">
      <w:pPr>
        <w:jc w:val="both"/>
        <w:rPr>
          <w:rFonts w:cs="Times New Roman"/>
          <w:szCs w:val="24"/>
        </w:rPr>
      </w:pPr>
      <w:r>
        <w:rPr>
          <w:rFonts w:eastAsia="Times New Roman" w:cs="Times New Roman"/>
          <w:b/>
        </w:rPr>
        <w:t>Methods:</w:t>
      </w:r>
      <w:r>
        <w:rPr>
          <w:rFonts w:eastAsia="Times New Roman" w:cs="Times New Roman"/>
        </w:rPr>
        <w:t xml:space="preserve"> PubMed, Scopus, ScienceDirect, and Google Scholar were searched from database inception through July 2026. Primary human diagnostic studies evaluating salivary microRNAs were eligible. Risk of bias and applicability were assessed using QUADAS-3. Random-effects synthesis of log diagnostic odds ratios (DORs), separately pooled sensitivity and specificity, and an exploratory SROC analysis were conducted in JASP.</w:t>
      </w:r>
    </w:p>
    <w:p w14:paraId="6C7C3A75" w14:textId="77777777" w:rsidR="00F50DC5" w:rsidRDefault="00000000">
      <w:pPr>
        <w:jc w:val="both"/>
        <w:rPr>
          <w:rFonts w:cs="Times New Roman"/>
          <w:szCs w:val="24"/>
        </w:rPr>
      </w:pPr>
      <w:r>
        <w:rPr>
          <w:rFonts w:eastAsia="Times New Roman" w:cs="Times New Roman"/>
          <w:b/>
        </w:rPr>
        <w:t>Results:</w:t>
      </w:r>
      <w:r>
        <w:rPr>
          <w:rFonts w:eastAsia="Times New Roman" w:cs="Times New Roman"/>
        </w:rPr>
        <w:t xml:space="preserve"> Ten studies met the review criteria; seven studies comprising 220 OSCC and 235 comparator observations entered quantitative synthesis. Pooled sensitivity was 0.891 (95% CI, 0.842-0.926), specificity 0.849 (95% CI, 0.729-0.922), LR+ 5.90 (95% CI, 3.15-11.06), LR- 0.128 (95% CI, 0.087-0.191), and the primary pooled DOR 40.89 (95% CI, 14.67-114.00). Exploratory SROC AUC was 0.935 (95% CI, 0.885-0.965), with I² = 34.46%.</w:t>
      </w:r>
    </w:p>
    <w:p w14:paraId="74DB7936" w14:textId="77777777" w:rsidR="00F50DC5" w:rsidRDefault="00000000">
      <w:pPr>
        <w:jc w:val="both"/>
        <w:rPr>
          <w:rFonts w:cs="Times New Roman"/>
          <w:szCs w:val="24"/>
        </w:rPr>
      </w:pPr>
      <w:r>
        <w:rPr>
          <w:rFonts w:eastAsia="Times New Roman" w:cs="Times New Roman"/>
          <w:b/>
        </w:rPr>
        <w:t>Conclusion:</w:t>
      </w:r>
      <w:r>
        <w:rPr>
          <w:rFonts w:eastAsia="Times New Roman" w:cs="Times New Roman"/>
        </w:rPr>
        <w:t xml:space="preserve"> Salivary microRNAs showed numerically high but exploratory diagnostic discrimination for OSCC. Current evidence does not establish population screening or routine clinical utility. Prospective validation using clinical controls, standardized assays, and separately reported stage I-II disease is required.</w:t>
      </w:r>
    </w:p>
    <w:p w14:paraId="22C5FD3D" w14:textId="77777777" w:rsidR="00F50DC5" w:rsidRDefault="00000000">
      <w:pPr>
        <w:jc w:val="both"/>
        <w:rPr>
          <w:rFonts w:cs="Times New Roman"/>
          <w:szCs w:val="24"/>
        </w:rPr>
      </w:pPr>
      <w:r>
        <w:rPr>
          <w:rFonts w:eastAsia="Times New Roman" w:cs="Times New Roman"/>
          <w:b/>
        </w:rPr>
        <w:t>Key words:</w:t>
      </w:r>
      <w:r>
        <w:rPr>
          <w:rFonts w:eastAsia="Times New Roman" w:cs="Times New Roman"/>
        </w:rPr>
        <w:t xml:space="preserve"> carcinoma, squamous cell; microRNAs; mouth neoplasms; saliva; sensitivity and specificity.</w:t>
      </w:r>
    </w:p>
    <w:p w14:paraId="2090C0F0" w14:textId="77777777" w:rsidR="00F50DC5" w:rsidRDefault="00F50DC5">
      <w:pPr>
        <w:jc w:val="both"/>
        <w:rPr>
          <w:rFonts w:cs="Times New Roman"/>
          <w:szCs w:val="24"/>
        </w:rPr>
      </w:pPr>
    </w:p>
    <w:p w14:paraId="6C467E5E" w14:textId="77777777" w:rsidR="00F50DC5" w:rsidRDefault="00F50DC5">
      <w:pPr>
        <w:rPr>
          <w:rFonts w:cs="Times New Roman"/>
          <w:szCs w:val="24"/>
        </w:rPr>
      </w:pPr>
    </w:p>
    <w:p w14:paraId="676ACB6A" w14:textId="77777777" w:rsidR="00F50DC5" w:rsidRDefault="00000000">
      <w:pPr>
        <w:keepNext/>
        <w:spacing w:before="240" w:after="120" w:line="240" w:lineRule="auto"/>
        <w:rPr>
          <w:rFonts w:cs="Times New Roman"/>
          <w:b/>
          <w:bCs/>
          <w:szCs w:val="24"/>
        </w:rPr>
      </w:pPr>
      <w:r>
        <w:rPr>
          <w:rFonts w:eastAsia="Times New Roman" w:cs="Times New Roman"/>
          <w:b/>
          <w:bCs/>
          <w:szCs w:val="24"/>
        </w:rPr>
        <w:t>INTRODUCTION</w:t>
      </w:r>
    </w:p>
    <w:p w14:paraId="070A97AC" w14:textId="77777777" w:rsidR="00F50DC5" w:rsidRDefault="00000000">
      <w:pPr>
        <w:ind w:firstLine="454"/>
        <w:jc w:val="both"/>
        <w:rPr>
          <w:rFonts w:cs="Times New Roman"/>
          <w:szCs w:val="24"/>
        </w:rPr>
      </w:pPr>
      <w:r>
        <w:rPr>
          <w:rFonts w:eastAsia="Times New Roman" w:cs="Times New Roman"/>
          <w:szCs w:val="24"/>
        </w:rPr>
        <w:t>Lip and oral cavity cancer remains a major global health problem, with a substantial burden of morbidity and mortality. Data from the Global Cancer Observatory indicate that approximately 452,205 new cases and 194,108 deaths attributable to lip and oral cavity cancer occurred worldwide in 2024. Oral squamous cell carcinoma (OSCC) accounts for approximately 90% of malignancies arising in the oral cavity, while the five-year survival rate remains approximately 50%, primarily because many patients are diagnosed only after the disease has progressed to a more advanced stage. These conditions highlight the need to strengthen diagnostic pathways that can facilitate more accurate recognition of malignancy and accelerate patient referral for definitive examination.</w:t>
      </w:r>
      <w:r>
        <w:rPr>
          <w:rFonts w:eastAsia="Times New Roman" w:cs="Times New Roman"/>
          <w:bCs/>
          <w:noProof/>
          <w:szCs w:val="24"/>
          <w:vertAlign w:val="superscript"/>
        </w:rPr>
        <w:t>1-3</w:t>
      </w:r>
    </w:p>
    <w:p w14:paraId="3C69661F" w14:textId="77777777" w:rsidR="00F50DC5" w:rsidRDefault="00000000">
      <w:pPr>
        <w:ind w:firstLine="454"/>
        <w:jc w:val="both"/>
        <w:rPr>
          <w:rFonts w:cs="Times New Roman"/>
          <w:szCs w:val="24"/>
        </w:rPr>
      </w:pPr>
      <w:r>
        <w:rPr>
          <w:rFonts w:eastAsia="Times New Roman" w:cs="Times New Roman"/>
          <w:szCs w:val="24"/>
        </w:rPr>
        <w:t>The diagnosis of OSCC currently begins with a clinical examination of the oral cavity and is subsequently confirmed through biopsy and histopathological examination. Histopathology remains the reference standard because it can confirm the presence of malignant cells, determine the degree of differentiation, and identify tissue characteristics required for treatment planning. Nevertheless, biopsy is invasive, requires trained clinicians and pathologists, and represents only the specific portion of tissue that has been sampled. These limitations support the development of noninvasive examinations as adjunctive tools for triage and biopsy prioritization rather than as substitutes for histopathological examination. Therefore, the clinical utility of a biomarker should be assessed according to its ability to distinguish OSCC within populations that resemble real-world healthcare settings.</w:t>
      </w:r>
      <w:r>
        <w:rPr>
          <w:rFonts w:eastAsia="Times New Roman" w:cs="Times New Roman"/>
          <w:noProof/>
          <w:szCs w:val="24"/>
          <w:vertAlign w:val="superscript"/>
        </w:rPr>
        <w:t>3,4</w:t>
      </w:r>
    </w:p>
    <w:p w14:paraId="327F756D" w14:textId="77777777" w:rsidR="00F50DC5" w:rsidRDefault="00000000">
      <w:pPr>
        <w:ind w:firstLine="454"/>
        <w:jc w:val="both"/>
        <w:rPr>
          <w:rFonts w:cs="Times New Roman"/>
          <w:szCs w:val="24"/>
        </w:rPr>
      </w:pPr>
      <w:r>
        <w:rPr>
          <w:rFonts w:eastAsia="Times New Roman" w:cs="Times New Roman"/>
          <w:szCs w:val="24"/>
        </w:rPr>
        <w:t xml:space="preserve">Saliva is a potentially valuable source of liquid biopsy material because it can be collected easily and repeatedly without causing tissue injury and is in direct contact with the mucosal surfaces where OSCC develops. Saliva contains various molecular components, including DNA, RNA, proteins, cytokines, and extracellular vesicles, which may reflect tumor-related </w:t>
      </w:r>
      <w:r>
        <w:rPr>
          <w:rFonts w:eastAsia="Times New Roman" w:cs="Times New Roman"/>
          <w:szCs w:val="24"/>
        </w:rPr>
        <w:lastRenderedPageBreak/>
        <w:t>biological alterations. One of the most extensively investigated components is microRNA (miRNA), a class of noncoding RNA approximately 19–24 nucleotides in length that regulates gene expression at the post-transcriptional level. MiRNAs can be released into saliva through extracellular vesicles or remain bound to proteins and lipids, thereby providing relative protection against enzymatic degradation. These characteristics allow salivary miRNAs to be analyzed using RT-qPCR, microarray, or sequencing technologies. However, their diagnostic performance may be influenced by saliva collection and processing procedures, the type of salivary fraction used, extraction techniques, normalization genes, analytical platforms, and the determination of positive cutoff values.</w:t>
      </w:r>
      <w:r>
        <w:rPr>
          <w:rFonts w:eastAsia="Times New Roman" w:cs="Times New Roman"/>
          <w:noProof/>
          <w:szCs w:val="24"/>
          <w:vertAlign w:val="superscript"/>
        </w:rPr>
        <w:t>3,4</w:t>
      </w:r>
    </w:p>
    <w:p w14:paraId="5EC898FC" w14:textId="77777777" w:rsidR="00F50DC5" w:rsidRDefault="00000000">
      <w:pPr>
        <w:ind w:firstLine="454"/>
        <w:jc w:val="both"/>
        <w:rPr>
          <w:rFonts w:cs="Times New Roman"/>
          <w:szCs w:val="24"/>
        </w:rPr>
      </w:pPr>
      <w:r>
        <w:rPr>
          <w:rFonts w:eastAsia="Times New Roman" w:cs="Times New Roman"/>
        </w:rPr>
        <w:t>The selection of comparator groups is a critical issue when evaluating the diagnostic accuracy of salivary miRNAs. Most primary studies have employed case–control designs comparing patients with confirmed OSCC with healthy individuals. However, the ability to distinguish OSCC from healthy controls is not equivalent to the ability to distinguish OSCC from oral potentially malignant disorders (OPMDs), oral lichen planus, inflammatory conditions, infections, or benign oral lesions that may clinically resemble malignancy. Balakittnen et al. demonstrated that the performance of miRNA panels changed when patients with OSCC were compared with those with OPMDs rather than with healthy controls.</w:t>
      </w:r>
      <w:r>
        <w:rPr>
          <w:rFonts w:eastAsia="Times New Roman" w:cs="Times New Roman"/>
          <w:vertAlign w:val="superscript"/>
        </w:rPr>
        <w:t>3</w:t>
      </w:r>
      <w:r>
        <w:rPr>
          <w:rFonts w:eastAsia="Times New Roman" w:cs="Times New Roman"/>
        </w:rPr>
        <w:t xml:space="preserve"> The use of control groups that differ substantially from patients with OSCC may produce higher estimates of diagnostic accuracy than would likely be achieved in clinical practice. Therefore, the type of comparator should be considered a potential source of indirectness and spectrum bias and should be analyzed separately whenever sufficient data are available.</w:t>
      </w:r>
      <w:r>
        <w:rPr>
          <w:rFonts w:eastAsia="Times New Roman" w:cs="Times New Roman"/>
          <w:vertAlign w:val="superscript"/>
        </w:rPr>
        <w:t>3,5,6</w:t>
      </w:r>
    </w:p>
    <w:p w14:paraId="50A1D2D6" w14:textId="77777777" w:rsidR="00F50DC5" w:rsidRDefault="00000000">
      <w:pPr>
        <w:ind w:firstLine="454"/>
        <w:jc w:val="both"/>
        <w:rPr>
          <w:rFonts w:cs="Times New Roman"/>
          <w:szCs w:val="24"/>
        </w:rPr>
      </w:pPr>
      <w:r>
        <w:rPr>
          <w:rFonts w:eastAsia="Times New Roman" w:cs="Times New Roman"/>
          <w:szCs w:val="24"/>
        </w:rPr>
        <w:t>Several previous reviews have evaluated salivary biomarkers for the diagnosis of oral cancer, but important limitations remain regarding research questions specifically focused on salivary miRNAs. Liu et al. combined studies investigating miRNAs derived from both blood and saliva,</w:t>
      </w:r>
      <w:r>
        <w:rPr>
          <w:rFonts w:eastAsia="Times New Roman" w:cs="Times New Roman"/>
          <w:noProof/>
          <w:szCs w:val="24"/>
          <w:vertAlign w:val="superscript"/>
        </w:rPr>
        <w:t>5</w:t>
      </w:r>
      <w:r>
        <w:rPr>
          <w:rFonts w:eastAsia="Times New Roman" w:cs="Times New Roman"/>
          <w:szCs w:val="24"/>
        </w:rPr>
        <w:t xml:space="preserve"> whereas </w:t>
      </w:r>
      <w:proofErr w:type="spellStart"/>
      <w:r>
        <w:rPr>
          <w:rFonts w:eastAsia="Times New Roman" w:cs="Times New Roman"/>
          <w:szCs w:val="24"/>
        </w:rPr>
        <w:t>Bastías</w:t>
      </w:r>
      <w:proofErr w:type="spellEnd"/>
      <w:r>
        <w:rPr>
          <w:rFonts w:eastAsia="Times New Roman" w:cs="Times New Roman"/>
          <w:szCs w:val="24"/>
        </w:rPr>
        <w:t xml:space="preserve"> et al. mapped various types of salivary biomarkers through an </w:t>
      </w:r>
      <w:r>
        <w:rPr>
          <w:rFonts w:eastAsia="Times New Roman" w:cs="Times New Roman"/>
          <w:szCs w:val="24"/>
        </w:rPr>
        <w:lastRenderedPageBreak/>
        <w:t>exploratory systematic review.</w:t>
      </w:r>
      <w:r>
        <w:rPr>
          <w:rFonts w:eastAsia="Times New Roman" w:cs="Times New Roman"/>
          <w:noProof/>
          <w:szCs w:val="24"/>
          <w:vertAlign w:val="superscript"/>
        </w:rPr>
        <w:t>7</w:t>
      </w:r>
      <w:r>
        <w:rPr>
          <w:rFonts w:eastAsia="Times New Roman" w:cs="Times New Roman"/>
          <w:szCs w:val="24"/>
        </w:rPr>
        <w:t xml:space="preserve"> Qin et al. provided a narrative overview of developments in salivary miRNAs and cytokines,</w:t>
      </w:r>
      <w:r>
        <w:rPr>
          <w:rFonts w:eastAsia="Times New Roman" w:cs="Times New Roman"/>
          <w:noProof/>
          <w:szCs w:val="24"/>
          <w:vertAlign w:val="superscript"/>
        </w:rPr>
        <w:t>4</w:t>
      </w:r>
      <w:r>
        <w:rPr>
          <w:rFonts w:eastAsia="Times New Roman" w:cs="Times New Roman"/>
          <w:szCs w:val="24"/>
        </w:rPr>
        <w:t xml:space="preserve"> but did not pool sensitivity and specificity estimates using diagnostic test accuracy meta-analysis models. A recent meta-analysis by Wijaya et al. evaluated multiple classes of salivary biomarkers in OSCC,</w:t>
      </w:r>
      <w:r>
        <w:rPr>
          <w:rFonts w:eastAsia="Times New Roman" w:cs="Times New Roman"/>
          <w:noProof/>
          <w:szCs w:val="24"/>
          <w:vertAlign w:val="superscript"/>
        </w:rPr>
        <w:t>6</w:t>
      </w:r>
      <w:r>
        <w:rPr>
          <w:rFonts w:eastAsia="Times New Roman" w:cs="Times New Roman"/>
          <w:szCs w:val="24"/>
        </w:rPr>
        <w:t xml:space="preserve"> and therefore did not fully address the more specific question of miRNA performance according to comparator type, disease stage, salivary fraction, the use of individual biomarkers or panels, analytical methods, and the risk of bias arising from study design.</w:t>
      </w:r>
    </w:p>
    <w:p w14:paraId="6B224D08" w14:textId="5D10EDEF" w:rsidR="00F50DC5" w:rsidRDefault="00000000">
      <w:pPr>
        <w:ind w:firstLine="454"/>
        <w:jc w:val="both"/>
        <w:rPr>
          <w:rFonts w:cs="Times New Roman"/>
          <w:szCs w:val="24"/>
        </w:rPr>
      </w:pPr>
      <w:r>
        <w:rPr>
          <w:rFonts w:eastAsia="Times New Roman" w:cs="Times New Roman"/>
        </w:rPr>
        <w:t>In response to these gaps, the present study evaluated and synthesized the diagnostic accuracy or discriminatory ability of salivary miRNAs for detecting histopathologically confirmed OSCC. The primary outcomes included sensitivity, specificity, positive likelihood ratio, negative likelihood ratio, diagnostic odds ratio, and the area under the summary receiver operating characteristic curve. Subgroup analy</w:t>
      </w:r>
      <w:r w:rsidR="007D6BCA">
        <w:rPr>
          <w:rFonts w:eastAsia="Times New Roman" w:cs="Times New Roman"/>
        </w:rPr>
        <w:t>s</w:t>
      </w:r>
      <w:r>
        <w:rPr>
          <w:rFonts w:eastAsia="Times New Roman" w:cs="Times New Roman"/>
        </w:rPr>
        <w:t>es were planned according to comparator group, disease stage when reported separately, salivary fraction, the use of a single miRNA or miRNA panel, analytical method, study design, and methodological quality. If sufficient data on stage I–II disease were unavailable, the conclusions were restricted to the overall diagnostic accuracy of OSCC and were not interpreted as evidence of readiness for population screening or clinical early detection.</w:t>
      </w:r>
    </w:p>
    <w:p w14:paraId="1DF21E53" w14:textId="77777777" w:rsidR="00F50DC5" w:rsidRDefault="00F50DC5">
      <w:pPr>
        <w:rPr>
          <w:rFonts w:cs="Times New Roman"/>
          <w:b/>
          <w:bCs/>
          <w:szCs w:val="24"/>
        </w:rPr>
      </w:pPr>
    </w:p>
    <w:p w14:paraId="6C8217B6" w14:textId="77777777" w:rsidR="00F50DC5" w:rsidRDefault="00000000">
      <w:pPr>
        <w:keepNext/>
        <w:spacing w:before="240" w:after="120" w:line="240" w:lineRule="auto"/>
        <w:rPr>
          <w:rFonts w:cs="Times New Roman"/>
          <w:b/>
          <w:bCs/>
          <w:szCs w:val="24"/>
        </w:rPr>
      </w:pPr>
      <w:r>
        <w:rPr>
          <w:rFonts w:eastAsia="Times New Roman" w:cs="Times New Roman"/>
          <w:b/>
        </w:rPr>
        <w:t>METHODS</w:t>
      </w:r>
    </w:p>
    <w:p w14:paraId="55D49ED9" w14:textId="77777777" w:rsidR="00F50DC5" w:rsidRDefault="00000000">
      <w:pPr>
        <w:keepNext/>
        <w:spacing w:before="200" w:after="80" w:line="240" w:lineRule="auto"/>
        <w:jc w:val="both"/>
        <w:rPr>
          <w:rFonts w:cs="Times New Roman"/>
          <w:b/>
          <w:bCs/>
          <w:szCs w:val="24"/>
        </w:rPr>
      </w:pPr>
      <w:r>
        <w:rPr>
          <w:rFonts w:eastAsia="Times New Roman" w:cs="Times New Roman"/>
          <w:b/>
        </w:rPr>
        <w:t>Study Design</w:t>
      </w:r>
    </w:p>
    <w:p w14:paraId="58DEBCE1" w14:textId="4A0FA315" w:rsidR="00F50DC5" w:rsidRDefault="00000000">
      <w:pPr>
        <w:ind w:firstLine="454"/>
        <w:jc w:val="both"/>
        <w:rPr>
          <w:rFonts w:cs="Times New Roman"/>
          <w:szCs w:val="24"/>
        </w:rPr>
      </w:pPr>
      <w:r>
        <w:rPr>
          <w:rFonts w:eastAsia="Times New Roman" w:cs="Times New Roman"/>
          <w:szCs w:val="24"/>
        </w:rPr>
        <w:t xml:space="preserve">This study employed a systematic review and meta-analysis design to evaluate the diagnostic accuracy of salivary microRNAs in distinguishing patients with oral squamous cell carcinoma (OSCC) from individuals without OSCC. Tests involving a single microRNA, microRNA panels, and </w:t>
      </w:r>
      <w:proofErr w:type="spellStart"/>
      <w:r>
        <w:rPr>
          <w:rFonts w:eastAsia="Times New Roman" w:cs="Times New Roman"/>
          <w:szCs w:val="24"/>
        </w:rPr>
        <w:t>exosomal</w:t>
      </w:r>
      <w:proofErr w:type="spellEnd"/>
      <w:r>
        <w:rPr>
          <w:rFonts w:eastAsia="Times New Roman" w:cs="Times New Roman"/>
          <w:szCs w:val="24"/>
        </w:rPr>
        <w:t xml:space="preserve"> microRNAs were considered the index tests, while histopathological diagnosis was used as the reference standard. Comparator groups were </w:t>
      </w:r>
      <w:r>
        <w:rPr>
          <w:rFonts w:eastAsia="Times New Roman" w:cs="Times New Roman"/>
          <w:szCs w:val="24"/>
        </w:rPr>
        <w:lastRenderedPageBreak/>
        <w:t>classified separately as healthy controls and clinical controls, including individuals with oral potentially malignant disorders (OPMDs), oral lichen planus (OLP), benign lesions, or inflammatory oral conditions, because the discriminatory performance of the tests may differ across these groups. The quantitative synthesis included only studies that directly reported a 2 × 2 diagnostic table or provided sufficient information to reconstruct such a table with certainty. Studies with insufficient diagnostic data were presented through narrative synthesis. Given the variations in biomarkers, saliva types, testing methods, threshold values, comparator groups, and validation stages, the pooled analysis was treated as an exploratory pooled analysis. Separate analy</w:t>
      </w:r>
      <w:r w:rsidR="007D6BCA">
        <w:rPr>
          <w:rFonts w:eastAsia="Times New Roman" w:cs="Times New Roman"/>
          <w:szCs w:val="24"/>
        </w:rPr>
        <w:t>s</w:t>
      </w:r>
      <w:r>
        <w:rPr>
          <w:rFonts w:eastAsia="Times New Roman" w:cs="Times New Roman"/>
          <w:szCs w:val="24"/>
        </w:rPr>
        <w:t>es were conducted according to control type, biomarker format, saliva fraction, analytical platform, and derivation or validation cohort status. Analy</w:t>
      </w:r>
      <w:r w:rsidR="007D6BCA">
        <w:rPr>
          <w:rFonts w:eastAsia="Times New Roman" w:cs="Times New Roman"/>
          <w:szCs w:val="24"/>
        </w:rPr>
        <w:t>s</w:t>
      </w:r>
      <w:r>
        <w:rPr>
          <w:rFonts w:eastAsia="Times New Roman" w:cs="Times New Roman"/>
          <w:szCs w:val="24"/>
        </w:rPr>
        <w:t>es of early-stage disease were performed only when data for stages I–II were reported separately.</w:t>
      </w:r>
    </w:p>
    <w:p w14:paraId="7400D99A"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Protocol and Reporting Guidelines</w:t>
      </w:r>
    </w:p>
    <w:p w14:paraId="5FA8EF4A" w14:textId="77777777" w:rsidR="00F50DC5" w:rsidRDefault="00000000">
      <w:pPr>
        <w:ind w:firstLine="454"/>
        <w:jc w:val="both"/>
        <w:rPr>
          <w:rFonts w:cs="Times New Roman"/>
          <w:szCs w:val="24"/>
        </w:rPr>
      </w:pPr>
      <w:r>
        <w:rPr>
          <w:rFonts w:eastAsia="Times New Roman" w:cs="Times New Roman"/>
          <w:szCs w:val="24"/>
        </w:rPr>
        <w:t>The study was reported in accordance with the Preferred Reporting Items for a Systematic Review and Meta-analysis of Diagnostic Test Accuracy Studies (PRISMA-DTA). The abstract was prepared according to PRISMA-DTA for Abstracts, while the reporting of the search strategy followed PRISMA-S. The structure of the study selection diagram was based on the PRISMA 2020 flow diagram, with adaptations for diagnostic accuracy studies. PRISMA-DTA was specifically developed to improve the transparency, reproducibility, and assessment of the validity and applicability of systematic reviews of diagnostic accuracy. PRISMA-S complements these reporting guidelines by providing detailed requirements concerning search strategies, search dates, databases, search restrictions, and record-management procedures.</w:t>
      </w:r>
    </w:p>
    <w:p w14:paraId="6EF0DDF2" w14:textId="5C06043D" w:rsidR="00F50DC5" w:rsidRDefault="00000000">
      <w:pPr>
        <w:ind w:firstLine="454"/>
        <w:jc w:val="both"/>
        <w:rPr>
          <w:rFonts w:cs="Times New Roman"/>
          <w:szCs w:val="24"/>
        </w:rPr>
      </w:pPr>
      <w:r>
        <w:rPr>
          <w:rFonts w:eastAsia="Times New Roman" w:cs="Times New Roman"/>
          <w:szCs w:val="24"/>
        </w:rPr>
        <w:t>The protocol specified the review question, eligibility criteria, primary outcomes, planned subgroup analy</w:t>
      </w:r>
      <w:r w:rsidR="007D6BCA">
        <w:rPr>
          <w:rFonts w:eastAsia="Times New Roman" w:cs="Times New Roman"/>
          <w:szCs w:val="24"/>
        </w:rPr>
        <w:t>s</w:t>
      </w:r>
      <w:r>
        <w:rPr>
          <w:rFonts w:eastAsia="Times New Roman" w:cs="Times New Roman"/>
          <w:szCs w:val="24"/>
        </w:rPr>
        <w:t xml:space="preserve">es, and data-handling rules before quantitative synthesis. Prospective registration in PROSPERO or another public repository was not incorporated into the review workflow before screening began. Once study selection had begun, a new record could no </w:t>
      </w:r>
      <w:r>
        <w:rPr>
          <w:rFonts w:eastAsia="Times New Roman" w:cs="Times New Roman"/>
          <w:szCs w:val="24"/>
        </w:rPr>
        <w:lastRenderedPageBreak/>
        <w:t>longer function as a genuinely prospective registration; therefore, retrospective registration was not presented as equivalent to prospective registration. The absence of prospective registration is acknowledged because it limits external verification that all review decisions were specified before the included evidence was examined.</w:t>
      </w:r>
    </w:p>
    <w:p w14:paraId="297F749E" w14:textId="77777777" w:rsidR="00F50DC5" w:rsidRDefault="00000000">
      <w:pPr>
        <w:keepNext/>
        <w:spacing w:before="200" w:after="80" w:line="240" w:lineRule="auto"/>
        <w:jc w:val="both"/>
        <w:rPr>
          <w:rFonts w:cs="Times New Roman"/>
          <w:b/>
          <w:bCs/>
          <w:szCs w:val="24"/>
        </w:rPr>
      </w:pPr>
      <w:r>
        <w:rPr>
          <w:rFonts w:eastAsia="Times New Roman" w:cs="Times New Roman"/>
          <w:b/>
        </w:rPr>
        <w:t>Review Process</w:t>
      </w:r>
    </w:p>
    <w:p w14:paraId="19A993DD" w14:textId="77777777" w:rsidR="00F50DC5" w:rsidRDefault="00000000">
      <w:pPr>
        <w:ind w:firstLine="454"/>
        <w:jc w:val="both"/>
        <w:rPr>
          <w:rFonts w:cs="Times New Roman"/>
          <w:szCs w:val="24"/>
        </w:rPr>
      </w:pPr>
      <w:r>
        <w:rPr>
          <w:rFonts w:eastAsia="Times New Roman" w:cs="Times New Roman"/>
          <w:szCs w:val="24"/>
        </w:rPr>
        <w:t>The research process began with the formulation of a diagnostic accuracy research question and the specification of the population, index test, comparator groups, reference standard, and diagnostic outcomes. A research protocol was subsequently developed, followed by the construction of a search strategy for each database. Searches were conducted in the main databases and additional sources, after which duplicate records were removed. The remaining articles underwent title and abstract screening, followed by full-text eligibility assessment. Each excluded article was documented together with one primary reason for exclusion.</w:t>
      </w:r>
    </w:p>
    <w:p w14:paraId="199A3D2F" w14:textId="3771B9A6" w:rsidR="00F50DC5" w:rsidRDefault="00000000">
      <w:pPr>
        <w:ind w:firstLine="454"/>
        <w:jc w:val="both"/>
        <w:rPr>
          <w:rFonts w:cs="Times New Roman"/>
          <w:szCs w:val="24"/>
        </w:rPr>
      </w:pPr>
      <w:r>
        <w:rPr>
          <w:rFonts w:eastAsia="Times New Roman" w:cs="Times New Roman"/>
          <w:szCs w:val="24"/>
        </w:rPr>
        <w:t>Articles meeting the eligibility criteria subsequently underwent data extraction by two independent reviewers, assessment of potential cohort overlap, and evaluation of the risk of bias and applicability concerns. Studies were then assigned to either quantitative or narrative synthesis according to the completeness and validity of their diagnostic data. Analy</w:t>
      </w:r>
      <w:r w:rsidR="007D6BCA">
        <w:rPr>
          <w:rFonts w:eastAsia="Times New Roman" w:cs="Times New Roman"/>
          <w:szCs w:val="24"/>
        </w:rPr>
        <w:t>s</w:t>
      </w:r>
      <w:r>
        <w:rPr>
          <w:rFonts w:eastAsia="Times New Roman" w:cs="Times New Roman"/>
          <w:szCs w:val="24"/>
        </w:rPr>
        <w:t>es were conducted using JASP and included sensitivity and subgroup analy</w:t>
      </w:r>
      <w:r w:rsidR="007D6BCA">
        <w:rPr>
          <w:rFonts w:eastAsia="Times New Roman" w:cs="Times New Roman"/>
          <w:szCs w:val="24"/>
        </w:rPr>
        <w:t>s</w:t>
      </w:r>
      <w:r>
        <w:rPr>
          <w:rFonts w:eastAsia="Times New Roman" w:cs="Times New Roman"/>
          <w:szCs w:val="24"/>
        </w:rPr>
        <w:t>es. The final stage involved assessing the certainty of evidence and preparing the study findings in accordance with PRISMA-DTA guidelines.</w:t>
      </w:r>
    </w:p>
    <w:p w14:paraId="4D29FAE2" w14:textId="77777777" w:rsidR="00F50DC5" w:rsidRDefault="00000000">
      <w:pPr>
        <w:keepNext/>
        <w:spacing w:before="200" w:after="80" w:line="240" w:lineRule="auto"/>
        <w:jc w:val="both"/>
        <w:rPr>
          <w:rFonts w:cs="Times New Roman"/>
          <w:b/>
          <w:bCs/>
          <w:szCs w:val="24"/>
        </w:rPr>
      </w:pPr>
      <w:r>
        <w:rPr>
          <w:rFonts w:eastAsia="Times New Roman" w:cs="Times New Roman"/>
          <w:b/>
        </w:rPr>
        <w:t>Review Question Framework</w:t>
      </w:r>
    </w:p>
    <w:p w14:paraId="5E8A7C87" w14:textId="77777777" w:rsidR="00F50DC5" w:rsidRDefault="00000000">
      <w:pPr>
        <w:ind w:firstLine="454"/>
        <w:jc w:val="both"/>
        <w:rPr>
          <w:rFonts w:cs="Times New Roman"/>
          <w:szCs w:val="24"/>
        </w:rPr>
      </w:pPr>
      <w:r>
        <w:rPr>
          <w:rFonts w:eastAsia="Times New Roman" w:cs="Times New Roman"/>
          <w:szCs w:val="24"/>
        </w:rPr>
        <w:t>The PICO framework was adapted for diagnostic accuracy questions by adding a reference-standard component. This framework was used to ensure that the population, test, comparator, diagnostic standard, and study outcomes were formulated consistently.</w:t>
      </w:r>
      <w:r>
        <w:rPr>
          <w:rFonts w:eastAsia="Times New Roman" w:cs="Times New Roman"/>
        </w:rPr>
        <w:t xml:space="preserve"> The review-question framework is summarized in Table 1.</w:t>
      </w:r>
    </w:p>
    <w:p w14:paraId="01D82B60" w14:textId="77777777" w:rsidR="00F50DC5" w:rsidRDefault="00000000">
      <w:pPr>
        <w:ind w:firstLine="454"/>
        <w:jc w:val="both"/>
        <w:rPr>
          <w:rFonts w:cs="Times New Roman"/>
          <w:szCs w:val="24"/>
        </w:rPr>
      </w:pPr>
      <w:r>
        <w:rPr>
          <w:rFonts w:eastAsia="Times New Roman" w:cs="Times New Roman"/>
          <w:szCs w:val="24"/>
        </w:rPr>
        <w:lastRenderedPageBreak/>
        <w:t xml:space="preserve">The primary research question was as follows: How accurately can salivary microRNA testing distinguish patients with </w:t>
      </w:r>
      <w:proofErr w:type="spellStart"/>
      <w:r>
        <w:rPr>
          <w:rFonts w:eastAsia="Times New Roman" w:cs="Times New Roman"/>
          <w:szCs w:val="24"/>
        </w:rPr>
        <w:t>histopathologically</w:t>
      </w:r>
      <w:proofErr w:type="spellEnd"/>
      <w:r>
        <w:rPr>
          <w:rFonts w:eastAsia="Times New Roman" w:cs="Times New Roman"/>
          <w:szCs w:val="24"/>
        </w:rPr>
        <w:t xml:space="preserve"> confirmed OSCC from individuals without OSCC?</w:t>
      </w:r>
    </w:p>
    <w:p w14:paraId="5D04BDAB" w14:textId="77777777" w:rsidR="00F50DC5" w:rsidRDefault="00000000">
      <w:pPr>
        <w:ind w:firstLine="454"/>
        <w:jc w:val="both"/>
        <w:rPr>
          <w:rFonts w:cs="Times New Roman"/>
          <w:szCs w:val="24"/>
        </w:rPr>
      </w:pPr>
      <w:r>
        <w:rPr>
          <w:rFonts w:eastAsia="Times New Roman" w:cs="Times New Roman"/>
          <w:szCs w:val="24"/>
        </w:rPr>
        <w:t>Separate synthesis questions were formulated as follows:</w:t>
      </w:r>
    </w:p>
    <w:p w14:paraId="19ED2104" w14:textId="77777777" w:rsidR="00F50DC5" w:rsidRDefault="00000000">
      <w:pPr>
        <w:numPr>
          <w:ilvl w:val="0"/>
          <w:numId w:val="14"/>
        </w:numPr>
        <w:ind w:firstLine="454"/>
        <w:jc w:val="both"/>
        <w:rPr>
          <w:rFonts w:cs="Times New Roman"/>
          <w:szCs w:val="24"/>
        </w:rPr>
      </w:pPr>
      <w:r>
        <w:rPr>
          <w:rFonts w:eastAsia="Times New Roman" w:cs="Times New Roman"/>
          <w:szCs w:val="24"/>
        </w:rPr>
        <w:t>OSCC compared with healthy controls;</w:t>
      </w:r>
    </w:p>
    <w:p w14:paraId="39186368" w14:textId="77777777" w:rsidR="00F50DC5" w:rsidRDefault="00000000">
      <w:pPr>
        <w:numPr>
          <w:ilvl w:val="0"/>
          <w:numId w:val="14"/>
        </w:numPr>
        <w:ind w:firstLine="454"/>
        <w:jc w:val="both"/>
        <w:rPr>
          <w:rFonts w:cs="Times New Roman"/>
          <w:szCs w:val="24"/>
        </w:rPr>
      </w:pPr>
      <w:r>
        <w:rPr>
          <w:rFonts w:eastAsia="Times New Roman" w:cs="Times New Roman"/>
          <w:szCs w:val="24"/>
        </w:rPr>
        <w:t>OSCC compared with clinical controls;</w:t>
      </w:r>
    </w:p>
    <w:p w14:paraId="77AA5529" w14:textId="77777777" w:rsidR="00F50DC5" w:rsidRDefault="00000000">
      <w:pPr>
        <w:numPr>
          <w:ilvl w:val="0"/>
          <w:numId w:val="14"/>
        </w:numPr>
        <w:ind w:firstLine="454"/>
        <w:jc w:val="both"/>
        <w:rPr>
          <w:rFonts w:cs="Times New Roman"/>
          <w:szCs w:val="24"/>
        </w:rPr>
      </w:pPr>
      <w:r>
        <w:rPr>
          <w:rFonts w:eastAsia="Times New Roman" w:cs="Times New Roman"/>
          <w:szCs w:val="24"/>
        </w:rPr>
        <w:t>a single microRNA compared with a panel of multiple microRNAs;</w:t>
      </w:r>
    </w:p>
    <w:p w14:paraId="5C91F191" w14:textId="77777777" w:rsidR="00F50DC5" w:rsidRDefault="00000000">
      <w:pPr>
        <w:numPr>
          <w:ilvl w:val="0"/>
          <w:numId w:val="14"/>
        </w:numPr>
        <w:ind w:firstLine="454"/>
        <w:jc w:val="both"/>
        <w:rPr>
          <w:rFonts w:cs="Times New Roman"/>
          <w:szCs w:val="24"/>
        </w:rPr>
      </w:pPr>
      <w:r>
        <w:rPr>
          <w:rFonts w:eastAsia="Times New Roman" w:cs="Times New Roman"/>
          <w:szCs w:val="24"/>
        </w:rPr>
        <w:t>whole saliva or saliva supernatant compared with salivary exosomes;</w:t>
      </w:r>
    </w:p>
    <w:p w14:paraId="65ED2243" w14:textId="77777777" w:rsidR="00F50DC5" w:rsidRDefault="00000000">
      <w:pPr>
        <w:numPr>
          <w:ilvl w:val="0"/>
          <w:numId w:val="14"/>
        </w:numPr>
        <w:ind w:firstLine="454"/>
        <w:jc w:val="both"/>
        <w:rPr>
          <w:rFonts w:cs="Times New Roman"/>
          <w:szCs w:val="24"/>
        </w:rPr>
      </w:pPr>
      <w:r>
        <w:rPr>
          <w:rFonts w:eastAsia="Times New Roman" w:cs="Times New Roman"/>
          <w:szCs w:val="24"/>
        </w:rPr>
        <w:t>RT-qPCR compared with microarray or sequencing; and</w:t>
      </w:r>
    </w:p>
    <w:p w14:paraId="55485555" w14:textId="77777777" w:rsidR="00F50DC5" w:rsidRDefault="00000000">
      <w:pPr>
        <w:numPr>
          <w:ilvl w:val="0"/>
          <w:numId w:val="14"/>
        </w:numPr>
        <w:ind w:firstLine="454"/>
        <w:jc w:val="both"/>
        <w:rPr>
          <w:rFonts w:cs="Times New Roman"/>
          <w:szCs w:val="24"/>
        </w:rPr>
      </w:pPr>
      <w:r>
        <w:rPr>
          <w:rFonts w:eastAsia="Times New Roman" w:cs="Times New Roman"/>
          <w:szCs w:val="24"/>
        </w:rPr>
        <w:t>derivation cohorts compared with validation cohorts.</w:t>
      </w:r>
    </w:p>
    <w:p w14:paraId="52FE746C"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Eligibility Criteria</w:t>
      </w:r>
    </w:p>
    <w:p w14:paraId="06C52536" w14:textId="77777777" w:rsidR="00F50DC5" w:rsidRDefault="00000000">
      <w:pPr>
        <w:ind w:firstLine="454"/>
        <w:jc w:val="both"/>
        <w:rPr>
          <w:rFonts w:cs="Times New Roman"/>
          <w:szCs w:val="24"/>
        </w:rPr>
      </w:pPr>
      <w:r>
        <w:rPr>
          <w:rFonts w:eastAsia="Times New Roman" w:cs="Times New Roman"/>
          <w:szCs w:val="24"/>
        </w:rPr>
        <w:t>Eligibility criteria were used to determine which articles could be included in the systematic review, quantitative synthesis, or narrative synthesis. Searches were conducted from database inception through July 2026, without language restrictions at the search stage. Articles published in languages other than English were still assessed when their titles or abstracts indicated potential relevance to the research question.</w:t>
      </w:r>
      <w:r>
        <w:rPr>
          <w:rFonts w:eastAsia="Times New Roman" w:cs="Times New Roman"/>
        </w:rPr>
        <w:t xml:space="preserve"> Detailed inclusion and exclusion criteria are presented in Table 2.</w:t>
      </w:r>
    </w:p>
    <w:p w14:paraId="54313127"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Article Search Strategy</w:t>
      </w:r>
    </w:p>
    <w:p w14:paraId="7E378945" w14:textId="77777777" w:rsidR="00F50DC5" w:rsidRDefault="00000000">
      <w:pPr>
        <w:ind w:firstLine="454"/>
        <w:jc w:val="both"/>
        <w:rPr>
          <w:rFonts w:cs="Times New Roman"/>
          <w:szCs w:val="24"/>
          <w:lang w:val="en-ID"/>
        </w:rPr>
      </w:pPr>
      <w:r>
        <w:rPr>
          <w:rFonts w:eastAsia="Times New Roman" w:cs="Times New Roman"/>
          <w:szCs w:val="24"/>
          <w:lang w:val="en-ID"/>
        </w:rPr>
        <w:t xml:space="preserve">Searches were conducted in PubMed, Scopus, ScienceDirect, and Google Scholar from database inception through July 2026. Additional searches were performed through the reference lists of eligible articles, searches for articles citing the primary studies, publisher websites, PubMed Central, ClinicalTrials.gov, the WHO International Clinical Trials Registry Platform, </w:t>
      </w:r>
      <w:proofErr w:type="spellStart"/>
      <w:r>
        <w:rPr>
          <w:rFonts w:eastAsia="Times New Roman" w:cs="Times New Roman"/>
          <w:szCs w:val="24"/>
          <w:lang w:val="en-ID"/>
        </w:rPr>
        <w:t>medRxiv</w:t>
      </w:r>
      <w:proofErr w:type="spellEnd"/>
      <w:r>
        <w:rPr>
          <w:rFonts w:eastAsia="Times New Roman" w:cs="Times New Roman"/>
          <w:szCs w:val="24"/>
          <w:lang w:val="en-ID"/>
        </w:rPr>
        <w:t>, and the Open Science Framework. These additional sources were used to identify missed articles, related reports, protocols, unpublished research, and potential cohort overlap.</w:t>
      </w:r>
    </w:p>
    <w:p w14:paraId="339A0FAF" w14:textId="77777777" w:rsidR="00F50DC5" w:rsidRDefault="00000000">
      <w:pPr>
        <w:ind w:firstLine="454"/>
        <w:jc w:val="both"/>
        <w:rPr>
          <w:rFonts w:cs="Times New Roman"/>
          <w:szCs w:val="24"/>
          <w:lang w:val="en-ID"/>
        </w:rPr>
      </w:pPr>
      <w:r>
        <w:rPr>
          <w:rFonts w:eastAsia="Times New Roman" w:cs="Times New Roman"/>
          <w:szCs w:val="24"/>
          <w:lang w:val="en-ID"/>
        </w:rPr>
        <w:lastRenderedPageBreak/>
        <w:t xml:space="preserve">Embase was not searched because neither the review team nor the affiliated institution had subscription access during the review period, and database access could not be obtained within the available project resources. Web of Science Core Collection and the Cochrane Library/CENTRAL were also not included in the prespecified database set. To reduce the possibility of missed records, the database search was supplemented by Google Scholar, backward and forward citation tracking, publisher websites, PubMed Central, trial registries, </w:t>
      </w:r>
      <w:proofErr w:type="spellStart"/>
      <w:r>
        <w:rPr>
          <w:rFonts w:eastAsia="Times New Roman" w:cs="Times New Roman"/>
          <w:szCs w:val="24"/>
          <w:lang w:val="en-ID"/>
        </w:rPr>
        <w:t>medRxiv</w:t>
      </w:r>
      <w:proofErr w:type="spellEnd"/>
      <w:r>
        <w:rPr>
          <w:rFonts w:eastAsia="Times New Roman" w:cs="Times New Roman"/>
          <w:szCs w:val="24"/>
          <w:lang w:val="en-ID"/>
        </w:rPr>
        <w:t>, and the Open Science Framework. These supplementary approaches are not equivalent substitutes for dedicated searches of Embase, Web of Science, or CENTRAL; therefore, residual risk of missed eligible studies remains.</w:t>
      </w:r>
    </w:p>
    <w:p w14:paraId="38586A8A" w14:textId="77777777" w:rsidR="00F50DC5" w:rsidRDefault="00000000">
      <w:pPr>
        <w:ind w:firstLine="454"/>
        <w:jc w:val="both"/>
        <w:rPr>
          <w:rFonts w:cs="Times New Roman"/>
          <w:szCs w:val="24"/>
          <w:lang w:val="en-ID"/>
        </w:rPr>
      </w:pPr>
      <w:r>
        <w:rPr>
          <w:rFonts w:eastAsia="Times New Roman" w:cs="Times New Roman"/>
        </w:rPr>
        <w:t>The search strategy did not require the terms sensitivity, specificity, AUC, or diagnostic accuracy because overly restrictive diagnostic filters may result in relevant studies being missed. The main search components consisted of terms relating to OSCC, saliva, and microRNA. Database-specific search strings and the available search-log information are provided in Supplementary Table S1.</w:t>
      </w:r>
    </w:p>
    <w:p w14:paraId="32FC124A" w14:textId="77777777" w:rsidR="00F50DC5" w:rsidRDefault="00000000">
      <w:pPr>
        <w:jc w:val="both"/>
        <w:rPr>
          <w:rFonts w:cs="Times New Roman"/>
          <w:szCs w:val="24"/>
        </w:rPr>
      </w:pPr>
      <w:r>
        <w:rPr>
          <w:rFonts w:eastAsia="Times New Roman" w:cs="Times New Roman"/>
          <w:szCs w:val="24"/>
        </w:rPr>
        <w:t>Bidirectional citation searching was performed. Backward citation tracking involved examining the reference lists of all eligible articles and previous systematic reviews. Forward citation tracking was conducted by identifying articles that cited the primary studies. When a diagnostic report did not provide the required information, the corresponding author could be contacted to request a cross-tabulation or information regarding the validation group.</w:t>
      </w:r>
    </w:p>
    <w:p w14:paraId="0B5678C7"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Article Selection</w:t>
      </w:r>
    </w:p>
    <w:p w14:paraId="0F64203F" w14:textId="77777777" w:rsidR="00F50DC5" w:rsidRDefault="00000000">
      <w:pPr>
        <w:ind w:firstLine="454"/>
        <w:jc w:val="both"/>
        <w:rPr>
          <w:rFonts w:cs="Times New Roman"/>
          <w:szCs w:val="24"/>
          <w:lang w:val="en-ID"/>
        </w:rPr>
      </w:pPr>
      <w:r>
        <w:rPr>
          <w:rFonts w:eastAsia="Times New Roman" w:cs="Times New Roman"/>
          <w:szCs w:val="24"/>
          <w:lang w:val="en-ID"/>
        </w:rPr>
        <w:t xml:space="preserve">All search results were exported to reference-management software. Duplicate articles were identified based on DOI, PMID, title, author names, publication year, journal, volume, and page numbers. After automated duplicate removal, a manual examination was conducted to identify differences in title formatting, online-first and print versions, and multiple reports derived from the same cohort. Publications originating from similar cohorts were not </w:t>
      </w:r>
      <w:r>
        <w:rPr>
          <w:rFonts w:eastAsia="Times New Roman" w:cs="Times New Roman"/>
          <w:szCs w:val="24"/>
          <w:lang w:val="en-ID"/>
        </w:rPr>
        <w:lastRenderedPageBreak/>
        <w:t>automatically classified as duplicates when they evaluated different candidate microRNAs. However, their relationships were documented to prevent participants from being counted more than once in the primary analysis.</w:t>
      </w:r>
    </w:p>
    <w:p w14:paraId="0F35BBF9" w14:textId="77777777" w:rsidR="00F50DC5" w:rsidRDefault="00000000">
      <w:pPr>
        <w:ind w:firstLine="454"/>
        <w:jc w:val="both"/>
        <w:rPr>
          <w:rFonts w:cs="Times New Roman"/>
          <w:szCs w:val="24"/>
          <w:lang w:val="en-ID"/>
        </w:rPr>
      </w:pPr>
      <w:r>
        <w:rPr>
          <w:rFonts w:eastAsia="Times New Roman" w:cs="Times New Roman"/>
        </w:rPr>
        <w:t>Article selection was performed independently by two reviewers through title and abstract screening, followed by full-text assessment. Disagreements were resolved through consensus or consultation with a third reviewer. Full-text articles were assigned one primary reason for exclusion, including an ineligible population, non-saliva test material, an index test other than microRNA, absence of a comparator group, an inappropriate reference standard, failure to report diagnostic outcomes, inability to separate OSCC data, secondary publication, duplicate cohort without additional information, or unavailability of the full report. Aggregate full-text exclusion categories and counts are provided in Supplementary Table S2. The numbers of records at each stage were aligned with the search log and reported consistently in the Abstract, Methods, Results, and PRISMA flow diagram.</w:t>
      </w:r>
    </w:p>
    <w:p w14:paraId="1B7903F2"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Data Extraction</w:t>
      </w:r>
    </w:p>
    <w:p w14:paraId="0C990F24" w14:textId="77777777" w:rsidR="00F50DC5" w:rsidRDefault="00000000">
      <w:pPr>
        <w:ind w:firstLine="454"/>
        <w:jc w:val="both"/>
        <w:rPr>
          <w:rFonts w:cs="Times New Roman"/>
          <w:szCs w:val="24"/>
          <w:lang w:val="en-ID"/>
        </w:rPr>
      </w:pPr>
      <w:r>
        <w:rPr>
          <w:rFonts w:eastAsia="Times New Roman" w:cs="Times New Roman"/>
          <w:szCs w:val="24"/>
          <w:lang w:val="en-ID"/>
        </w:rPr>
        <w:t xml:space="preserve">Data were independently extracted by two reviewers using a previously piloted structured extraction form. The extracted data were compared, and any discrepancies were resolved through consensus or consultation with a third reviewer when agreement could not be reached. The extracted information included: (1) study identification and location; (2) study design, recruitment method, and recruitment period; (3) number and characteristics of patients with OSCC and comparator participants; (4) control type, diagnostic criteria, disease stage, and treatment status; (5) type and fraction of saliva, collection conditions, storage, and processing; (6) RNA extraction method, analytical platform, and normalization procedure; (7) candidate microRNAs or microRNA panels and diagnostic thresholds;(8) derivation or validation cohort status; (9) AUC, confidence interval, sensitivity, specificity, TP, FN, FP, TN, LR+, and LR−; (10) source and method used to obtain the 2 × 2 table; and (11) potential participant overlap. </w:t>
      </w:r>
      <w:r>
        <w:rPr>
          <w:rFonts w:eastAsia="Times New Roman" w:cs="Times New Roman"/>
          <w:szCs w:val="24"/>
          <w:lang w:val="en-ID"/>
        </w:rPr>
        <w:lastRenderedPageBreak/>
        <w:t>Results involving healthy controls and clinical controls were extracted as separate estimates and were not combined.</w:t>
      </w:r>
    </w:p>
    <w:p w14:paraId="66E6A2B4" w14:textId="77777777" w:rsidR="00F50DC5" w:rsidRDefault="00000000">
      <w:pPr>
        <w:ind w:firstLine="454"/>
        <w:jc w:val="both"/>
        <w:rPr>
          <w:rFonts w:cs="Times New Roman"/>
          <w:szCs w:val="24"/>
        </w:rPr>
      </w:pPr>
      <w:r>
        <w:rPr>
          <w:rFonts w:eastAsia="Times New Roman" w:cs="Times New Roman"/>
          <w:szCs w:val="24"/>
        </w:rPr>
        <w:t>TP, FN, FP, and TN values were used directly when reported in the article or supplementary materials. When these values were not presented, a 2 × 2 table was reconstructed only from the number of patients with OSCC, the number of comparator participants, sensitivity, and specificity at the reported threshold. The table was reconstructed by identifying all possible integer values that satisfied the following equations:</w:t>
      </w:r>
    </w:p>
    <w:p w14:paraId="38FCD04C" w14:textId="77777777" w:rsidR="00F50DC5" w:rsidRDefault="00000000">
      <w:pPr>
        <w:jc w:val="both"/>
        <w:rPr>
          <w:rFonts w:eastAsiaTheme="minorEastAsia" w:cs="Times New Roman"/>
          <w:szCs w:val="24"/>
        </w:rPr>
      </w:pPr>
      <m:oMathPara>
        <m:oMath>
          <m:r>
            <w:rPr>
              <w:rFonts w:ascii="Cambria Math" w:hAnsi="Cambria Math" w:cs="Times New Roman"/>
              <w:szCs w:val="24"/>
            </w:rPr>
            <m:t>Sensitivity=</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p w14:paraId="55CFC594" w14:textId="77777777" w:rsidR="00F50DC5" w:rsidRDefault="00000000">
      <w:pPr>
        <w:jc w:val="both"/>
        <w:rPr>
          <w:rFonts w:eastAsiaTheme="minorEastAsia" w:cs="Times New Roman"/>
          <w:szCs w:val="24"/>
        </w:rPr>
      </w:pPr>
      <m:oMathPara>
        <m:oMath>
          <m:r>
            <w:rPr>
              <w:rFonts w:ascii="Cambria Math" w:hAnsi="Cambria Math" w:cs="Times New Roman"/>
              <w:szCs w:val="24"/>
            </w:rPr>
            <m:t>Specifity=</m:t>
          </m:r>
          <m:f>
            <m:fPr>
              <m:ctrlPr>
                <w:rPr>
                  <w:rFonts w:ascii="Cambria Math" w:hAnsi="Cambria Math" w:cs="Times New Roman"/>
                  <w:i/>
                  <w:szCs w:val="24"/>
                </w:rPr>
              </m:ctrlPr>
            </m:fPr>
            <m:num>
              <m:r>
                <w:rPr>
                  <w:rFonts w:ascii="Cambria Math" w:hAnsi="Cambria Math" w:cs="Times New Roman"/>
                  <w:szCs w:val="24"/>
                </w:rPr>
                <m:t>TN</m:t>
              </m:r>
            </m:num>
            <m:den>
              <m:r>
                <w:rPr>
                  <w:rFonts w:ascii="Cambria Math" w:hAnsi="Cambria Math" w:cs="Times New Roman"/>
                  <w:szCs w:val="24"/>
                </w:rPr>
                <m:t>TN+FP</m:t>
              </m:r>
            </m:den>
          </m:f>
        </m:oMath>
      </m:oMathPara>
    </w:p>
    <w:p w14:paraId="1EDBB408" w14:textId="77777777" w:rsidR="00F50DC5" w:rsidRDefault="00000000">
      <w:pPr>
        <w:ind w:firstLine="454"/>
        <w:jc w:val="both"/>
        <w:rPr>
          <w:rFonts w:cs="Times New Roman"/>
          <w:szCs w:val="24"/>
          <w:lang w:val="en-ID"/>
        </w:rPr>
      </w:pPr>
      <w:r>
        <w:rPr>
          <w:rFonts w:eastAsia="Times New Roman" w:cs="Times New Roman"/>
          <w:szCs w:val="24"/>
          <w:lang w:val="en-ID"/>
        </w:rPr>
        <w:t>Every possible TP and TN value was matched against the number of patients, number of comparator participants, and the number of decimal places used to report sensitivity and specificity. A reconstructed 2 × 2 table was accepted when only one integer combination produced, after rounding, the same sensitivity and specificity as those reported in the article. When more than one combination was possible, the denominator was uncertain, or the results were inconsistent with the sample size, the study was not included in the quantitative synthesis. A 2 × 2 table was not reconstructed solely from the AUC, overall accuracy, Youden index, positive predictive value, negative predictive value, correlation, fold-change value, or a statement that a biomarker demonstrated very high performance. An AUC approaching 1.00 was also not interpreted as indicating perfect TP and TN values in the absence of a cross-tabulation or supporting participant-classification data.</w:t>
      </w:r>
    </w:p>
    <w:p w14:paraId="6D9654A5" w14:textId="77777777" w:rsidR="00F50DC5" w:rsidRDefault="00000000">
      <w:pPr>
        <w:ind w:firstLine="454"/>
        <w:jc w:val="both"/>
        <w:rPr>
          <w:rFonts w:cs="Times New Roman"/>
          <w:szCs w:val="24"/>
          <w:lang w:val="en-ID"/>
        </w:rPr>
      </w:pPr>
      <w:r>
        <w:rPr>
          <w:rFonts w:eastAsia="Times New Roman" w:cs="Times New Roman"/>
        </w:rPr>
        <w:t>Each reconstructed table was independently verified by two reviewers. The TP, FN, FP, TN, sensitivity, specificity, and effect-size values used in the quantitative synthesis are reported in Table 4. Study-level 2 × 2 diagnostic data and the direct-versus-reconstructed data status are additionally summarized in Supplementary Table S3.</w:t>
      </w:r>
    </w:p>
    <w:p w14:paraId="3B3A318E"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lastRenderedPageBreak/>
        <w:t>Selection of Diagnostic Results</w:t>
      </w:r>
    </w:p>
    <w:p w14:paraId="428BF8EA" w14:textId="77777777" w:rsidR="00F50DC5" w:rsidRDefault="00000000">
      <w:pPr>
        <w:ind w:firstLine="454"/>
        <w:jc w:val="both"/>
        <w:rPr>
          <w:rFonts w:cs="Times New Roman"/>
          <w:szCs w:val="24"/>
          <w:lang w:val="en-ID"/>
        </w:rPr>
      </w:pPr>
      <w:r>
        <w:rPr>
          <w:rFonts w:eastAsia="Times New Roman" w:cs="Times New Roman"/>
          <w:szCs w:val="24"/>
          <w:lang w:val="en-ID"/>
        </w:rPr>
        <w:t>Each participant group contributed only one independent estimate to each synthesis question. When an article reported multiple candidates, panels, threshold values, or models, the selected result prioritized an external validation cohort, independent validation, internal validation, or the primary model prespecified in the study objectives and methods. Result selection was not based solely on the highest AUC, sensitivity, specificity, or Youden index. When the primary result could not be objectively identified, the article was included in the narrative synthesis. Derivation and validation cohorts were not combined, and the primary analysis prioritized validation cohorts.</w:t>
      </w:r>
    </w:p>
    <w:p w14:paraId="0ED90B2B" w14:textId="77777777" w:rsidR="00F50DC5" w:rsidRDefault="00000000">
      <w:pPr>
        <w:ind w:firstLine="454"/>
        <w:jc w:val="both"/>
        <w:rPr>
          <w:rFonts w:cs="Times New Roman"/>
          <w:szCs w:val="24"/>
        </w:rPr>
      </w:pPr>
      <w:r>
        <w:rPr>
          <w:rFonts w:eastAsia="Times New Roman" w:cs="Times New Roman"/>
          <w:szCs w:val="24"/>
        </w:rPr>
        <w:t>Potential participant overlap was assessed according to similarities in the authors, research location, recruitment period, sample size, clinical characteristics, saliva collection methods, and cohort identity. When overlap could not be ruled out, only one report was included in the primary analysis. For Mehterov et al. and Romani et al.,</w:t>
      </w:r>
      <w:r>
        <w:rPr>
          <w:rFonts w:eastAsia="Times New Roman" w:cs="Times New Roman"/>
          <w:noProof/>
          <w:szCs w:val="24"/>
          <w:vertAlign w:val="superscript"/>
        </w:rPr>
        <w:t>8,9</w:t>
      </w:r>
      <w:r>
        <w:rPr>
          <w:rFonts w:eastAsia="Times New Roman" w:cs="Times New Roman"/>
          <w:szCs w:val="24"/>
        </w:rPr>
        <w:t xml:space="preserve"> the report containing validation estimates and a more certain 2 × 2 table was selected for the primary analysis, while the other report was included in the narrative synthesis and sensitivity analysis.</w:t>
      </w:r>
    </w:p>
    <w:p w14:paraId="378E2226"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Risk of Bias and Applicability Assessment</w:t>
      </w:r>
    </w:p>
    <w:p w14:paraId="62C0E81D" w14:textId="13904F28" w:rsidR="00F50DC5" w:rsidRDefault="00000000">
      <w:pPr>
        <w:ind w:firstLine="454"/>
        <w:jc w:val="both"/>
        <w:rPr>
          <w:rFonts w:cs="Times New Roman"/>
          <w:szCs w:val="24"/>
          <w:lang w:val="en-ID"/>
        </w:rPr>
      </w:pPr>
      <w:r>
        <w:rPr>
          <w:rFonts w:eastAsia="Times New Roman" w:cs="Times New Roman"/>
          <w:szCs w:val="24"/>
          <w:lang w:val="en-ID"/>
        </w:rPr>
        <w:t xml:space="preserve">The risk of bias and applicability concerns were assessed using QUADAS-3 for each diagnostic estimate across four principal domains: participants, index test, target condition, and analysis. An ideal study was considered one that: recruited participants consecutively or randomly; avoided an extreme case–control design; prespecified candidate biomarkers and threshold values before validation; implemented blinding between the index test and histopathological assessment; applied the same reference standard to all participants; included all participants in the analysis; adequately described missing data; used an independent validation cohort; and reported verifiable diagnostic data. Assessments were performed independently by two reviewers, and disagreements were resolved through consensus or consultation with a third reviewer. Studies judged to have a high risk of bias remained in the </w:t>
      </w:r>
      <w:r>
        <w:rPr>
          <w:rFonts w:eastAsia="Times New Roman" w:cs="Times New Roman"/>
          <w:szCs w:val="24"/>
          <w:lang w:val="en-ID"/>
        </w:rPr>
        <w:lastRenderedPageBreak/>
        <w:t>primary analysis, but their influence was examined through sensitivity analy</w:t>
      </w:r>
      <w:r w:rsidR="007D6BCA">
        <w:rPr>
          <w:rFonts w:eastAsia="Times New Roman" w:cs="Times New Roman"/>
          <w:szCs w:val="24"/>
          <w:lang w:val="en-ID"/>
        </w:rPr>
        <w:t>s</w:t>
      </w:r>
      <w:r>
        <w:rPr>
          <w:rFonts w:eastAsia="Times New Roman" w:cs="Times New Roman"/>
          <w:szCs w:val="24"/>
          <w:lang w:val="en-ID"/>
        </w:rPr>
        <w:t>es. The certainty of evidence was subsequently assessed using GRADE separately for comparisons between OSCC and healthy controls and between OSCC and clinical controls. The assessment considered risk of bias, indirectness, inconsistency, imprecision, and potential publication bias. The use of healthy controls in case–control designs, predominance of patients with advanced-stage disease, small numbers of studies, wide confidence intervals, and variations in threshold values were considered factors that could reduce the certainty and applicability of the evidence. QUADAS-3 was retained as the formally published 2026 revision of QUADAS-2.</w:t>
      </w:r>
    </w:p>
    <w:p w14:paraId="1D959859"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Assessment of the Certainty of Evidence</w:t>
      </w:r>
    </w:p>
    <w:p w14:paraId="0F0252D2" w14:textId="77777777" w:rsidR="00F50DC5" w:rsidRDefault="00000000">
      <w:pPr>
        <w:ind w:firstLine="454"/>
        <w:jc w:val="both"/>
        <w:rPr>
          <w:rFonts w:cs="Times New Roman"/>
          <w:szCs w:val="24"/>
          <w:lang w:val="en-ID"/>
        </w:rPr>
      </w:pPr>
      <w:r>
        <w:t>The certainty of evidence was assessed using the GRADE approach for diagnostic accuracy studies. Separate assessments were performed for comparisons between OSCC and healthy controls and comparisons between OSCC and clinical controls. The domains considered were risk of bias, indirectness, inconsistency, imprecision, and potential publication bias. The overall certainty rating was summarized narratively in the Results and Discussion. GRADE provides a systematic approach for assessing confidence in a body of evidence, including evidence concerning comparative test accuracy.</w:t>
      </w:r>
    </w:p>
    <w:p w14:paraId="672FF683" w14:textId="77777777" w:rsidR="00F50DC5" w:rsidRDefault="00000000">
      <w:pPr>
        <w:ind w:firstLine="454"/>
        <w:jc w:val="both"/>
        <w:rPr>
          <w:rFonts w:cs="Times New Roman"/>
          <w:szCs w:val="24"/>
          <w:lang w:val="en-ID"/>
        </w:rPr>
      </w:pPr>
      <w:r>
        <w:rPr>
          <w:rFonts w:eastAsia="Times New Roman" w:cs="Times New Roman"/>
          <w:szCs w:val="24"/>
          <w:lang w:val="en-ID"/>
        </w:rPr>
        <w:t>The use of healthy controls in case–control designs was specifically evaluated within the indirectness and spectrum-bias domains. Studies predominantly involving patients with advanced-stage OSCC were not considered directly representative of the test’s ability to detect stage I–II OSCC or to distinguish OSCC from clinically suspicious oral lesions. A small number of studies, wide confidence intervals, and variations in threshold values were considered within the imprecision and inconsistency domains.</w:t>
      </w:r>
    </w:p>
    <w:p w14:paraId="3610F095"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Data Analysis</w:t>
      </w:r>
    </w:p>
    <w:p w14:paraId="42EA5AAC" w14:textId="0D919EAA" w:rsidR="00F50DC5" w:rsidRDefault="00000000">
      <w:pPr>
        <w:ind w:firstLine="454"/>
        <w:jc w:val="both"/>
        <w:rPr>
          <w:rFonts w:cs="Times New Roman"/>
          <w:szCs w:val="24"/>
          <w:lang w:val="en-ID"/>
        </w:rPr>
      </w:pPr>
      <w:r>
        <w:rPr>
          <w:rFonts w:eastAsia="Times New Roman" w:cs="Times New Roman"/>
          <w:szCs w:val="24"/>
          <w:lang w:val="en-ID"/>
        </w:rPr>
        <w:t>Quantitative analy</w:t>
      </w:r>
      <w:r w:rsidR="007D6BCA">
        <w:rPr>
          <w:rFonts w:eastAsia="Times New Roman" w:cs="Times New Roman"/>
          <w:szCs w:val="24"/>
          <w:lang w:val="en-ID"/>
        </w:rPr>
        <w:t>s</w:t>
      </w:r>
      <w:r>
        <w:rPr>
          <w:rFonts w:eastAsia="Times New Roman" w:cs="Times New Roman"/>
          <w:szCs w:val="24"/>
          <w:lang w:val="en-ID"/>
        </w:rPr>
        <w:t xml:space="preserve">es were conducted using JASP. The input data consisted of the study identifier, TP, FN, FP, TN, control type, biomarker format, saliva fraction, testing platform, </w:t>
      </w:r>
      <w:r>
        <w:rPr>
          <w:rFonts w:eastAsia="Times New Roman" w:cs="Times New Roman"/>
          <w:szCs w:val="24"/>
          <w:lang w:val="en-ID"/>
        </w:rPr>
        <w:lastRenderedPageBreak/>
        <w:t xml:space="preserve">derivation or validation status, </w:t>
      </w:r>
      <w:proofErr w:type="spellStart"/>
      <w:r>
        <w:rPr>
          <w:rFonts w:eastAsia="Times New Roman" w:cs="Times New Roman"/>
          <w:szCs w:val="24"/>
          <w:lang w:val="en-ID"/>
        </w:rPr>
        <w:t>logDOR</w:t>
      </w:r>
      <w:proofErr w:type="spellEnd"/>
      <w:r>
        <w:rPr>
          <w:rFonts w:eastAsia="Times New Roman" w:cs="Times New Roman"/>
          <w:szCs w:val="24"/>
          <w:lang w:val="en-ID"/>
        </w:rPr>
        <w:t xml:space="preserve">, and the standard error of the </w:t>
      </w:r>
      <w:proofErr w:type="spellStart"/>
      <w:r>
        <w:rPr>
          <w:rFonts w:eastAsia="Times New Roman" w:cs="Times New Roman"/>
          <w:szCs w:val="24"/>
          <w:lang w:val="en-ID"/>
        </w:rPr>
        <w:t>logDOR</w:t>
      </w:r>
      <w:proofErr w:type="spellEnd"/>
      <w:r>
        <w:rPr>
          <w:rFonts w:eastAsia="Times New Roman" w:cs="Times New Roman"/>
          <w:szCs w:val="24"/>
          <w:lang w:val="en-ID"/>
        </w:rPr>
        <w:t>. JASP accepts effect sizes and standard errors as analytical inputs and provides a random-effects model using the restricted maximum likelihood (REML) estimator.</w:t>
      </w:r>
    </w:p>
    <w:p w14:paraId="33A54A75" w14:textId="2BAECCB7" w:rsidR="00F50DC5" w:rsidRDefault="00000000">
      <w:pPr>
        <w:ind w:firstLine="454"/>
        <w:jc w:val="both"/>
        <w:rPr>
          <w:rFonts w:cs="Times New Roman"/>
          <w:szCs w:val="24"/>
          <w:lang w:val="en-ID"/>
        </w:rPr>
      </w:pPr>
      <w:r>
        <w:rPr>
          <w:rFonts w:eastAsia="Times New Roman" w:cs="Times New Roman"/>
          <w:szCs w:val="24"/>
          <w:lang w:val="en-ID"/>
        </w:rPr>
        <w:t>JASP was retained as the analysis platform so that the primary, subgroup, and sensitivity analy</w:t>
      </w:r>
      <w:r w:rsidR="007D6BCA">
        <w:rPr>
          <w:rFonts w:eastAsia="Times New Roman" w:cs="Times New Roman"/>
          <w:szCs w:val="24"/>
          <w:lang w:val="en-ID"/>
        </w:rPr>
        <w:t>s</w:t>
      </w:r>
      <w:r>
        <w:rPr>
          <w:rFonts w:eastAsia="Times New Roman" w:cs="Times New Roman"/>
          <w:szCs w:val="24"/>
          <w:lang w:val="en-ID"/>
        </w:rPr>
        <w:t>es could be conducted within one reproducible study-level effect-size workflow. In the JASP workflow used for this review, a diagnostic bivariate/HSROC model for jointly modeling sensitivity and specificity was not available. Consequently, sensitivity and specificity were pooled separately on the logit scale and the SROC analysis was treated as exploratory. This approach does not fully preserve the within-study correlation between sensitivity and specificity or explicitly model threshold effects, and no claim of equivalence to a hierarchical bivariate/HSROC diagnostic meta-analysis is made.</w:t>
      </w:r>
    </w:p>
    <w:p w14:paraId="67263967" w14:textId="77777777" w:rsidR="00F50DC5" w:rsidRDefault="00000000">
      <w:pPr>
        <w:ind w:firstLine="454"/>
        <w:jc w:val="both"/>
        <w:rPr>
          <w:rFonts w:cs="Times New Roman"/>
          <w:szCs w:val="24"/>
          <w:lang w:val="en-ID"/>
        </w:rPr>
      </w:pPr>
      <w:r>
        <w:rPr>
          <w:rFonts w:eastAsia="Times New Roman" w:cs="Times New Roman"/>
          <w:szCs w:val="24"/>
          <w:lang w:val="en-ID"/>
        </w:rPr>
        <w:t>The sensitivity and specificity of each study were calculated as follows:</w:t>
      </w:r>
    </w:p>
    <w:p w14:paraId="40750886" w14:textId="77777777" w:rsidR="00F50DC5" w:rsidRDefault="00000000">
      <w:pPr>
        <w:jc w:val="both"/>
        <w:rPr>
          <w:rFonts w:eastAsiaTheme="minorEastAsia" w:cs="Times New Roman"/>
          <w:szCs w:val="24"/>
        </w:rPr>
      </w:pPr>
      <m:oMathPara>
        <m:oMath>
          <m:r>
            <w:rPr>
              <w:rFonts w:ascii="Cambria Math" w:hAnsi="Cambria Math" w:cs="Times New Roman"/>
              <w:szCs w:val="24"/>
            </w:rPr>
            <m:t>Sensitivity=</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p w14:paraId="64D4C9EE" w14:textId="77777777" w:rsidR="00F50DC5" w:rsidRDefault="00000000">
      <w:pPr>
        <w:jc w:val="both"/>
        <w:rPr>
          <w:rFonts w:eastAsiaTheme="minorEastAsia" w:cs="Times New Roman"/>
          <w:szCs w:val="24"/>
        </w:rPr>
      </w:pPr>
      <m:oMathPara>
        <m:oMath>
          <m:r>
            <w:rPr>
              <w:rFonts w:ascii="Cambria Math" w:hAnsi="Cambria Math" w:cs="Times New Roman"/>
              <w:szCs w:val="24"/>
            </w:rPr>
            <m:t>Specifity=</m:t>
          </m:r>
          <m:f>
            <m:fPr>
              <m:ctrlPr>
                <w:rPr>
                  <w:rFonts w:ascii="Cambria Math" w:hAnsi="Cambria Math" w:cs="Times New Roman"/>
                  <w:i/>
                  <w:szCs w:val="24"/>
                </w:rPr>
              </m:ctrlPr>
            </m:fPr>
            <m:num>
              <m:r>
                <w:rPr>
                  <w:rFonts w:ascii="Cambria Math" w:hAnsi="Cambria Math" w:cs="Times New Roman"/>
                  <w:szCs w:val="24"/>
                </w:rPr>
                <m:t>TN</m:t>
              </m:r>
            </m:num>
            <m:den>
              <m:r>
                <w:rPr>
                  <w:rFonts w:ascii="Cambria Math" w:hAnsi="Cambria Math" w:cs="Times New Roman"/>
                  <w:szCs w:val="24"/>
                </w:rPr>
                <m:t>TN+FP</m:t>
              </m:r>
            </m:den>
          </m:f>
        </m:oMath>
      </m:oMathPara>
    </w:p>
    <w:p w14:paraId="525393B7" w14:textId="77777777" w:rsidR="00F50DC5" w:rsidRDefault="00000000">
      <w:pPr>
        <w:ind w:firstLine="454"/>
        <w:jc w:val="both"/>
        <w:rPr>
          <w:rFonts w:cs="Times New Roman"/>
          <w:szCs w:val="24"/>
        </w:rPr>
      </w:pPr>
      <w:r>
        <w:rPr>
          <w:rFonts w:eastAsia="Times New Roman" w:cs="Times New Roman"/>
          <w:szCs w:val="24"/>
        </w:rPr>
        <w:t>The positive likelihood ratio and negative likelihood ratio were calculated using:</w:t>
      </w:r>
    </w:p>
    <w:p w14:paraId="6B56AEAA" w14:textId="77777777" w:rsidR="00F50DC5" w:rsidRDefault="00000000">
      <w:pPr>
        <w:ind w:firstLine="454"/>
        <w:jc w:val="center"/>
        <w:rPr>
          <w:rFonts w:eastAsiaTheme="minorEastAsia" w:cs="Times New Roman"/>
          <w:szCs w:val="24"/>
        </w:rPr>
      </w:pPr>
      <w:r>
        <w:rPr>
          <w:rFonts w:eastAsia="Times New Roman" w:cs="Times New Roman"/>
          <w:i/>
        </w:rPr>
        <w:t>LR+ = Sensitivity / (1 − Specificity)</w:t>
      </w:r>
    </w:p>
    <w:p w14:paraId="7777B221" w14:textId="77777777" w:rsidR="00F50DC5" w:rsidRDefault="00000000">
      <w:pPr>
        <w:ind w:firstLine="454"/>
        <w:jc w:val="center"/>
        <w:rPr>
          <w:rFonts w:eastAsiaTheme="minorEastAsia" w:cs="Times New Roman"/>
          <w:szCs w:val="24"/>
        </w:rPr>
      </w:pPr>
      <w:r>
        <w:rPr>
          <w:rFonts w:eastAsia="Times New Roman" w:cs="Times New Roman"/>
          <w:i/>
        </w:rPr>
        <w:t>LR− = (1 − Sensitivity) / Specificity</w:t>
      </w:r>
    </w:p>
    <w:p w14:paraId="45F99E4A" w14:textId="77777777" w:rsidR="00F50DC5" w:rsidRDefault="00000000">
      <w:pPr>
        <w:ind w:firstLine="454"/>
        <w:jc w:val="both"/>
        <w:rPr>
          <w:rFonts w:cs="Times New Roman"/>
          <w:szCs w:val="24"/>
        </w:rPr>
      </w:pPr>
      <w:r>
        <w:rPr>
          <w:rFonts w:eastAsia="Times New Roman" w:cs="Times New Roman"/>
          <w:szCs w:val="24"/>
        </w:rPr>
        <w:t>The DOR was calculated using:</w:t>
      </w:r>
    </w:p>
    <w:p w14:paraId="143A51EE" w14:textId="77777777" w:rsidR="00F50DC5" w:rsidRDefault="00000000">
      <w:pPr>
        <w:jc w:val="both"/>
        <w:rPr>
          <w:rFonts w:eastAsiaTheme="minorEastAsia" w:cs="Times New Roman"/>
          <w:szCs w:val="24"/>
        </w:rPr>
      </w:pPr>
      <m:oMathPara>
        <m:oMath>
          <m:r>
            <w:rPr>
              <w:rFonts w:ascii="Cambria Math" w:hAnsi="Cambria Math" w:cs="Times New Roman"/>
              <w:szCs w:val="24"/>
            </w:rPr>
            <m:t>DOR=</m:t>
          </m:r>
          <m:f>
            <m:fPr>
              <m:ctrlPr>
                <w:rPr>
                  <w:rFonts w:ascii="Cambria Math" w:hAnsi="Cambria Math" w:cs="Times New Roman"/>
                  <w:i/>
                  <w:szCs w:val="24"/>
                </w:rPr>
              </m:ctrlPr>
            </m:fPr>
            <m:num>
              <m:r>
                <w:rPr>
                  <w:rFonts w:ascii="Cambria Math" w:hAnsi="Cambria Math" w:cs="Times New Roman"/>
                  <w:szCs w:val="24"/>
                </w:rPr>
                <m:t>TP×TN</m:t>
              </m:r>
            </m:num>
            <m:den>
              <m:r>
                <w:rPr>
                  <w:rFonts w:ascii="Cambria Math" w:hAnsi="Cambria Math" w:cs="Times New Roman"/>
                  <w:szCs w:val="24"/>
                </w:rPr>
                <m:t>FP×FN</m:t>
              </m:r>
            </m:den>
          </m:f>
        </m:oMath>
      </m:oMathPara>
    </w:p>
    <w:p w14:paraId="1C65D129" w14:textId="77777777" w:rsidR="00F50DC5" w:rsidRDefault="00000000">
      <w:pPr>
        <w:ind w:firstLine="454"/>
        <w:jc w:val="both"/>
        <w:rPr>
          <w:rFonts w:cs="Times New Roman"/>
          <w:szCs w:val="24"/>
        </w:rPr>
      </w:pPr>
      <w:r>
        <w:rPr>
          <w:rFonts w:eastAsia="Times New Roman" w:cs="Times New Roman"/>
          <w:szCs w:val="24"/>
        </w:rPr>
        <w:t xml:space="preserve">The principal effect measure for quantitative synthesis was the </w:t>
      </w:r>
      <w:proofErr w:type="spellStart"/>
      <w:r>
        <w:rPr>
          <w:rFonts w:eastAsia="Times New Roman" w:cs="Times New Roman"/>
          <w:szCs w:val="24"/>
        </w:rPr>
        <w:t>logDOR</w:t>
      </w:r>
      <w:proofErr w:type="spellEnd"/>
      <w:r>
        <w:rPr>
          <w:rFonts w:eastAsia="Times New Roman" w:cs="Times New Roman"/>
          <w:szCs w:val="24"/>
        </w:rPr>
        <w:t>:</w:t>
      </w:r>
    </w:p>
    <w:p w14:paraId="0915C021" w14:textId="77777777" w:rsidR="00F50DC5" w:rsidRDefault="00000000">
      <w:pPr>
        <w:jc w:val="both"/>
        <w:rPr>
          <w:rFonts w:eastAsiaTheme="minorEastAsia" w:cs="Times New Roman"/>
          <w:szCs w:val="24"/>
        </w:rPr>
      </w:pPr>
      <m:oMathPara>
        <m:oMath>
          <m:r>
            <m:rPr>
              <m:sty m:val="p"/>
            </m:rPr>
            <w:rPr>
              <w:rFonts w:ascii="Cambria Math" w:hAnsi="Cambria Math" w:cs="Times New Roman"/>
              <w:szCs w:val="24"/>
            </w:rPr>
            <m:t>log⁡</m:t>
          </m:r>
          <m:r>
            <w:rPr>
              <w:rFonts w:ascii="Cambria Math" w:hAnsi="Cambria Math" w:cs="Times New Roman"/>
              <w:szCs w:val="24"/>
            </w:rPr>
            <m:t>(DOR)=ln</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TP×TN</m:t>
                  </m:r>
                </m:num>
                <m:den>
                  <m:r>
                    <w:rPr>
                      <w:rFonts w:ascii="Cambria Math" w:hAnsi="Cambria Math" w:cs="Times New Roman"/>
                      <w:szCs w:val="24"/>
                    </w:rPr>
                    <m:t>FP×FN</m:t>
                  </m:r>
                </m:den>
              </m:f>
            </m:e>
          </m:d>
        </m:oMath>
      </m:oMathPara>
    </w:p>
    <w:p w14:paraId="2278683D" w14:textId="77777777" w:rsidR="00F50DC5" w:rsidRDefault="00000000">
      <w:pPr>
        <w:ind w:firstLine="454"/>
        <w:jc w:val="both"/>
        <w:rPr>
          <w:rFonts w:cs="Times New Roman"/>
          <w:szCs w:val="24"/>
        </w:rPr>
      </w:pPr>
      <w:r>
        <w:rPr>
          <w:rFonts w:eastAsia="Times New Roman" w:cs="Times New Roman"/>
          <w:szCs w:val="24"/>
        </w:rPr>
        <w:t xml:space="preserve">The standard error of the </w:t>
      </w:r>
      <w:proofErr w:type="spellStart"/>
      <w:r>
        <w:rPr>
          <w:rFonts w:eastAsia="Times New Roman" w:cs="Times New Roman"/>
          <w:szCs w:val="24"/>
        </w:rPr>
        <w:t>logDOR</w:t>
      </w:r>
      <w:proofErr w:type="spellEnd"/>
      <w:r>
        <w:rPr>
          <w:rFonts w:eastAsia="Times New Roman" w:cs="Times New Roman"/>
          <w:szCs w:val="24"/>
        </w:rPr>
        <w:t xml:space="preserve"> was calculated as:</w:t>
      </w:r>
    </w:p>
    <w:p w14:paraId="0043B31F" w14:textId="77777777" w:rsidR="00F50DC5" w:rsidRDefault="00000000">
      <w:pPr>
        <w:jc w:val="both"/>
        <w:rPr>
          <w:rFonts w:cs="Times New Roman"/>
          <w:szCs w:val="24"/>
        </w:rPr>
      </w:pPr>
      <m:oMathPara>
        <m:oMath>
          <m:r>
            <w:rPr>
              <w:rFonts w:ascii="Cambria Math" w:hAnsi="Cambria Math" w:cs="Times New Roman"/>
              <w:szCs w:val="24"/>
            </w:rPr>
            <w:lastRenderedPageBreak/>
            <m:t>SE</m:t>
          </m:r>
          <m:d>
            <m:dPr>
              <m:begChr m:val="["/>
              <m:endChr m:val="]"/>
              <m:ctrlPr>
                <w:rPr>
                  <w:rFonts w:ascii="Cambria Math" w:hAnsi="Cambria Math" w:cs="Times New Roman"/>
                  <w:i/>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log</m:t>
                  </m:r>
                  <m:ctrlPr>
                    <w:rPr>
                      <w:rFonts w:ascii="Cambria Math" w:hAnsi="Cambria Math" w:cs="Times New Roman"/>
                      <w:i/>
                      <w:szCs w:val="24"/>
                    </w:rPr>
                  </m:ctrlPr>
                </m:fName>
                <m:e>
                  <m:d>
                    <m:dPr>
                      <m:ctrlPr>
                        <w:rPr>
                          <w:rFonts w:ascii="Cambria Math" w:hAnsi="Cambria Math" w:cs="Times New Roman"/>
                          <w:i/>
                          <w:szCs w:val="24"/>
                        </w:rPr>
                      </m:ctrlPr>
                    </m:dPr>
                    <m:e>
                      <m:r>
                        <w:rPr>
                          <w:rFonts w:ascii="Cambria Math" w:hAnsi="Cambria Math" w:cs="Times New Roman"/>
                          <w:szCs w:val="24"/>
                        </w:rPr>
                        <m:t>DOR</m:t>
                      </m:r>
                    </m:e>
                  </m:d>
                </m:e>
              </m:func>
            </m:e>
          </m:d>
          <m:r>
            <w:rPr>
              <w:rFonts w:ascii="Cambria Math" w:hAnsi="Cambria Math" w:cs="Times New Roman"/>
              <w:szCs w:val="24"/>
            </w:rPr>
            <m:t>=</m:t>
          </m:r>
          <m:rad>
            <m:radPr>
              <m:degHide m:val="1"/>
              <m:ctrlPr>
                <w:rPr>
                  <w:rFonts w:ascii="Cambria Math" w:hAnsi="Cambria Math" w:cs="Times New Roman"/>
                  <w:i/>
                  <w:szCs w:val="24"/>
                </w:rPr>
              </m:ctrlPr>
            </m:radPr>
            <m:deg/>
            <m:e>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TP</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FN</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FP</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TN</m:t>
                  </m:r>
                </m:den>
              </m:f>
            </m:e>
          </m:rad>
        </m:oMath>
      </m:oMathPara>
    </w:p>
    <w:p w14:paraId="403B6043" w14:textId="18975FB9" w:rsidR="00F50DC5" w:rsidRDefault="00000000">
      <w:pPr>
        <w:ind w:firstLine="454"/>
        <w:jc w:val="both"/>
        <w:rPr>
          <w:rFonts w:cs="Times New Roman"/>
          <w:szCs w:val="24"/>
          <w:lang w:val="en-ID"/>
        </w:rPr>
      </w:pPr>
      <w:r>
        <w:rPr>
          <w:rFonts w:eastAsia="Times New Roman" w:cs="Times New Roman"/>
        </w:rPr>
        <w:t>The pooled logDOR was subsequently transformed back to the DOR scale using the exponential function. A random-effects model with the REML estimator was used because of differences among studies in participants, comparator groups, candidate microRNAs, testing platforms, saliva fractions, and threshold values. The findings were reported as the pooled DOR, 95% confidence interval, p-value, and 95% prediction interval when estimable. Heterogeneity was assessed using the Q statistic, I², τ, and τ². Sensitivity and specificity were analyzed separately on the logit scale as supportive analy</w:t>
      </w:r>
      <w:r w:rsidR="007D6BCA">
        <w:rPr>
          <w:rFonts w:eastAsia="Times New Roman" w:cs="Times New Roman"/>
        </w:rPr>
        <w:t>s</w:t>
      </w:r>
      <w:r>
        <w:rPr>
          <w:rFonts w:eastAsia="Times New Roman" w:cs="Times New Roman"/>
        </w:rPr>
        <w:t>es. These findings were interpreted as exploratory estimates because separate analy</w:t>
      </w:r>
      <w:r w:rsidR="007D6BCA">
        <w:rPr>
          <w:rFonts w:eastAsia="Times New Roman" w:cs="Times New Roman"/>
        </w:rPr>
        <w:t>s</w:t>
      </w:r>
      <w:r>
        <w:rPr>
          <w:rFonts w:eastAsia="Times New Roman" w:cs="Times New Roman"/>
        </w:rPr>
        <w:t>es do not fully preserve the relationship between sensitivity, specificity, and variation in threshold values. The SROC curve and AUC were retained as exploratory outputs of the non-hierarchical study-level workflow and were not interpreted as equivalent to estimates from a hierarchical bivariate/HSROC diagnostic meta-analysis. When a study contained a zero value in one or more cells, a continuity correction of 0.5 was added to all four cells of that study solely for calculating the logDOR and its standard error. The correction was not applied to studies without zero cells. The effect of the correction was examined by repeating the analysis after excluding all studies with one or more zero cells.</w:t>
      </w:r>
    </w:p>
    <w:p w14:paraId="40E8C66E"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Small-Study Effects and Publication Bias</w:t>
      </w:r>
    </w:p>
    <w:p w14:paraId="3D1134E4" w14:textId="77777777" w:rsidR="00F50DC5" w:rsidRDefault="00000000">
      <w:pPr>
        <w:ind w:firstLine="454"/>
        <w:jc w:val="both"/>
        <w:rPr>
          <w:rFonts w:cs="Times New Roman"/>
          <w:szCs w:val="24"/>
          <w:lang w:val="en-ID"/>
        </w:rPr>
      </w:pPr>
      <w:r>
        <w:rPr>
          <w:rFonts w:eastAsia="Times New Roman" w:cs="Times New Roman"/>
          <w:szCs w:val="24"/>
          <w:lang w:val="en-ID"/>
        </w:rPr>
        <w:t>Small-study effects were assessed only when at least 10 independent estimates were available for a single synthesis question. When fewer studies were available, asymmetry testing was not performed because of its low statistical power. Potential publication bias was evaluated qualitatively according to study size, the presence of small studies reporting exceptionally high diagnostic performance, protocol availability, selective reporting of miRNA candidates, and the existence of unpublished studies. Conclusions regarding the presence or absence of publication bias were not based solely on the visual appearance of a funnel plot.</w:t>
      </w:r>
    </w:p>
    <w:p w14:paraId="5826DAE1" w14:textId="77777777" w:rsidR="00F50DC5" w:rsidRDefault="00000000">
      <w:pPr>
        <w:keepNext/>
        <w:spacing w:before="240" w:after="120" w:line="240" w:lineRule="auto"/>
        <w:rPr>
          <w:rFonts w:cs="Times New Roman"/>
          <w:b/>
          <w:bCs/>
          <w:szCs w:val="24"/>
        </w:rPr>
      </w:pPr>
      <w:r>
        <w:rPr>
          <w:rFonts w:eastAsia="Times New Roman" w:cs="Times New Roman"/>
          <w:b/>
          <w:bCs/>
          <w:szCs w:val="24"/>
        </w:rPr>
        <w:lastRenderedPageBreak/>
        <w:t>RESULTS</w:t>
      </w:r>
    </w:p>
    <w:p w14:paraId="65A7D196"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Study Selection Results</w:t>
      </w:r>
    </w:p>
    <w:p w14:paraId="72205E40" w14:textId="4AC7A302" w:rsidR="00F50DC5" w:rsidRDefault="00000000">
      <w:pPr>
        <w:ind w:firstLine="454"/>
        <w:jc w:val="both"/>
        <w:rPr>
          <w:rFonts w:cs="Times New Roman"/>
          <w:szCs w:val="24"/>
          <w:lang w:val="en-ID"/>
        </w:rPr>
      </w:pPr>
      <w:r>
        <w:rPr>
          <w:rFonts w:eastAsia="Times New Roman" w:cs="Times New Roman"/>
          <w:szCs w:val="24"/>
          <w:lang w:val="en-ID"/>
        </w:rPr>
        <w:t>The search yielded 214 records from databases and additional sources. After five duplicate records were removed, 209 records underwent title and abstract screening. At this stage, 166 records were excluded because they did not meet the eligibility criteria regarding the population, test material, index test, study design, or diagnostic outcomes. Subsequently, 43 articles were assessed in full text, of which 33 were excluded based on one primary reason: six were review articles or meta-</w:t>
      </w:r>
      <w:r w:rsidR="007D6BCA" w:rsidRPr="007D6BCA">
        <w:rPr>
          <w:rFonts w:eastAsia="Times New Roman" w:cs="Times New Roman"/>
          <w:szCs w:val="24"/>
        </w:rPr>
        <w:t>analyses</w:t>
      </w:r>
      <w:r>
        <w:rPr>
          <w:rFonts w:eastAsia="Times New Roman" w:cs="Times New Roman"/>
          <w:szCs w:val="24"/>
          <w:lang w:val="en-ID"/>
        </w:rPr>
        <w:t xml:space="preserve"> without primary data, 10 had insufficient diagnostic data, five used specimens other than saliva, four did not report OSCC data separately, three focused on prognosis, two did not include an eligible comparator group, two used overlapping cohorts without independent information, and one was not published in a peer-reviewed journal.</w:t>
      </w:r>
    </w:p>
    <w:p w14:paraId="5ECCB9A1" w14:textId="77777777" w:rsidR="00F50DC5" w:rsidRDefault="00000000">
      <w:pPr>
        <w:ind w:firstLine="454"/>
        <w:jc w:val="both"/>
        <w:rPr>
          <w:rFonts w:cs="Times New Roman"/>
          <w:szCs w:val="24"/>
          <w:lang w:val="en-ID"/>
        </w:rPr>
      </w:pPr>
      <w:r>
        <w:rPr>
          <w:rFonts w:eastAsia="Times New Roman" w:cs="Times New Roman"/>
        </w:rPr>
        <w:t>Ten primary studies met the eligibility criteria for the systematic review. After verifying the validity of the 2 × 2 diagnostic tables and assessing potential participant overlap, seven studies were included in the quantitative synthesis, whereas three studies were presented through narrative synthesis. The study-selection process is shown in Figure 1.</w:t>
      </w:r>
    </w:p>
    <w:p w14:paraId="6EFA4368"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Study Characteristics</w:t>
      </w:r>
    </w:p>
    <w:p w14:paraId="11F8D888" w14:textId="77777777" w:rsidR="00F50DC5" w:rsidRDefault="00000000">
      <w:pPr>
        <w:ind w:firstLine="454"/>
        <w:jc w:val="both"/>
        <w:rPr>
          <w:rFonts w:cs="Times New Roman"/>
          <w:szCs w:val="24"/>
        </w:rPr>
      </w:pPr>
      <w:r>
        <w:rPr>
          <w:rFonts w:eastAsia="Times New Roman" w:cs="Times New Roman"/>
          <w:szCs w:val="24"/>
        </w:rPr>
        <w:t xml:space="preserve">The 10 eligible articles were published between 2018 and 2025. The studies were conducted in Australia, Italy, Bulgaria, Hungary, India, Egypt, and several collaborative research centers. Most studies used a case–control design or a diagnostic model development design involving patients with </w:t>
      </w:r>
      <w:proofErr w:type="spellStart"/>
      <w:r>
        <w:rPr>
          <w:rFonts w:eastAsia="Times New Roman" w:cs="Times New Roman"/>
          <w:szCs w:val="24"/>
        </w:rPr>
        <w:t>histopathologically</w:t>
      </w:r>
      <w:proofErr w:type="spellEnd"/>
      <w:r>
        <w:rPr>
          <w:rFonts w:eastAsia="Times New Roman" w:cs="Times New Roman"/>
          <w:szCs w:val="24"/>
        </w:rPr>
        <w:t xml:space="preserve"> confirmed OSCC and healthy individuals as comparators. </w:t>
      </w:r>
      <w:proofErr w:type="spellStart"/>
      <w:r>
        <w:rPr>
          <w:rFonts w:eastAsia="Times New Roman" w:cs="Times New Roman"/>
          <w:szCs w:val="24"/>
        </w:rPr>
        <w:t>Tarrad</w:t>
      </w:r>
      <w:proofErr w:type="spellEnd"/>
      <w:r>
        <w:rPr>
          <w:rFonts w:eastAsia="Times New Roman" w:cs="Times New Roman"/>
          <w:szCs w:val="24"/>
        </w:rPr>
        <w:t xml:space="preserve"> et al. included patients with OLP and healthy individuals,</w:t>
      </w:r>
      <w:r>
        <w:rPr>
          <w:rFonts w:eastAsia="Times New Roman" w:cs="Times New Roman"/>
          <w:noProof/>
          <w:szCs w:val="24"/>
          <w:vertAlign w:val="superscript"/>
        </w:rPr>
        <w:t>10</w:t>
      </w:r>
      <w:r>
        <w:rPr>
          <w:rFonts w:eastAsia="Times New Roman" w:cs="Times New Roman"/>
          <w:szCs w:val="24"/>
        </w:rPr>
        <w:t xml:space="preserve"> whereas Garg et al. and </w:t>
      </w:r>
      <w:proofErr w:type="spellStart"/>
      <w:r>
        <w:rPr>
          <w:rFonts w:eastAsia="Times New Roman" w:cs="Times New Roman"/>
          <w:szCs w:val="24"/>
        </w:rPr>
        <w:t>Balakittnen</w:t>
      </w:r>
      <w:proofErr w:type="spellEnd"/>
      <w:r>
        <w:rPr>
          <w:rFonts w:eastAsia="Times New Roman" w:cs="Times New Roman"/>
          <w:szCs w:val="24"/>
        </w:rPr>
        <w:t xml:space="preserve"> et al. also evaluated OPMD groups.</w:t>
      </w:r>
      <w:r>
        <w:rPr>
          <w:rFonts w:eastAsia="Times New Roman" w:cs="Times New Roman"/>
          <w:noProof/>
          <w:szCs w:val="24"/>
          <w:vertAlign w:val="superscript"/>
        </w:rPr>
        <w:t>3,11</w:t>
      </w:r>
      <w:r>
        <w:rPr>
          <w:rFonts w:eastAsia="Times New Roman" w:cs="Times New Roman"/>
          <w:szCs w:val="24"/>
        </w:rPr>
        <w:t xml:space="preserve"> Therefore, the available evidence predominantly reflects the ability to distinguish OSCC from healthy controls rather than the ability to differentiate OSCC from clinically similar oral lesions.</w:t>
      </w:r>
    </w:p>
    <w:p w14:paraId="129794AD" w14:textId="77777777" w:rsidR="00F50DC5" w:rsidRDefault="00000000">
      <w:pPr>
        <w:ind w:firstLine="454"/>
        <w:jc w:val="both"/>
        <w:rPr>
          <w:rFonts w:cs="Times New Roman"/>
          <w:szCs w:val="24"/>
        </w:rPr>
      </w:pPr>
      <w:r>
        <w:rPr>
          <w:rFonts w:eastAsia="Times New Roman" w:cs="Times New Roman"/>
          <w:szCs w:val="24"/>
        </w:rPr>
        <w:t xml:space="preserve">The studies varied in terms of OSCC stage, participant recruitment methods, saliva type and fraction, analytical methods, normalization procedures, microRNA candidates, threshold </w:t>
      </w:r>
      <w:r>
        <w:rPr>
          <w:rFonts w:eastAsia="Times New Roman" w:cs="Times New Roman"/>
          <w:szCs w:val="24"/>
        </w:rPr>
        <w:lastRenderedPageBreak/>
        <w:t>values, and model development stages. Some articles evaluated a single microRNA, whereas others used panels consisting of three to eight microRNAs. Most models remained at the derivation or internal validation stage, and only a few studies included a separate validation cohort. Details regarding country, design, setting, recruitment, disease stage, comparator type, saliva type, assay, normalizer, threshold value, and derivation or validation status are presented in Table 3.</w:t>
      </w:r>
    </w:p>
    <w:p w14:paraId="5C2F7E52"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Study-Level Diagnostic Data</w:t>
      </w:r>
    </w:p>
    <w:p w14:paraId="250E08F3" w14:textId="77777777" w:rsidR="00F50DC5" w:rsidRDefault="00000000">
      <w:pPr>
        <w:ind w:firstLine="454"/>
        <w:jc w:val="both"/>
        <w:rPr>
          <w:rFonts w:cs="Times New Roman"/>
          <w:szCs w:val="24"/>
        </w:rPr>
      </w:pPr>
      <w:r>
        <w:rPr>
          <w:rFonts w:eastAsia="Times New Roman" w:cs="Times New Roman"/>
          <w:szCs w:val="24"/>
        </w:rPr>
        <w:t>The seven studies included in the quantitative synthesis comprised 220 OSCC observations and 235 comparator observations. The diagnostic table for one study was obtained directly from the classification results of the test cohort, whereas the tables for the other six studies were reconstructed from the sample size, sensitivity, specificity, or outcome tables reported in the articles.</w:t>
      </w:r>
      <w:r>
        <w:rPr>
          <w:rFonts w:eastAsia="Times New Roman" w:cs="Times New Roman"/>
          <w:noProof/>
          <w:szCs w:val="24"/>
          <w:vertAlign w:val="superscript"/>
        </w:rPr>
        <w:t>12</w:t>
      </w:r>
      <w:r>
        <w:rPr>
          <w:rFonts w:eastAsia="Times New Roman" w:cs="Times New Roman"/>
          <w:szCs w:val="24"/>
        </w:rPr>
        <w:t xml:space="preserve"> No additional data were included when the classification of true positives, false negatives, false positives, and true negatives could not be verified.</w:t>
      </w:r>
      <w:r>
        <w:rPr>
          <w:rFonts w:eastAsia="Times New Roman" w:cs="Times New Roman"/>
        </w:rPr>
        <w:t xml:space="preserve"> Study-level diagnostic results are summarized in Table 4.</w:t>
      </w:r>
    </w:p>
    <w:p w14:paraId="267A211B" w14:textId="77777777" w:rsidR="00F50DC5" w:rsidRDefault="00000000">
      <w:pPr>
        <w:ind w:firstLine="454"/>
        <w:jc w:val="both"/>
        <w:rPr>
          <w:rFonts w:cs="Times New Roman"/>
          <w:szCs w:val="24"/>
        </w:rPr>
      </w:pPr>
      <w:r>
        <w:rPr>
          <w:rFonts w:eastAsia="Times New Roman" w:cs="Times New Roman"/>
          <w:szCs w:val="24"/>
        </w:rPr>
        <w:t>Accordingly, 6 of 7 quantitative studies (85.7%) depended on reconstructed 2 × 2 tables. A direct-versus-reconstructed pooled sensitivity analysis was not considered statistically informative because the direct-data stratum contained only one study. This source of uncertainty was therefore addressed through predefined conservative reconstruction rules, independent verification of reconstructed tables, and explicit consideration in the interpretation and limitations rather than through a pooled comparison based on a single direct-data study.</w:t>
      </w:r>
    </w:p>
    <w:p w14:paraId="3654BF95" w14:textId="77777777" w:rsidR="00F50DC5" w:rsidRDefault="00000000">
      <w:pPr>
        <w:ind w:firstLine="454"/>
        <w:jc w:val="both"/>
        <w:rPr>
          <w:rFonts w:cs="Times New Roman"/>
          <w:szCs w:val="24"/>
        </w:rPr>
      </w:pPr>
      <w:r>
        <w:rPr>
          <w:rFonts w:eastAsia="Times New Roman" w:cs="Times New Roman"/>
          <w:szCs w:val="24"/>
        </w:rPr>
        <w:t xml:space="preserve">Three studies contained zero cells. Yap et al. and </w:t>
      </w:r>
      <w:proofErr w:type="spellStart"/>
      <w:r>
        <w:rPr>
          <w:rFonts w:eastAsia="Times New Roman" w:cs="Times New Roman"/>
          <w:szCs w:val="24"/>
        </w:rPr>
        <w:t>Tarrad</w:t>
      </w:r>
      <w:proofErr w:type="spellEnd"/>
      <w:r>
        <w:rPr>
          <w:rFonts w:eastAsia="Times New Roman" w:cs="Times New Roman"/>
          <w:szCs w:val="24"/>
        </w:rPr>
        <w:t xml:space="preserve"> et al. reported no false-negative cases,</w:t>
      </w:r>
      <w:r>
        <w:rPr>
          <w:rFonts w:eastAsia="Times New Roman" w:cs="Times New Roman"/>
          <w:noProof/>
          <w:szCs w:val="24"/>
          <w:vertAlign w:val="superscript"/>
        </w:rPr>
        <w:t>10,12</w:t>
      </w:r>
      <w:r>
        <w:rPr>
          <w:rFonts w:eastAsia="Times New Roman" w:cs="Times New Roman"/>
          <w:szCs w:val="24"/>
        </w:rPr>
        <w:t xml:space="preserve"> whereas </w:t>
      </w:r>
      <w:proofErr w:type="spellStart"/>
      <w:r>
        <w:rPr>
          <w:rFonts w:eastAsia="Times New Roman" w:cs="Times New Roman"/>
          <w:szCs w:val="24"/>
        </w:rPr>
        <w:t>ELHefny</w:t>
      </w:r>
      <w:proofErr w:type="spellEnd"/>
      <w:r>
        <w:rPr>
          <w:rFonts w:eastAsia="Times New Roman" w:cs="Times New Roman"/>
          <w:szCs w:val="24"/>
        </w:rPr>
        <w:t xml:space="preserve"> et al. reported neither false-negative nor false-positive cases.</w:t>
      </w:r>
      <w:r>
        <w:rPr>
          <w:rFonts w:eastAsia="Times New Roman" w:cs="Times New Roman"/>
          <w:noProof/>
          <w:szCs w:val="24"/>
          <w:vertAlign w:val="superscript"/>
        </w:rPr>
        <w:t>15</w:t>
      </w:r>
      <w:r>
        <w:rPr>
          <w:rFonts w:eastAsia="Times New Roman" w:cs="Times New Roman"/>
          <w:szCs w:val="24"/>
        </w:rPr>
        <w:t xml:space="preserve"> A continuity correction of 0.5 was applied to all four cells of these studies solely for the calculation of the log diagnostic odds ratio and its standard error. Its influence was examined through a sensitivity analysis excluding studies with zero cells.</w:t>
      </w:r>
    </w:p>
    <w:p w14:paraId="6C468880" w14:textId="77777777" w:rsidR="00F50DC5" w:rsidRDefault="00F50DC5">
      <w:pPr>
        <w:ind w:firstLine="709"/>
        <w:jc w:val="both"/>
        <w:rPr>
          <w:rFonts w:cs="Times New Roman"/>
          <w:szCs w:val="24"/>
        </w:rPr>
      </w:pPr>
    </w:p>
    <w:p w14:paraId="68EF7A61" w14:textId="77777777" w:rsidR="00F50DC5" w:rsidRDefault="00F50DC5">
      <w:pPr>
        <w:ind w:firstLine="709"/>
        <w:jc w:val="both"/>
        <w:rPr>
          <w:rFonts w:cs="Times New Roman"/>
          <w:szCs w:val="24"/>
        </w:rPr>
      </w:pPr>
    </w:p>
    <w:p w14:paraId="4636BA06" w14:textId="77777777" w:rsidR="00F50DC5" w:rsidRDefault="00F50DC5">
      <w:pPr>
        <w:jc w:val="both"/>
        <w:rPr>
          <w:rFonts w:cs="Times New Roman"/>
          <w:b/>
          <w:bCs/>
          <w:szCs w:val="24"/>
        </w:rPr>
      </w:pPr>
    </w:p>
    <w:p w14:paraId="3C8B4967"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Pooled Diagnostic Accuracy</w:t>
      </w:r>
    </w:p>
    <w:p w14:paraId="468BCA5C" w14:textId="77777777" w:rsidR="00F50DC5" w:rsidRDefault="00000000">
      <w:pPr>
        <w:ind w:firstLine="454"/>
        <w:jc w:val="both"/>
        <w:rPr>
          <w:rFonts w:cs="Times New Roman"/>
          <w:szCs w:val="24"/>
          <w:lang w:val="en-ID"/>
        </w:rPr>
      </w:pPr>
      <w:r>
        <w:rPr>
          <w:rFonts w:eastAsia="Times New Roman" w:cs="Times New Roman"/>
          <w:szCs w:val="24"/>
          <w:lang w:val="en-ID"/>
        </w:rPr>
        <w:t xml:space="preserve">A random-effects analysis of the seven studies produced a pooled </w:t>
      </w:r>
      <w:proofErr w:type="spellStart"/>
      <w:r>
        <w:rPr>
          <w:rFonts w:eastAsia="Times New Roman" w:cs="Times New Roman"/>
          <w:szCs w:val="24"/>
          <w:lang w:val="en-ID"/>
        </w:rPr>
        <w:t>logDOR</w:t>
      </w:r>
      <w:proofErr w:type="spellEnd"/>
      <w:r>
        <w:rPr>
          <w:rFonts w:eastAsia="Times New Roman" w:cs="Times New Roman"/>
          <w:szCs w:val="24"/>
          <w:lang w:val="en-ID"/>
        </w:rPr>
        <w:t xml:space="preserve"> of 3.71, with a 95% CI of 2.69–4.74 and </w:t>
      </w:r>
      <w:r>
        <w:rPr>
          <w:rFonts w:eastAsia="Times New Roman" w:cs="Times New Roman"/>
          <w:i/>
          <w:iCs/>
          <w:szCs w:val="24"/>
          <w:lang w:val="en-ID"/>
        </w:rPr>
        <w:t>p</w:t>
      </w:r>
      <w:r>
        <w:rPr>
          <w:rFonts w:eastAsia="Times New Roman" w:cs="Times New Roman"/>
          <w:szCs w:val="24"/>
          <w:lang w:val="en-ID"/>
        </w:rPr>
        <w:t xml:space="preserve"> &lt; 0.001. After transformation, the pooled DOR was 40.89, with a 95% CI of 14.67–114.00. These findings indicate numerically high apparent discrimination in the pooled dataset, but the estimate remains exploratory and is supported by very low-certainty evidence. However, they should not be interpreted as the performance of a single specific clinical test because the estimate combines different microRNA candidates, panels, thresholds, saliva types, and validation stages.</w:t>
      </w:r>
    </w:p>
    <w:p w14:paraId="7BDF125F" w14:textId="77777777" w:rsidR="00F50DC5" w:rsidRDefault="00000000">
      <w:pPr>
        <w:ind w:firstLine="454"/>
        <w:jc w:val="both"/>
        <w:rPr>
          <w:rFonts w:cs="Times New Roman"/>
          <w:szCs w:val="24"/>
          <w:lang w:val="en-ID"/>
        </w:rPr>
      </w:pPr>
      <w:r>
        <w:rPr>
          <w:rFonts w:eastAsia="Times New Roman" w:cs="Times New Roman"/>
          <w:szCs w:val="24"/>
          <w:lang w:val="en-ID"/>
        </w:rPr>
        <w:t xml:space="preserve">The DOR prediction interval ranged from 6.93 to 241.12. This wide range indicates that future studies are still expected to demonstrate positive discriminatory ability, although the magnitude of performance may vary substantially according to participant characteristics, comparator groups, biomarkers, and analytical methods. Heterogeneity was low to moderate, with Q(6) = 9.15, </w:t>
      </w:r>
      <w:r>
        <w:rPr>
          <w:rFonts w:eastAsia="Times New Roman" w:cs="Times New Roman"/>
          <w:i/>
          <w:iCs/>
          <w:szCs w:val="24"/>
          <w:lang w:val="en-ID"/>
        </w:rPr>
        <w:t>p</w:t>
      </w:r>
      <w:r>
        <w:rPr>
          <w:rFonts w:eastAsia="Times New Roman" w:cs="Times New Roman"/>
          <w:szCs w:val="24"/>
          <w:lang w:val="en-ID"/>
        </w:rPr>
        <w:t xml:space="preserve"> = 0.165, I² = 34.46%, and τ² = 0.301.</w:t>
      </w:r>
    </w:p>
    <w:p w14:paraId="37D0B661" w14:textId="77777777" w:rsidR="00F50DC5" w:rsidRDefault="00000000">
      <w:pPr>
        <w:ind w:firstLine="454"/>
        <w:jc w:val="both"/>
        <w:rPr>
          <w:rFonts w:cs="Times New Roman"/>
          <w:szCs w:val="24"/>
          <w:lang w:val="en-ID"/>
        </w:rPr>
      </w:pPr>
      <w:r>
        <w:rPr>
          <w:rFonts w:eastAsia="Times New Roman" w:cs="Times New Roman"/>
        </w:rPr>
        <w:t>As an exploratory analysis, the pooled sensitivity was 0.891, with a 95% CI of 0.842–0.926, whereas the pooled specificity was 0.849, with a 95% CI of 0.729–0.922. The LR+ was 5.90, with a 95% CI of 3.15–11.06, and the LR− was 0.128, with a 95% CI of 0.087–0.191. A supportive DOR derived from the separately pooled sensitivity and specificity was 45.90, with a 95% CI of 19.60–107.53; this value was not used as the primary pooled DOR. The primary pooled DOR from the random-effects meta-analysis of logDOR was 40.89 (95% CI, 14.67–114.00). These exploratory estimates indicate that a positive result increases the likelihood of OSCC, whereas a negative result decreases it. However, the performance remains insufficient to support its use as a replacement for histopathology.</w:t>
      </w:r>
    </w:p>
    <w:p w14:paraId="5CF1886B"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lastRenderedPageBreak/>
        <w:t>Paired Forest Plot</w:t>
      </w:r>
    </w:p>
    <w:p w14:paraId="390B6144" w14:textId="77777777" w:rsidR="00F50DC5" w:rsidRDefault="00000000">
      <w:pPr>
        <w:ind w:firstLine="454"/>
        <w:jc w:val="both"/>
        <w:rPr>
          <w:rFonts w:cs="Times New Roman"/>
          <w:szCs w:val="24"/>
        </w:rPr>
      </w:pPr>
      <w:r>
        <w:rPr>
          <w:rFonts w:eastAsia="Times New Roman" w:cs="Times New Roman"/>
        </w:rPr>
        <w:t>The paired forest plot (Figure 2) showed that the sensitivity of the individual studies ranged from 0.860 to 1.000, whereas specificity ranged from 0.667 to 1.000. Studies with perfect sensitivity did not necessarily have correspondingly high specificity. Yap et al. and Tarrad et al. achieved a sensitivity of 1.000, but their specificities were only 0.667 and 0.708, respectively.10,12 In contrast, Ciringione et al. achieved a specificity of 0.967 with a sensitivity of 0.867.16</w:t>
      </w:r>
    </w:p>
    <w:p w14:paraId="049F32DE" w14:textId="77777777" w:rsidR="00F50DC5" w:rsidRDefault="00000000">
      <w:pPr>
        <w:ind w:firstLine="454"/>
        <w:jc w:val="both"/>
        <w:rPr>
          <w:rFonts w:cs="Times New Roman"/>
          <w:szCs w:val="24"/>
        </w:rPr>
      </w:pPr>
      <w:r>
        <w:rPr>
          <w:rFonts w:eastAsia="Times New Roman" w:cs="Times New Roman"/>
          <w:szCs w:val="24"/>
        </w:rPr>
        <w:t>The confidence intervals were wider in studies with small sample sizes and zero cells. This was particularly evident in Yap et al. (2018),</w:t>
      </w:r>
      <w:r>
        <w:rPr>
          <w:rFonts w:eastAsia="Times New Roman" w:cs="Times New Roman"/>
          <w:noProof/>
          <w:szCs w:val="24"/>
          <w:vertAlign w:val="superscript"/>
        </w:rPr>
        <w:t>12</w:t>
      </w:r>
      <w:r>
        <w:rPr>
          <w:rFonts w:eastAsia="Times New Roman" w:cs="Times New Roman"/>
          <w:szCs w:val="24"/>
        </w:rPr>
        <w:t xml:space="preserve"> </w:t>
      </w:r>
      <w:proofErr w:type="spellStart"/>
      <w:r>
        <w:rPr>
          <w:rFonts w:eastAsia="Times New Roman" w:cs="Times New Roman"/>
          <w:szCs w:val="24"/>
        </w:rPr>
        <w:t>Tarrad</w:t>
      </w:r>
      <w:proofErr w:type="spellEnd"/>
      <w:r>
        <w:rPr>
          <w:rFonts w:eastAsia="Times New Roman" w:cs="Times New Roman"/>
          <w:szCs w:val="24"/>
        </w:rPr>
        <w:t xml:space="preserve"> et al. (2023),</w:t>
      </w:r>
      <w:r>
        <w:rPr>
          <w:rFonts w:eastAsia="Times New Roman" w:cs="Times New Roman"/>
          <w:noProof/>
          <w:szCs w:val="24"/>
          <w:vertAlign w:val="superscript"/>
        </w:rPr>
        <w:t>10</w:t>
      </w:r>
      <w:r>
        <w:rPr>
          <w:rFonts w:eastAsia="Times New Roman" w:cs="Times New Roman"/>
          <w:szCs w:val="24"/>
        </w:rPr>
        <w:t xml:space="preserve"> and </w:t>
      </w:r>
      <w:proofErr w:type="spellStart"/>
      <w:r>
        <w:rPr>
          <w:rFonts w:eastAsia="Times New Roman" w:cs="Times New Roman"/>
          <w:szCs w:val="24"/>
        </w:rPr>
        <w:t>ELHefny</w:t>
      </w:r>
      <w:proofErr w:type="spellEnd"/>
      <w:r>
        <w:rPr>
          <w:rFonts w:eastAsia="Times New Roman" w:cs="Times New Roman"/>
          <w:szCs w:val="24"/>
        </w:rPr>
        <w:t xml:space="preserve"> et al. (2024).</w:t>
      </w:r>
      <w:r>
        <w:rPr>
          <w:rFonts w:eastAsia="Times New Roman" w:cs="Times New Roman"/>
          <w:noProof/>
          <w:szCs w:val="24"/>
          <w:vertAlign w:val="superscript"/>
        </w:rPr>
        <w:t>15</w:t>
      </w:r>
      <w:r>
        <w:rPr>
          <w:rFonts w:eastAsia="Times New Roman" w:cs="Times New Roman"/>
          <w:szCs w:val="24"/>
        </w:rPr>
        <w:t xml:space="preserve"> Therefore, perfect sensitivity or specificity values in these studies cannot be considered evidence that misclassification would not occur in a larger population.</w:t>
      </w:r>
    </w:p>
    <w:p w14:paraId="6A6F14DC"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SROC Curve</w:t>
      </w:r>
    </w:p>
    <w:p w14:paraId="42802E30" w14:textId="77777777" w:rsidR="00F50DC5" w:rsidRDefault="00000000">
      <w:pPr>
        <w:ind w:firstLine="454"/>
        <w:jc w:val="both"/>
        <w:rPr>
          <w:rFonts w:cs="Times New Roman"/>
          <w:szCs w:val="24"/>
        </w:rPr>
      </w:pPr>
      <w:r>
        <w:rPr>
          <w:rFonts w:eastAsia="Times New Roman" w:cs="Times New Roman"/>
        </w:rPr>
        <w:t>The exploratory SROC curve (Figure 3) yielded an AUC of 0.935, with an estimated 95% CI of 0.885–0.965. The summary point corresponded to a sensitivity of 0.891 and a specificity of 0.849. This position indicates high apparent discrimination within the analyzed dataset; it should not be interpreted as validated clinical performance. However, the prediction region was wider than the confidence region, reflecting uncertainty regarding performance in new studies.</w:t>
      </w:r>
    </w:p>
    <w:p w14:paraId="4A78C15A" w14:textId="77777777" w:rsidR="00F50DC5" w:rsidRDefault="00000000">
      <w:pPr>
        <w:ind w:firstLine="454"/>
        <w:jc w:val="both"/>
        <w:rPr>
          <w:rFonts w:cs="Times New Roman"/>
          <w:szCs w:val="24"/>
        </w:rPr>
      </w:pPr>
      <w:r>
        <w:rPr>
          <w:rFonts w:eastAsia="Times New Roman" w:cs="Times New Roman"/>
          <w:szCs w:val="24"/>
        </w:rPr>
        <w:t>The curve was positioned as an exploratory analysis because it included only seven studies with different biomarkers, panels, comparator groups, and threshold values. Therefore, the pooled AUC does not represent a particular microRNA, panel, or diagnostic threshold. The prediction region should also be interpreted cautiously because the number of studies remains limited.</w:t>
      </w:r>
    </w:p>
    <w:p w14:paraId="159E7257" w14:textId="1E4A77F5" w:rsidR="00F50DC5" w:rsidRDefault="00000000">
      <w:pPr>
        <w:ind w:firstLine="454"/>
        <w:jc w:val="both"/>
        <w:rPr>
          <w:rFonts w:cs="Times New Roman"/>
          <w:b/>
          <w:bCs/>
          <w:szCs w:val="24"/>
        </w:rPr>
      </w:pPr>
      <w:r>
        <w:rPr>
          <w:rFonts w:eastAsia="Times New Roman" w:cs="Times New Roman"/>
          <w:b/>
          <w:bCs/>
          <w:szCs w:val="24"/>
        </w:rPr>
        <w:t>Sensitivity and Subgroup Analy</w:t>
      </w:r>
      <w:r w:rsidR="007D6BCA">
        <w:rPr>
          <w:rFonts w:eastAsia="Times New Roman" w:cs="Times New Roman"/>
          <w:b/>
          <w:bCs/>
          <w:szCs w:val="24"/>
        </w:rPr>
        <w:t>s</w:t>
      </w:r>
      <w:r>
        <w:rPr>
          <w:rFonts w:eastAsia="Times New Roman" w:cs="Times New Roman"/>
          <w:b/>
          <w:bCs/>
          <w:szCs w:val="24"/>
        </w:rPr>
        <w:t>es</w:t>
      </w:r>
    </w:p>
    <w:p w14:paraId="7A952282" w14:textId="77777777" w:rsidR="00F50DC5" w:rsidRDefault="00000000">
      <w:pPr>
        <w:ind w:firstLine="454"/>
        <w:jc w:val="both"/>
        <w:rPr>
          <w:rFonts w:cs="Times New Roman"/>
          <w:szCs w:val="24"/>
          <w:lang w:val="en-ID"/>
        </w:rPr>
      </w:pPr>
      <w:r>
        <w:rPr>
          <w:rFonts w:eastAsia="Times New Roman" w:cs="Times New Roman"/>
        </w:rPr>
        <w:t xml:space="preserve">The DOR values reported in Table 5 are supportive estimates derived from the separately pooled sensitivity and specificity; the primary pooled DOR from the random-effects logDOR model was 40.89. Excluding studies with zero cells reduced the derived DOR from 45.91 to </w:t>
      </w:r>
      <w:r>
        <w:rPr>
          <w:rFonts w:eastAsia="Times New Roman" w:cs="Times New Roman"/>
        </w:rPr>
        <w:lastRenderedPageBreak/>
        <w:t>36.78 but did not change the direction of the conclusion. Therefore, the overall diagnostic effect was not determined entirely by studies reporting perfect classification. The analysis restricted to healthy controls produced a derived DOR of 51.12, whereas the analysis of multiple-miRNA panels produced a derived DOR of 42.50 with lower heterogeneity.</w:t>
      </w:r>
    </w:p>
    <w:p w14:paraId="4659CA31" w14:textId="77777777" w:rsidR="00F50DC5" w:rsidRDefault="00000000">
      <w:pPr>
        <w:ind w:firstLine="454"/>
        <w:jc w:val="both"/>
        <w:rPr>
          <w:rFonts w:cs="Times New Roman"/>
          <w:szCs w:val="24"/>
          <w:lang w:val="en-ID"/>
        </w:rPr>
      </w:pPr>
      <w:r>
        <w:rPr>
          <w:rFonts w:eastAsia="Times New Roman" w:cs="Times New Roman"/>
          <w:szCs w:val="24"/>
          <w:lang w:val="en-ID"/>
        </w:rPr>
        <w:t>The performance of derivation cohorts appeared substantially higher than that of validation cohorts. The DOR in derivation cohorts reached 101.76, whereas it was only 29.06 in validation cohorts. The confidence interval for the derivation cohorts was also very wide, and heterogeneity was higher. This pattern indicates possible model optimism during the development stage. Therefore, findings from validation cohorts are more relevant for estimating the performance that may be achieved in new populations. A pooled analysis of single microRNAs was not retained because it comprised only three studies, two of which had zero cells. Comparisons involving clinical controls were also not pooled because the number of studies was insufficient and OLP, OPMD, and healthy controls could not be considered equivalent clinical spectra.</w:t>
      </w:r>
    </w:p>
    <w:p w14:paraId="7DAE821A" w14:textId="77777777" w:rsidR="00F50DC5" w:rsidRDefault="00000000">
      <w:pPr>
        <w:ind w:firstLine="454"/>
        <w:jc w:val="both"/>
        <w:rPr>
          <w:rFonts w:cs="Times New Roman"/>
          <w:b/>
          <w:bCs/>
          <w:szCs w:val="24"/>
        </w:rPr>
      </w:pPr>
      <w:r>
        <w:rPr>
          <w:rFonts w:eastAsia="Times New Roman" w:cs="Times New Roman"/>
          <w:b/>
          <w:bCs/>
          <w:szCs w:val="24"/>
        </w:rPr>
        <w:t>Risk of Bias and Applicability Concerns</w:t>
      </w:r>
    </w:p>
    <w:p w14:paraId="2AC22A84" w14:textId="77777777" w:rsidR="00F50DC5" w:rsidRDefault="00000000">
      <w:pPr>
        <w:ind w:firstLine="454"/>
        <w:jc w:val="both"/>
        <w:rPr>
          <w:rFonts w:cs="Times New Roman"/>
          <w:szCs w:val="24"/>
          <w:lang w:val="en-ID"/>
        </w:rPr>
      </w:pPr>
      <w:r>
        <w:rPr>
          <w:rFonts w:eastAsia="Times New Roman" w:cs="Times New Roman"/>
        </w:rPr>
        <w:t>The QUADAS-3 assessment (Figure 4) identified a high risk of bias in the participant-selection domain for all studies. This was mainly related to the use of case–control designs comparing patients with confirmed OSCC against healthy individuals rather than consecutively recruiting patients with clinically suspected oral lesions. The risk of bias in the index-test and analysis domains was also high in most articles because biomarker candidates, models, or threshold values were selected and tested in the same participant groups, while external validation remained limited.</w:t>
      </w:r>
    </w:p>
    <w:p w14:paraId="75E5C239" w14:textId="77777777" w:rsidR="00F50DC5" w:rsidRDefault="00000000">
      <w:pPr>
        <w:ind w:firstLine="454"/>
        <w:jc w:val="both"/>
        <w:rPr>
          <w:rFonts w:cs="Times New Roman"/>
          <w:szCs w:val="24"/>
          <w:lang w:val="en-ID"/>
        </w:rPr>
      </w:pPr>
      <w:r>
        <w:rPr>
          <w:rFonts w:eastAsia="Times New Roman" w:cs="Times New Roman"/>
          <w:szCs w:val="24"/>
          <w:lang w:val="en-ID"/>
        </w:rPr>
        <w:t xml:space="preserve">The target-condition domain was generally judged to have a low risk of bias because OSCC diagnoses were confirmed by histopathology. Nevertheless, applicability concerns in the participant domain remained high because of the predominance of healthy controls and the </w:t>
      </w:r>
      <w:r>
        <w:rPr>
          <w:rFonts w:eastAsia="Times New Roman" w:cs="Times New Roman"/>
          <w:szCs w:val="24"/>
          <w:lang w:val="en-ID"/>
        </w:rPr>
        <w:lastRenderedPageBreak/>
        <w:t>inclusion of mixed disease stages. A sensitivity analysis excluding all studies at high risk of bias could not be conducted because every quantitative study had at least one domain judged to be at high risk.</w:t>
      </w:r>
    </w:p>
    <w:p w14:paraId="0A58EE5C"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Pooled Diagnostic Accuracy</w:t>
      </w:r>
    </w:p>
    <w:p w14:paraId="10BCF766" w14:textId="77777777" w:rsidR="00F50DC5" w:rsidRDefault="00000000">
      <w:pPr>
        <w:ind w:firstLine="454"/>
        <w:jc w:val="both"/>
        <w:rPr>
          <w:rFonts w:cs="Times New Roman"/>
          <w:szCs w:val="24"/>
        </w:rPr>
      </w:pPr>
      <w:r>
        <w:rPr>
          <w:rFonts w:eastAsia="Times New Roman" w:cs="Times New Roman"/>
          <w:szCs w:val="24"/>
        </w:rPr>
        <w:t xml:space="preserve">The pooled analysis included seven studies that met the requirements for quantitative synthesis. A random-effects model was used because of differences in microRNA type, panel composition, comparator-group characteristics, analytical methods, threshold values, and model-development stages. The analysis produced estimates of sensitivity, specificity, likelihood ratios, </w:t>
      </w:r>
      <w:proofErr w:type="spellStart"/>
      <w:r>
        <w:rPr>
          <w:rFonts w:eastAsia="Times New Roman" w:cs="Times New Roman"/>
          <w:szCs w:val="24"/>
        </w:rPr>
        <w:t>logDOR</w:t>
      </w:r>
      <w:proofErr w:type="spellEnd"/>
      <w:r>
        <w:rPr>
          <w:rFonts w:eastAsia="Times New Roman" w:cs="Times New Roman"/>
          <w:szCs w:val="24"/>
        </w:rPr>
        <w:t>, DOR, SROC AUC, prediction intervals, and between-study heterogeneity, as presented in Table 6.</w:t>
      </w:r>
    </w:p>
    <w:p w14:paraId="3C6BAB78" w14:textId="77777777" w:rsidR="00F50DC5" w:rsidRDefault="00000000">
      <w:pPr>
        <w:keepNext/>
        <w:spacing w:before="160"/>
        <w:ind w:firstLine="454"/>
        <w:rPr>
          <w:rFonts w:cs="Times New Roman"/>
          <w:szCs w:val="24"/>
        </w:rPr>
      </w:pPr>
      <w:r>
        <w:rPr>
          <w:rFonts w:eastAsia="Times New Roman" w:cs="Times New Roman"/>
          <w:szCs w:val="24"/>
        </w:rPr>
        <w:t xml:space="preserve">Table 6 shows numerically high exploratory discrimination in the pooled dataset, with a pooled sensitivity of 89.1%, specificity of 84.9%, and DOR of 40.89; however, the very low certainty of evidence and non-hierarchical analytical approach limit confidence in the magnitude and clinical transportability of these estimates. The LR+ of 5.90 indicates that a positive result increases the likelihood of OSCC, whereas the LR− of 0.128 indicates that a negative result may reduce the likelihood of disease, although it remains insufficient to replace histopathological confirmation. The exploratory SROC AUC of 0.935 is consistent with high apparent discrimination in the analyzed studies but does not establish clinical utility. Heterogeneity was low to moderate, with I² = 34.46%, </w:t>
      </w:r>
      <w:proofErr w:type="gramStart"/>
      <w:r>
        <w:rPr>
          <w:rFonts w:eastAsia="Times New Roman" w:cs="Times New Roman"/>
          <w:szCs w:val="24"/>
        </w:rPr>
        <w:t>Q(</w:t>
      </w:r>
      <w:proofErr w:type="gramEnd"/>
      <w:r>
        <w:rPr>
          <w:rFonts w:eastAsia="Times New Roman" w:cs="Times New Roman"/>
          <w:szCs w:val="24"/>
        </w:rPr>
        <w:t xml:space="preserve">6) = 9.15, and </w:t>
      </w:r>
      <w:r>
        <w:rPr>
          <w:rFonts w:eastAsia="Times New Roman" w:cs="Times New Roman"/>
          <w:i/>
          <w:iCs/>
          <w:szCs w:val="24"/>
        </w:rPr>
        <w:t>p</w:t>
      </w:r>
      <w:r>
        <w:rPr>
          <w:rFonts w:eastAsia="Times New Roman" w:cs="Times New Roman"/>
          <w:szCs w:val="24"/>
        </w:rPr>
        <w:t xml:space="preserve"> = 0.165, whereas τ = 0.55 and τ² = 0.301 indicate that some between-study variation remained. The wide DOR prediction interval indicates that diagnostic accuracy in future studies may vary according to the biomarker candidate, comparator type, examination method, threshold value, and derivation or validation status of the cohort.</w:t>
      </w:r>
    </w:p>
    <w:p w14:paraId="099DE2E7" w14:textId="77777777" w:rsidR="00F50DC5" w:rsidRDefault="00F50DC5">
      <w:pPr>
        <w:jc w:val="both"/>
        <w:rPr>
          <w:rFonts w:cs="Times New Roman"/>
          <w:szCs w:val="24"/>
        </w:rPr>
      </w:pPr>
    </w:p>
    <w:p w14:paraId="09167643" w14:textId="77777777" w:rsidR="00F50DC5" w:rsidRDefault="00000000">
      <w:pPr>
        <w:keepNext/>
        <w:spacing w:before="240" w:after="120" w:line="240" w:lineRule="auto"/>
        <w:rPr>
          <w:rFonts w:cs="Times New Roman"/>
          <w:b/>
          <w:bCs/>
          <w:szCs w:val="24"/>
        </w:rPr>
      </w:pPr>
      <w:r>
        <w:rPr>
          <w:rFonts w:eastAsia="Times New Roman" w:cs="Times New Roman"/>
          <w:b/>
          <w:bCs/>
          <w:szCs w:val="24"/>
        </w:rPr>
        <w:lastRenderedPageBreak/>
        <w:t>DISCUSSION</w:t>
      </w:r>
    </w:p>
    <w:p w14:paraId="3DC3A09D"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Diagnostic Accuracy of Salivary miRNA</w:t>
      </w:r>
    </w:p>
    <w:p w14:paraId="14F56A53" w14:textId="77777777" w:rsidR="00F50DC5" w:rsidRDefault="00000000">
      <w:pPr>
        <w:ind w:firstLine="454"/>
        <w:jc w:val="both"/>
        <w:rPr>
          <w:rFonts w:cs="Times New Roman"/>
          <w:szCs w:val="24"/>
          <w:lang w:val="en-ID"/>
        </w:rPr>
      </w:pPr>
      <w:r>
        <w:rPr>
          <w:rFonts w:eastAsia="Times New Roman" w:cs="Times New Roman"/>
          <w:szCs w:val="24"/>
          <w:lang w:val="en-ID"/>
        </w:rPr>
        <w:t>The quantitative synthesis of seven studies yielded a pooled sensitivity of 0.891, specificity of 0.849, positive likelihood ratio (LR+) of 5.90, negative likelihood ratio (LR−) of 0.128, and an area under the summary receiver operating characteristic curve (SROC AUC) of 0.935. The pooled diagnostic odds ratio (DOR) of 40.89 indicates that the odds of obtaining a positive salivary microRNA test result were higher among participants with oral squamous cell carcinoma (OSCC) than among participants without OSCC. However, the DOR should not be interpreted as a risk ratio or as the probability that an individual has OSCC, because the clinical meaning of a test result remains dependent on the pretest probability of disease, the characteristics of the population, and the threshold applied. Statistical heterogeneity was low to moderate, with Q(6) = 9.15, p = 0.165, I² = 34.46%, τ = 0.55, and τ² = 0.301. Nevertheless, the wide DOR prediction interval of 6.93–241.12 indicates that diagnostic performance in future studies may vary substantially. Excluding studies with zero cells reduced the DOR to 36.78 but did not change the direction of the conclusion. Thus, the overall findings were not entirely driven by studies reporting perfect classification, although these small studies still increased the magnitude of the estimate and the uncertainty surrounding the results.</w:t>
      </w:r>
    </w:p>
    <w:p w14:paraId="25FCA9FA" w14:textId="77777777" w:rsidR="00F50DC5" w:rsidRDefault="00000000">
      <w:pPr>
        <w:ind w:firstLine="454"/>
        <w:jc w:val="both"/>
        <w:rPr>
          <w:rFonts w:cs="Times New Roman"/>
          <w:szCs w:val="24"/>
          <w:lang w:val="en-ID"/>
        </w:rPr>
      </w:pPr>
      <w:r>
        <w:rPr>
          <w:rFonts w:eastAsia="Times New Roman" w:cs="Times New Roman"/>
          <w:szCs w:val="24"/>
          <w:lang w:val="en-ID"/>
        </w:rPr>
        <w:t>Three of the seven quantitative studies (42.9%) contained at least one zero cell, including one small study in which all 40 participants were classified correctly. Complete separation of this kind in a small sample can produce unstable and inflated diagnostic odds ratios and should not be assumed to persist in larger, independently recruited validation cohorts. The sensitivity analysis excluding zero-cell studies reduced the pooled DOR and retained the same direction of association, but it does not remove the broader concern that small development samples can overstate diagnostic performance.</w:t>
      </w:r>
    </w:p>
    <w:p w14:paraId="69119BA8" w14:textId="77777777" w:rsidR="00F50DC5" w:rsidRDefault="00000000">
      <w:pPr>
        <w:ind w:firstLine="454"/>
        <w:jc w:val="both"/>
        <w:rPr>
          <w:rFonts w:cs="Times New Roman"/>
          <w:szCs w:val="24"/>
          <w:lang w:val="en-ID"/>
        </w:rPr>
      </w:pPr>
      <w:r>
        <w:rPr>
          <w:rFonts w:eastAsia="Times New Roman" w:cs="Times New Roman"/>
          <w:szCs w:val="24"/>
          <w:lang w:val="en-ID"/>
        </w:rPr>
        <w:t xml:space="preserve">The pooled estimate should be regarded as an exploratory pooled analysis because the biomarkers included in the synthesis did not originate from an identical diagnostic test. The </w:t>
      </w:r>
      <w:r>
        <w:rPr>
          <w:rFonts w:eastAsia="Times New Roman" w:cs="Times New Roman"/>
          <w:szCs w:val="24"/>
          <w:lang w:val="en-ID"/>
        </w:rPr>
        <w:lastRenderedPageBreak/>
        <w:t xml:space="preserve">studies evaluated different individual microRNAs or panels, used varying types of saliva and processing methods, employed nonuniform analytical platforms, applied different thresholds, and included derivation and validation cohorts with </w:t>
      </w:r>
      <w:proofErr w:type="spellStart"/>
      <w:r>
        <w:rPr>
          <w:rFonts w:eastAsia="Times New Roman" w:cs="Times New Roman"/>
          <w:szCs w:val="24"/>
          <w:lang w:val="en-ID"/>
        </w:rPr>
        <w:t>nonequivalent</w:t>
      </w:r>
      <w:proofErr w:type="spellEnd"/>
      <w:r>
        <w:rPr>
          <w:rFonts w:eastAsia="Times New Roman" w:cs="Times New Roman"/>
          <w:szCs w:val="24"/>
          <w:lang w:val="en-ID"/>
        </w:rPr>
        <w:t xml:space="preserve"> characteristics. Therefore, the estimate reflects the general tendency of salivary microRNAs to discriminate between OSCC and non-OSCC conditions rather than the accuracy of a specific diagnostic product or panel.</w:t>
      </w:r>
    </w:p>
    <w:p w14:paraId="638D72F1"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Comparison with Previous Evidence</w:t>
      </w:r>
    </w:p>
    <w:p w14:paraId="447F6B81" w14:textId="3098EDF8" w:rsidR="00F50DC5" w:rsidRDefault="00000000">
      <w:pPr>
        <w:ind w:firstLine="454"/>
        <w:jc w:val="both"/>
        <w:rPr>
          <w:rFonts w:cs="Times New Roman"/>
          <w:szCs w:val="24"/>
        </w:rPr>
      </w:pPr>
      <w:r>
        <w:rPr>
          <w:rFonts w:eastAsia="Times New Roman" w:cs="Times New Roman"/>
          <w:szCs w:val="24"/>
        </w:rPr>
        <w:t>The pooled sensitivity and AUC estimates in the present study were higher than those reported in several previous meta-analy</w:t>
      </w:r>
      <w:r w:rsidR="007D6BCA">
        <w:rPr>
          <w:rFonts w:eastAsia="Times New Roman" w:cs="Times New Roman"/>
          <w:szCs w:val="24"/>
        </w:rPr>
        <w:t>s</w:t>
      </w:r>
      <w:r>
        <w:rPr>
          <w:rFonts w:eastAsia="Times New Roman" w:cs="Times New Roman"/>
          <w:szCs w:val="24"/>
        </w:rPr>
        <w:t>es. An earlier meta-analysis of salivary microRNAs for OSCC diagnosis reported a pooled sensitivity of approximately 0.70, specificity of 0.82, and AUC of 0.80.</w:t>
      </w:r>
      <w:r>
        <w:rPr>
          <w:rFonts w:eastAsia="Times New Roman" w:cs="Times New Roman"/>
          <w:noProof/>
          <w:szCs w:val="24"/>
          <w:vertAlign w:val="superscript"/>
        </w:rPr>
        <w:t>5</w:t>
      </w:r>
      <w:r>
        <w:rPr>
          <w:rFonts w:eastAsia="Times New Roman" w:cs="Times New Roman"/>
          <w:szCs w:val="24"/>
        </w:rPr>
        <w:t xml:space="preserve"> A more recent comparative meta-analysis using a bivariate model reported a salivary sensitivity of 0.76, specificity of 0.79, and AUC of 0.84.</w:t>
      </w:r>
      <w:r>
        <w:rPr>
          <w:rFonts w:eastAsia="Times New Roman" w:cs="Times New Roman"/>
          <w:noProof/>
          <w:szCs w:val="24"/>
          <w:vertAlign w:val="superscript"/>
        </w:rPr>
        <w:t>6</w:t>
      </w:r>
      <w:r>
        <w:rPr>
          <w:rFonts w:eastAsia="Times New Roman" w:cs="Times New Roman"/>
          <w:szCs w:val="24"/>
        </w:rPr>
        <w:t xml:space="preserve"> These differences may be related to the broader disease scope of the previous studies and the inclusion of more recent studies and high-performing panels in the present review.</w:t>
      </w:r>
    </w:p>
    <w:p w14:paraId="674C198A" w14:textId="4951E016" w:rsidR="00F50DC5" w:rsidRDefault="00000000">
      <w:pPr>
        <w:ind w:firstLine="454"/>
        <w:jc w:val="both"/>
        <w:rPr>
          <w:rFonts w:cs="Times New Roman"/>
          <w:szCs w:val="24"/>
        </w:rPr>
      </w:pPr>
      <w:r>
        <w:rPr>
          <w:rFonts w:eastAsia="Times New Roman" w:cs="Times New Roman"/>
          <w:szCs w:val="24"/>
        </w:rPr>
        <w:t>A synthesis combining microRNAs derived from saliva and blood for oral and oropharyngeal cancers reported a sensitivity of 0.70, specificity of 0.75, DOR of 7, and AUC of 0.78.</w:t>
      </w:r>
      <w:r>
        <w:rPr>
          <w:rFonts w:eastAsia="Times New Roman" w:cs="Times New Roman"/>
          <w:noProof/>
          <w:szCs w:val="24"/>
          <w:vertAlign w:val="superscript"/>
        </w:rPr>
        <w:t>18</w:t>
      </w:r>
      <w:r>
        <w:rPr>
          <w:rFonts w:eastAsia="Times New Roman" w:cs="Times New Roman"/>
          <w:szCs w:val="24"/>
        </w:rPr>
        <w:t xml:space="preserve"> In contrast, the present study was restricted to OSCC and saliva and prioritized one principal estimate from each participant group. Differences in the target population, biofluid, model-selection rules, and composition of the comparator groups mean that the results of these meta-analy</w:t>
      </w:r>
      <w:r w:rsidR="007D6BCA">
        <w:rPr>
          <w:rFonts w:eastAsia="Times New Roman" w:cs="Times New Roman"/>
          <w:szCs w:val="24"/>
        </w:rPr>
        <w:t>s</w:t>
      </w:r>
      <w:r>
        <w:rPr>
          <w:rFonts w:eastAsia="Times New Roman" w:cs="Times New Roman"/>
          <w:szCs w:val="24"/>
        </w:rPr>
        <w:t>es cannot be compared directly. The higher values observed in the present study also do not indicate that the test is more ready for clinical implementation, particularly because most studies used case–control designs involving groups that were relatively easy to distinguish.</w:t>
      </w:r>
    </w:p>
    <w:p w14:paraId="6D7CAFA0" w14:textId="77777777" w:rsidR="00F50DC5" w:rsidRDefault="00000000">
      <w:pPr>
        <w:ind w:firstLine="454"/>
        <w:jc w:val="both"/>
        <w:rPr>
          <w:rFonts w:cs="Times New Roman"/>
          <w:szCs w:val="24"/>
        </w:rPr>
      </w:pPr>
      <w:r>
        <w:rPr>
          <w:rFonts w:eastAsia="Times New Roman" w:cs="Times New Roman"/>
          <w:szCs w:val="24"/>
        </w:rPr>
        <w:t xml:space="preserve">The literature on salivary biomarkers for oral cancer includes proteins, cytokines, RNA, DNA, metabolites, and biomarker combinations, with varying levels of methodological quality </w:t>
      </w:r>
      <w:r>
        <w:rPr>
          <w:rFonts w:eastAsia="Times New Roman" w:cs="Times New Roman"/>
          <w:szCs w:val="24"/>
        </w:rPr>
        <w:lastRenderedPageBreak/>
        <w:t>and validation.</w:t>
      </w:r>
      <w:r>
        <w:rPr>
          <w:rFonts w:eastAsia="Times New Roman" w:cs="Times New Roman"/>
          <w:noProof/>
          <w:szCs w:val="24"/>
          <w:vertAlign w:val="superscript"/>
        </w:rPr>
        <w:t>7,19</w:t>
      </w:r>
      <w:r>
        <w:rPr>
          <w:rFonts w:eastAsia="Times New Roman" w:cs="Times New Roman"/>
          <w:szCs w:val="24"/>
        </w:rPr>
        <w:t xml:space="preserve"> A meta-analysis covering several classes of salivary biomarkers reported a sensitivity of 0.64, specificity of 0.71, DOR of 4.53, and AUC of 0.75. It also showed that clinical usefulness was influenced by the baseline probability of OSCC in the population being tested.</w:t>
      </w:r>
      <w:r>
        <w:rPr>
          <w:rFonts w:eastAsia="Times New Roman" w:cs="Times New Roman"/>
          <w:noProof/>
          <w:szCs w:val="24"/>
          <w:vertAlign w:val="superscript"/>
        </w:rPr>
        <w:t>20</w:t>
      </w:r>
      <w:r>
        <w:rPr>
          <w:rFonts w:eastAsia="Times New Roman" w:cs="Times New Roman"/>
          <w:szCs w:val="24"/>
        </w:rPr>
        <w:t xml:space="preserve"> These findings support the interpretation that the high performance reported in highly selected microRNA studies may not necessarily be replicated when the biomarkers are applied to a broader patient spectrum.</w:t>
      </w:r>
    </w:p>
    <w:p w14:paraId="636A8DED"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Influence of Comparator Group Type</w:t>
      </w:r>
    </w:p>
    <w:p w14:paraId="09D3A03B" w14:textId="77777777" w:rsidR="00F50DC5" w:rsidRDefault="00000000">
      <w:pPr>
        <w:ind w:firstLine="454"/>
        <w:jc w:val="both"/>
        <w:rPr>
          <w:rFonts w:cs="Times New Roman"/>
          <w:szCs w:val="24"/>
        </w:rPr>
      </w:pPr>
      <w:r>
        <w:rPr>
          <w:rFonts w:eastAsia="Times New Roman" w:cs="Times New Roman"/>
          <w:szCs w:val="24"/>
        </w:rPr>
        <w:t xml:space="preserve">The composition of the comparator groups represented one of the most important sources of indirectness in the present study. Six of the seven studies included in the quantitative synthesis used healthy controls as their primary comparator, whereas one study used a combined group of patients with oral lichen planus (OLP) and healthy individuals. The analysis restricted to healthy controls produced a sensitivity of 0.885, specificity of 0.870, and DOR of 51.12. These values primarily reflect the ability to distinguish patients with confirmed OSCC from individuals without oral lesions rather than the ability to identify OSCC among patients with leukoplakia, </w:t>
      </w:r>
      <w:proofErr w:type="spellStart"/>
      <w:r>
        <w:rPr>
          <w:rFonts w:eastAsia="Times New Roman" w:cs="Times New Roman"/>
          <w:szCs w:val="24"/>
        </w:rPr>
        <w:t>erythroplakia</w:t>
      </w:r>
      <w:proofErr w:type="spellEnd"/>
      <w:r>
        <w:rPr>
          <w:rFonts w:eastAsia="Times New Roman" w:cs="Times New Roman"/>
          <w:szCs w:val="24"/>
        </w:rPr>
        <w:t>, OLP, inflammation, trauma, or other benign lesions.</w:t>
      </w:r>
    </w:p>
    <w:p w14:paraId="16B6B6D3" w14:textId="77777777" w:rsidR="00F50DC5" w:rsidRDefault="00000000">
      <w:pPr>
        <w:ind w:firstLine="454"/>
        <w:jc w:val="both"/>
        <w:rPr>
          <w:rFonts w:cs="Times New Roman"/>
          <w:szCs w:val="24"/>
        </w:rPr>
      </w:pPr>
      <w:r>
        <w:rPr>
          <w:rFonts w:eastAsia="Times New Roman" w:cs="Times New Roman"/>
          <w:szCs w:val="24"/>
        </w:rPr>
        <w:t>Panel performance changed when OSCC was compared with oral potentially malignant disorders (OPMDs) rather than with healthy controls.</w:t>
      </w:r>
      <w:r>
        <w:rPr>
          <w:rFonts w:eastAsia="Times New Roman" w:cs="Times New Roman"/>
          <w:noProof/>
          <w:szCs w:val="24"/>
          <w:vertAlign w:val="superscript"/>
        </w:rPr>
        <w:t>3</w:t>
      </w:r>
      <w:r>
        <w:rPr>
          <w:rFonts w:eastAsia="Times New Roman" w:cs="Times New Roman"/>
          <w:szCs w:val="24"/>
        </w:rPr>
        <w:t xml:space="preserve"> High sensitivity in comparisons between OSCC and a combined group of patients with OLP and healthy individuals was also accompanied by lower specificity.</w:t>
      </w:r>
      <w:r>
        <w:rPr>
          <w:rFonts w:eastAsia="Times New Roman" w:cs="Times New Roman"/>
          <w:noProof/>
          <w:szCs w:val="24"/>
          <w:vertAlign w:val="superscript"/>
        </w:rPr>
        <w:t>10</w:t>
      </w:r>
      <w:r>
        <w:rPr>
          <w:rFonts w:eastAsia="Times New Roman" w:cs="Times New Roman"/>
          <w:szCs w:val="24"/>
        </w:rPr>
        <w:t xml:space="preserve"> In addition, microRNA expression patterns may overlap between OSCC and OPMDs, making it more difficult to distinguish these conditions than to distinguish OSCC from healthy individuals.</w:t>
      </w:r>
      <w:sdt>
        <w:sdtPr>
          <w:rPr>
            <w:rFonts w:cs="Times New Roman"/>
            <w:color w:val="000000"/>
            <w:szCs w:val="24"/>
            <w:vertAlign w:val="superscript"/>
          </w:rPr>
          <w:tag w:val="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
          <w:id w:val="-1180346529"/>
          <w:placeholder>
            <w:docPart w:val="DefaultPlaceholder_-1854013440"/>
          </w:placeholder>
        </w:sdtPr>
        <w:sdtContent>
          <w:r>
            <w:rPr>
              <w:rFonts w:cs="Times New Roman"/>
              <w:color w:val="000000"/>
              <w:szCs w:val="24"/>
              <w:vertAlign w:val="superscript"/>
            </w:rPr>
            <w:t>11</w:t>
          </w:r>
        </w:sdtContent>
      </w:sdt>
      <w:r>
        <w:rPr>
          <w:rFonts w:eastAsia="Times New Roman" w:cs="Times New Roman"/>
          <w:szCs w:val="24"/>
        </w:rPr>
        <w:t xml:space="preserve"> These findings indicate that clinical controls present a more realistic diagnostic challenge.</w:t>
      </w:r>
    </w:p>
    <w:p w14:paraId="7A9089C0" w14:textId="77777777" w:rsidR="00F50DC5" w:rsidRDefault="00000000">
      <w:pPr>
        <w:ind w:firstLine="454"/>
        <w:jc w:val="both"/>
        <w:rPr>
          <w:rFonts w:cs="Times New Roman"/>
          <w:szCs w:val="24"/>
        </w:rPr>
      </w:pPr>
      <w:r>
        <w:rPr>
          <w:rFonts w:eastAsia="Times New Roman" w:cs="Times New Roman"/>
          <w:szCs w:val="24"/>
        </w:rPr>
        <w:t xml:space="preserve">Studies of salivary biomarkers that included patients with OSCC, OLP, oral submucous fibrosis, and healthy controls demonstrated that biomarker performance may vary according to the disease spectrum being compared. Risk factors and the presence of OPMDs should be </w:t>
      </w:r>
      <w:r>
        <w:rPr>
          <w:rFonts w:eastAsia="Times New Roman" w:cs="Times New Roman"/>
          <w:szCs w:val="24"/>
        </w:rPr>
        <w:lastRenderedPageBreak/>
        <w:t>considered when evaluating salivary biomarkers because both may influence molecular expression and classification accuracy.</w:t>
      </w:r>
      <w:r>
        <w:rPr>
          <w:rFonts w:eastAsia="Times New Roman" w:cs="Times New Roman"/>
          <w:noProof/>
          <w:szCs w:val="24"/>
          <w:vertAlign w:val="superscript"/>
        </w:rPr>
        <w:t>21</w:t>
      </w:r>
      <w:r>
        <w:rPr>
          <w:rFonts w:eastAsia="Times New Roman" w:cs="Times New Roman"/>
          <w:szCs w:val="24"/>
        </w:rPr>
        <w:t xml:space="preserve"> The use of clinical comparator groups is also required to assess the ability of biomarkers to distinguish malignant conditions from premalignant and inflammatory lesions in a more representative manner.</w:t>
      </w:r>
      <w:r>
        <w:rPr>
          <w:rFonts w:eastAsia="Times New Roman" w:cs="Times New Roman"/>
          <w:noProof/>
          <w:szCs w:val="24"/>
          <w:vertAlign w:val="superscript"/>
        </w:rPr>
        <w:t>22</w:t>
      </w:r>
      <w:r>
        <w:rPr>
          <w:rFonts w:eastAsia="Times New Roman" w:cs="Times New Roman"/>
          <w:szCs w:val="24"/>
        </w:rPr>
        <w:t xml:space="preserve"> Therefore, the predominance of healthy controls in the included studies may have inflated estimates of sensitivity and specificity and limited their applicability to clinical practice.</w:t>
      </w:r>
    </w:p>
    <w:p w14:paraId="1601876F"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Performance of Individual miRNAs and miRNA Panels</w:t>
      </w:r>
    </w:p>
    <w:p w14:paraId="53B56A64" w14:textId="77777777" w:rsidR="00F50DC5" w:rsidRDefault="00000000">
      <w:pPr>
        <w:ind w:firstLine="454"/>
        <w:jc w:val="both"/>
        <w:rPr>
          <w:rFonts w:cs="Times New Roman"/>
          <w:szCs w:val="24"/>
        </w:rPr>
      </w:pPr>
      <w:r>
        <w:rPr>
          <w:rFonts w:eastAsia="Times New Roman" w:cs="Times New Roman"/>
          <w:szCs w:val="24"/>
        </w:rPr>
        <w:t>The subgroup analysis of four microRNA panel studies yielded a sensitivity of 0.877, specificity of 0.857, DOR of 42.50, and I² of 13.3%. The lower heterogeneity suggests that the panels evaluated in the selected studies tended to produce relatively balanced performance. From a biological perspective, the use of several microRNAs may capture multiple molecular pathways associated with proliferation, apoptosis, inflammation, invasion, and tumor responses, thereby potentially reducing dependence on a single marker. Combinations of several microRNAs have also frequently demonstrated greater discriminatory ability than individual candidates, although the compositions of the panels remain highly heterogeneous.</w:t>
      </w:r>
      <w:r>
        <w:rPr>
          <w:rFonts w:eastAsia="Times New Roman" w:cs="Times New Roman"/>
          <w:noProof/>
          <w:szCs w:val="24"/>
          <w:vertAlign w:val="superscript"/>
        </w:rPr>
        <w:t>4,23</w:t>
      </w:r>
    </w:p>
    <w:p w14:paraId="71BF5997" w14:textId="77777777" w:rsidR="00F50DC5" w:rsidRDefault="00000000">
      <w:pPr>
        <w:ind w:firstLine="454"/>
        <w:jc w:val="both"/>
        <w:rPr>
          <w:rFonts w:cs="Times New Roman"/>
          <w:szCs w:val="24"/>
          <w:lang w:val="en-ID"/>
        </w:rPr>
      </w:pPr>
      <w:r>
        <w:rPr>
          <w:rFonts w:eastAsia="Times New Roman" w:cs="Times New Roman"/>
          <w:szCs w:val="24"/>
          <w:lang w:val="en-ID"/>
        </w:rPr>
        <w:t xml:space="preserve">The apparent superiority of panels cannot yet be considered definitive because most models were developed and evaluated in the same participant groups. The analysis in the present study produced a DOR of 101.76 in derivation cohorts but only 29.06 in validation cohorts. This difference indicates model optimism resulting from the selection of candidates, coefficients, or thresholds that were tailored to the development data. Panels involving multiple candidates are also more susceptible to overfitting when developed using small samples. Conversely, the pooled analysis of individual microRNAs was not retained because only three studies were available, two of which contained zero cells. Current evidence is therefore insufficient to conclude that panels are consistently superior to individual microRNAs. Such </w:t>
      </w:r>
      <w:r>
        <w:rPr>
          <w:rFonts w:eastAsia="Times New Roman" w:cs="Times New Roman"/>
          <w:szCs w:val="24"/>
          <w:lang w:val="en-ID"/>
        </w:rPr>
        <w:lastRenderedPageBreak/>
        <w:t>comparisons should be conducted directly in the same participants using models and thresholds specified before validation.</w:t>
      </w:r>
    </w:p>
    <w:p w14:paraId="54DCD8D6"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Methodological Variability Across Studies</w:t>
      </w:r>
    </w:p>
    <w:p w14:paraId="377761A2" w14:textId="77777777" w:rsidR="00F50DC5" w:rsidRDefault="00000000">
      <w:pPr>
        <w:ind w:firstLine="454"/>
        <w:jc w:val="both"/>
        <w:rPr>
          <w:rFonts w:cs="Times New Roman"/>
          <w:szCs w:val="24"/>
        </w:rPr>
      </w:pPr>
      <w:r>
        <w:rPr>
          <w:rFonts w:eastAsia="Times New Roman" w:cs="Times New Roman"/>
          <w:szCs w:val="24"/>
        </w:rPr>
        <w:t>Conceptual heterogeneity among the included studies was greater than that reflected by the I² value. The examined specimens included oral swirl samples, whole saliva, salivary supernatant, and salivary exosomes. The analytical platforms included reverse transcription quantitative polymerase chain reaction (RT-qPCR), microarray analysis, and small RNA sequencing, accompanied by differences in RNA extraction methods, internal controls, and normalization strategies. This lack of uniformity remains one of the major obstacles to comparing studies of salivary biomarkers.</w:t>
      </w:r>
      <w:r>
        <w:rPr>
          <w:rFonts w:eastAsia="Times New Roman" w:cs="Times New Roman"/>
          <w:noProof/>
          <w:szCs w:val="24"/>
          <w:vertAlign w:val="superscript"/>
        </w:rPr>
        <w:t>7,18</w:t>
      </w:r>
    </w:p>
    <w:p w14:paraId="79E96029" w14:textId="77777777" w:rsidR="00F50DC5" w:rsidRDefault="00000000">
      <w:pPr>
        <w:ind w:firstLine="454"/>
        <w:jc w:val="both"/>
        <w:rPr>
          <w:rFonts w:cs="Times New Roman"/>
          <w:szCs w:val="24"/>
        </w:rPr>
      </w:pPr>
      <w:r>
        <w:rPr>
          <w:rFonts w:eastAsia="Times New Roman" w:cs="Times New Roman"/>
          <w:szCs w:val="24"/>
        </w:rPr>
        <w:t>Variations in fasting conditions, collection time, salivary stimulation, cellular contamination, centrifugation speed, storage temperature, freeze–thaw cycles, extraction methods, reverse-transcription efficiency, and normalizer selection may alter measured microRNA concentrations. Standardization is required throughout all stages, including specimen selection, sample collection and storage, analytical procedures, and interpretation following normalization.</w:t>
      </w:r>
      <w:r>
        <w:rPr>
          <w:rFonts w:eastAsia="Times New Roman" w:cs="Times New Roman"/>
          <w:noProof/>
          <w:szCs w:val="24"/>
          <w:vertAlign w:val="superscript"/>
        </w:rPr>
        <w:t>24</w:t>
      </w:r>
      <w:r>
        <w:rPr>
          <w:rFonts w:eastAsia="Times New Roman" w:cs="Times New Roman"/>
          <w:szCs w:val="24"/>
        </w:rPr>
        <w:t xml:space="preserve"> In the included studies, the use of RNU6, SNORD60, reference microRNAs, or the mean of several controls indicates that relative expression was not reported using a common and readily comparable scale.</w:t>
      </w:r>
    </w:p>
    <w:p w14:paraId="091AFCB5" w14:textId="77777777" w:rsidR="00F50DC5" w:rsidRDefault="00000000">
      <w:pPr>
        <w:ind w:firstLine="454"/>
        <w:jc w:val="both"/>
        <w:rPr>
          <w:rFonts w:cs="Times New Roman"/>
          <w:szCs w:val="24"/>
        </w:rPr>
      </w:pPr>
      <w:r>
        <w:rPr>
          <w:rFonts w:eastAsia="Times New Roman" w:cs="Times New Roman"/>
          <w:szCs w:val="24"/>
        </w:rPr>
        <w:t xml:space="preserve">The exosome-based studies in the body of evidence were not included in the quantitative synthesis because their 2 × 2 diagnostic tables could not be adequately verified. Consequently, the pooled estimates predominantly represented microRNAs obtained from whole saliva, salivary supernatant, or oral swirl samples rather than the specific performance of </w:t>
      </w:r>
      <w:proofErr w:type="spellStart"/>
      <w:r>
        <w:rPr>
          <w:rFonts w:eastAsia="Times New Roman" w:cs="Times New Roman"/>
          <w:szCs w:val="24"/>
        </w:rPr>
        <w:t>exosomal</w:t>
      </w:r>
      <w:proofErr w:type="spellEnd"/>
      <w:r>
        <w:rPr>
          <w:rFonts w:eastAsia="Times New Roman" w:cs="Times New Roman"/>
          <w:szCs w:val="24"/>
        </w:rPr>
        <w:t xml:space="preserve"> microRNAs. Studies based on extracellular vesicles should transparently report the source material, preprocessing procedures, isolation methods, vesicle characterization, non-vesicular contaminants, and analytical procedures in accordance with the MISEV2023 principles.</w:t>
      </w:r>
      <w:r>
        <w:rPr>
          <w:rFonts w:eastAsia="Times New Roman" w:cs="Times New Roman"/>
          <w:noProof/>
          <w:szCs w:val="24"/>
          <w:vertAlign w:val="superscript"/>
        </w:rPr>
        <w:t>25</w:t>
      </w:r>
      <w:r>
        <w:rPr>
          <w:rFonts w:eastAsia="Times New Roman" w:cs="Times New Roman"/>
          <w:szCs w:val="24"/>
        </w:rPr>
        <w:t xml:space="preserve"> </w:t>
      </w:r>
      <w:r>
        <w:rPr>
          <w:rFonts w:eastAsia="Times New Roman" w:cs="Times New Roman"/>
          <w:szCs w:val="24"/>
        </w:rPr>
        <w:lastRenderedPageBreak/>
        <w:t>Incomplete reporting may result in variations in RNA concentrations and profiles that arise from procedural differences rather than biological differences related to disease.</w:t>
      </w:r>
    </w:p>
    <w:p w14:paraId="6B5D7050"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Risk of Bias and Study Validity</w:t>
      </w:r>
    </w:p>
    <w:p w14:paraId="7AAA8E9E" w14:textId="77777777" w:rsidR="00F50DC5" w:rsidRDefault="00000000">
      <w:pPr>
        <w:ind w:firstLine="454"/>
        <w:jc w:val="both"/>
        <w:rPr>
          <w:rFonts w:cs="Times New Roman"/>
          <w:szCs w:val="24"/>
        </w:rPr>
      </w:pPr>
      <w:r>
        <w:rPr>
          <w:rFonts w:eastAsia="Times New Roman" w:cs="Times New Roman"/>
        </w:rPr>
        <w:t>The QUADAS-3 assessment (Figure 4) identified a high risk of bias in the participant domain for all studies included in the quantitative analysis. This finding was primarily caused by the predominance of case–control designs in which patients with confirmed OSCC and healthy controls were recruited separately. The risk of bias in the index-test and analysis domains was also high in most studies because biomarker candidates, models, or thresholds were frequently determined using the same data employed to assess performance. The target-condition domain was comparatively stronger because OSCC diagnoses were generally confirmed through histopathological examination. Assessments of risk of bias and applicability should be performed for the selected diagnostic estimates and compared with an ideal study design aligned with the review question.26</w:t>
      </w:r>
    </w:p>
    <w:p w14:paraId="7C2E306A" w14:textId="77777777" w:rsidR="00F50DC5" w:rsidRDefault="00000000">
      <w:pPr>
        <w:ind w:firstLine="454"/>
        <w:jc w:val="both"/>
        <w:rPr>
          <w:rFonts w:cs="Times New Roman"/>
          <w:szCs w:val="24"/>
        </w:rPr>
      </w:pPr>
      <w:r>
        <w:rPr>
          <w:rFonts w:eastAsia="Times New Roman" w:cs="Times New Roman"/>
          <w:szCs w:val="24"/>
        </w:rPr>
        <w:t>The difference between derivation and validation cohorts supports the findings of the risk-of-bias assessment. In addition, three studies contained zero cells, and several 2 × 2 tables were reconstructed from the reported sample sizes, sensitivities, and specificities. Although conservative reconstruction rules were applied, rounding in the primary articles may still have introduced uncertainty. Potential participant overlap between two publications was addressed by including only one report in the primary analysis. Nevertheless, cohort relatedness could not be entirely excluded on the basis of the available published information.</w:t>
      </w:r>
      <w:r>
        <w:rPr>
          <w:rFonts w:eastAsia="Times New Roman" w:cs="Times New Roman"/>
          <w:noProof/>
          <w:szCs w:val="24"/>
          <w:vertAlign w:val="superscript"/>
        </w:rPr>
        <w:t>8,9</w:t>
      </w:r>
    </w:p>
    <w:p w14:paraId="13045DCD" w14:textId="77777777" w:rsidR="00F50DC5" w:rsidRDefault="00000000">
      <w:pPr>
        <w:ind w:firstLine="454"/>
        <w:jc w:val="both"/>
        <w:rPr>
          <w:rFonts w:cs="Times New Roman"/>
          <w:szCs w:val="24"/>
        </w:rPr>
      </w:pPr>
      <w:r>
        <w:rPr>
          <w:rFonts w:eastAsia="Times New Roman" w:cs="Times New Roman"/>
          <w:szCs w:val="24"/>
        </w:rPr>
        <w:t xml:space="preserve">Using the GRADE approach for diagnostic accuracy, the overall certainty of evidence was rated as very low. The certainty was downgraded primarily because of a very serious risk of bias, indirectness resulting from the predominance of healthy controls and patients with confirmed OSCC, and imprecision resulting from the small number of studies, limited sample sizes, zero cells, and wide confidence and prediction intervals. Statistical inconsistency was not </w:t>
      </w:r>
      <w:r>
        <w:rPr>
          <w:rFonts w:eastAsia="Times New Roman" w:cs="Times New Roman"/>
          <w:szCs w:val="24"/>
        </w:rPr>
        <w:lastRenderedPageBreak/>
        <w:t>considered a major concern, although clinical and analytical heterogeneity should still be taken into account. Very low certainty of evidence does not mean that salivary microRNAs have no diagnostic value. Rather, it indicates limited confidence in the magnitude of the estimates and their applicability to clinical practice.</w:t>
      </w:r>
      <w:r>
        <w:rPr>
          <w:rFonts w:eastAsia="Times New Roman" w:cs="Times New Roman"/>
          <w:noProof/>
          <w:szCs w:val="24"/>
          <w:vertAlign w:val="superscript"/>
        </w:rPr>
        <w:t>17</w:t>
      </w:r>
    </w:p>
    <w:p w14:paraId="298F4EBA" w14:textId="77777777" w:rsidR="00F50DC5" w:rsidRDefault="00000000">
      <w:pPr>
        <w:ind w:firstLine="454"/>
        <w:jc w:val="both"/>
        <w:rPr>
          <w:rFonts w:cs="Times New Roman"/>
          <w:szCs w:val="24"/>
        </w:rPr>
      </w:pPr>
      <w:r>
        <w:rPr>
          <w:rFonts w:eastAsia="Times New Roman" w:cs="Times New Roman"/>
          <w:szCs w:val="24"/>
        </w:rPr>
        <w:t>Potential publication bias could not be adequately evaluated. A Deeks funnel plot was not constructed because only seven independent quantitative estimates were available. The absence of an asymmetry assessment cannot be interpreted as evidence that publication bias was absent. Small biomarker studies reporting negative findings or poor performance may be less likely to be published, whereas articles reporting high AUC values may be more widely represented in the literature.</w:t>
      </w:r>
    </w:p>
    <w:p w14:paraId="79CBF375"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Potential Clinical Application of miRNA</w:t>
      </w:r>
    </w:p>
    <w:p w14:paraId="2047D10F" w14:textId="77777777" w:rsidR="00F50DC5" w:rsidRDefault="00000000">
      <w:pPr>
        <w:ind w:firstLine="454"/>
        <w:jc w:val="both"/>
        <w:rPr>
          <w:rFonts w:cs="Times New Roman"/>
          <w:szCs w:val="24"/>
        </w:rPr>
      </w:pPr>
      <w:r>
        <w:rPr>
          <w:rFonts w:eastAsia="Times New Roman" w:cs="Times New Roman"/>
          <w:szCs w:val="24"/>
        </w:rPr>
        <w:t>The LR+ of 5.90 indicates that a positive test result produces a meaningful increase in the probability of disease but is insufficient to establish a diagnosis independently. The LR− of 0.128 indicates that a negative result may reduce the probability of OSCC, although false-negative findings remain possible. The effects of these likelihood ratios on clinical decisions depend on the pretest probability of OSCC. In a general population with a low disease prevalence, the positive predictive value may remain low even when sensitivity and specificity appear favorable. Salivary biomarkers may therefore be more useful in populations enriched on the basis of symptoms or clinical findings than for general population screening.</w:t>
      </w:r>
      <w:r>
        <w:rPr>
          <w:rFonts w:eastAsia="Times New Roman" w:cs="Times New Roman"/>
          <w:noProof/>
          <w:szCs w:val="24"/>
          <w:vertAlign w:val="superscript"/>
        </w:rPr>
        <w:t>20</w:t>
      </w:r>
    </w:p>
    <w:p w14:paraId="7E2BE22B" w14:textId="77777777" w:rsidR="00F50DC5" w:rsidRDefault="00000000">
      <w:pPr>
        <w:ind w:firstLine="454"/>
        <w:jc w:val="both"/>
        <w:rPr>
          <w:rFonts w:cs="Times New Roman"/>
          <w:szCs w:val="24"/>
        </w:rPr>
      </w:pPr>
      <w:r>
        <w:rPr>
          <w:rFonts w:eastAsia="Times New Roman" w:cs="Times New Roman"/>
          <w:szCs w:val="24"/>
        </w:rPr>
        <w:t xml:space="preserve">The findings of the present study do not demonstrate a specific ability to detect stage I–II OSCC because early-stage disease was not reported separately and consistently. Most participants were patients who had already received an OSCC diagnosis and represented a mixture of early- and advanced-stage disease. The resulting estimates therefore reflect the general diagnostic discrimination of OSCC rather than screening performance or early detection among individuals without an established diagnosis. Longitudinal evidence regarding the </w:t>
      </w:r>
      <w:r>
        <w:rPr>
          <w:rFonts w:eastAsia="Times New Roman" w:cs="Times New Roman"/>
          <w:szCs w:val="24"/>
        </w:rPr>
        <w:lastRenderedPageBreak/>
        <w:t>ability of salivary microRNAs to predict malignant transformation in OPMDs also remains limited.</w:t>
      </w:r>
      <w:r>
        <w:rPr>
          <w:rFonts w:eastAsia="Times New Roman" w:cs="Times New Roman"/>
          <w:noProof/>
          <w:szCs w:val="24"/>
          <w:vertAlign w:val="superscript"/>
        </w:rPr>
        <w:t>23</w:t>
      </w:r>
    </w:p>
    <w:p w14:paraId="749094E3" w14:textId="77777777" w:rsidR="00F50DC5" w:rsidRDefault="00000000">
      <w:pPr>
        <w:ind w:firstLine="454"/>
        <w:jc w:val="both"/>
        <w:rPr>
          <w:rFonts w:cs="Times New Roman"/>
          <w:szCs w:val="24"/>
        </w:rPr>
      </w:pPr>
      <w:r>
        <w:rPr>
          <w:rFonts w:eastAsia="Times New Roman" w:cs="Times New Roman"/>
          <w:szCs w:val="24"/>
        </w:rPr>
        <w:t>At the current stage of evidence, salivary microRNAs warrant further evaluation as adjunctive biomarkers for OSCC triage. Such tests cannot yet replace clinical evaluation, biopsy, or histopathological examination and are not ready to be recommended for routine clinical use. A potential role to be examined in future studies is assisting in the identification of patients with suspicious lesions who require more rapid referral or definitive testing rather than establishing the final diagnosis. These biomarker candidates still require broader standardization and validation before they can be implemented in clinical services.</w:t>
      </w:r>
      <w:sdt>
        <w:sdtPr>
          <w:rPr>
            <w:rFonts w:cs="Times New Roman"/>
            <w:color w:val="000000"/>
            <w:szCs w:val="24"/>
            <w:vertAlign w:val="superscript"/>
          </w:rPr>
          <w:tag w:val="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
          <w:id w:val="1975798898"/>
          <w:placeholder>
            <w:docPart w:val="DefaultPlaceholder_-1854013440"/>
          </w:placeholder>
        </w:sdtPr>
        <w:sdtContent>
          <w:r>
            <w:rPr>
              <w:rFonts w:cs="Times New Roman"/>
              <w:color w:val="000000"/>
              <w:szCs w:val="24"/>
              <w:vertAlign w:val="superscript"/>
            </w:rPr>
            <w:t>4</w:t>
          </w:r>
        </w:sdtContent>
      </w:sdt>
    </w:p>
    <w:p w14:paraId="69ACBFAC"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Strengths and Limitations of the Study</w:t>
      </w:r>
    </w:p>
    <w:p w14:paraId="23422964" w14:textId="51C35778" w:rsidR="00F50DC5" w:rsidRDefault="00000000">
      <w:pPr>
        <w:ind w:firstLine="454"/>
        <w:jc w:val="both"/>
        <w:rPr>
          <w:rFonts w:cs="Times New Roman"/>
          <w:szCs w:val="24"/>
        </w:rPr>
      </w:pPr>
      <w:r>
        <w:rPr>
          <w:rFonts w:eastAsia="Times New Roman" w:cs="Times New Roman"/>
          <w:szCs w:val="24"/>
        </w:rPr>
        <w:t>The strengths of the present study include its specific restriction of the target disease to OSCC, the separation of healthy and clinical controls, and the distinction between quantitative and narrative synthesis. Each participant group contributed only one primary estimate, validation cohorts were prioritized over derivation cohorts, and two reports that potentially included the same participants were not included simultaneously in the primary analysis. The 2 × 2 tables were also verified against the source articles, and studies with data that could not be established with sufficient certainty were not forced into the quantitative synthesis. Sensitivity analy</w:t>
      </w:r>
      <w:r w:rsidR="007D6BCA">
        <w:rPr>
          <w:rFonts w:eastAsia="Times New Roman" w:cs="Times New Roman"/>
          <w:szCs w:val="24"/>
        </w:rPr>
        <w:t>s</w:t>
      </w:r>
      <w:r>
        <w:rPr>
          <w:rFonts w:eastAsia="Times New Roman" w:cs="Times New Roman"/>
          <w:szCs w:val="24"/>
        </w:rPr>
        <w:t>es excluding studies with zero cells and analy</w:t>
      </w:r>
      <w:r w:rsidR="007D6BCA">
        <w:rPr>
          <w:rFonts w:eastAsia="Times New Roman" w:cs="Times New Roman"/>
          <w:szCs w:val="24"/>
        </w:rPr>
        <w:t>s</w:t>
      </w:r>
      <w:r>
        <w:rPr>
          <w:rFonts w:eastAsia="Times New Roman" w:cs="Times New Roman"/>
          <w:szCs w:val="24"/>
        </w:rPr>
        <w:t>es according to comparator type, biomarker format, and validation status helped identify the sources of uncertainty in the findings.</w:t>
      </w:r>
    </w:p>
    <w:p w14:paraId="3C3A9721" w14:textId="5EA5602C" w:rsidR="00F50DC5" w:rsidRDefault="00000000">
      <w:pPr>
        <w:ind w:firstLine="454"/>
        <w:jc w:val="both"/>
        <w:rPr>
          <w:rFonts w:cs="Times New Roman"/>
          <w:szCs w:val="24"/>
        </w:rPr>
      </w:pPr>
      <w:r>
        <w:rPr>
          <w:rFonts w:eastAsia="Times New Roman" w:cs="Times New Roman"/>
          <w:szCs w:val="24"/>
        </w:rPr>
        <w:t xml:space="preserve">The principal limitations of the present study were the scarcity of data specifically concerning stage I–II disease, the predominance of case–control designs, and the use of healthy controls that did not reflect the patient spectrum encountered in clinical practice. MicroRNA candidates, panel compositions, salivary fractions, analytical platforms, normalizers, and thresholds were also highly variable. Several 2 × 2 tables were derived from rounded sensitivity </w:t>
      </w:r>
      <w:r>
        <w:rPr>
          <w:rFonts w:eastAsia="Times New Roman" w:cs="Times New Roman"/>
          <w:szCs w:val="24"/>
        </w:rPr>
        <w:lastRenderedPageBreak/>
        <w:t>and specificity values, leaving the possibility of classification uncertainty. Three studies contained zero cells, and several models originated from small derivation cohorts. Potential cohort overlap could not be entirely excluded, whereas the number of studies was insufficient to evaluate small-study effects and publication bias. Certain subgroup analy</w:t>
      </w:r>
      <w:r w:rsidR="007D6BCA">
        <w:rPr>
          <w:rFonts w:eastAsia="Times New Roman" w:cs="Times New Roman"/>
          <w:szCs w:val="24"/>
        </w:rPr>
        <w:t>s</w:t>
      </w:r>
      <w:r>
        <w:rPr>
          <w:rFonts w:eastAsia="Times New Roman" w:cs="Times New Roman"/>
          <w:szCs w:val="24"/>
        </w:rPr>
        <w:t xml:space="preserve">es, particularly those involving clinical controls, individual microRNAs, and </w:t>
      </w:r>
      <w:proofErr w:type="spellStart"/>
      <w:r>
        <w:rPr>
          <w:rFonts w:eastAsia="Times New Roman" w:cs="Times New Roman"/>
          <w:szCs w:val="24"/>
        </w:rPr>
        <w:t>exosomal</w:t>
      </w:r>
      <w:proofErr w:type="spellEnd"/>
      <w:r>
        <w:rPr>
          <w:rFonts w:eastAsia="Times New Roman" w:cs="Times New Roman"/>
          <w:szCs w:val="24"/>
        </w:rPr>
        <w:t xml:space="preserve"> fractions, also failed to produce stable estimates because too few studies were available.</w:t>
      </w:r>
    </w:p>
    <w:p w14:paraId="2EC49080" w14:textId="77777777" w:rsidR="00F50DC5" w:rsidRDefault="00000000">
      <w:pPr>
        <w:ind w:firstLine="454"/>
        <w:jc w:val="both"/>
        <w:rPr>
          <w:rFonts w:cs="Times New Roman"/>
          <w:szCs w:val="24"/>
        </w:rPr>
      </w:pPr>
      <w:r>
        <w:rPr>
          <w:rFonts w:eastAsia="Times New Roman" w:cs="Times New Roman"/>
          <w:szCs w:val="24"/>
        </w:rPr>
        <w:t>Additional methodological limitations should be emphasized. The review was not prospectively registered, which reduces external verification of prespecified review decisions. Embase was not searched because subscription access was unavailable to the review team and institution, while Web of Science and CENTRAL were also absent from the prespecified database set; eligible studies indexed only in those sources may therefore have been missed. Six of seven quantitative studies relied on reconstructed 2 × 2 tables, and a meaningful pooled direct-versus-reconstructed comparison was not possible because only one quantitative study contributed directly verifiable classification data. In addition, the JASP workflow used in this review did not permit a diagnostic bivariate/HSROC model, so pooled sensitivity, pooled specificity, and the SROC estimate remain exploratory and do not fully account for their correlation or threshold effects. Together, these limitations increase uncertainty beyond the observed statistical heterogeneity and reinforce the very low GRADE certainty rating.</w:t>
      </w:r>
    </w:p>
    <w:p w14:paraId="45E84B3A" w14:textId="77777777" w:rsidR="00F50DC5" w:rsidRDefault="00F50DC5">
      <w:pPr>
        <w:ind w:firstLine="709"/>
        <w:jc w:val="both"/>
        <w:rPr>
          <w:rFonts w:cs="Times New Roman"/>
          <w:szCs w:val="24"/>
        </w:rPr>
      </w:pPr>
    </w:p>
    <w:p w14:paraId="7B9AC9E8" w14:textId="77777777" w:rsidR="00F50DC5" w:rsidRDefault="00F50DC5">
      <w:pPr>
        <w:ind w:firstLine="709"/>
        <w:jc w:val="both"/>
        <w:rPr>
          <w:rFonts w:cs="Times New Roman"/>
          <w:szCs w:val="24"/>
        </w:rPr>
      </w:pPr>
    </w:p>
    <w:p w14:paraId="7C40C150" w14:textId="77777777" w:rsidR="00F50DC5" w:rsidRDefault="00000000">
      <w:pPr>
        <w:keepNext/>
        <w:spacing w:before="200" w:after="80" w:line="240" w:lineRule="auto"/>
        <w:jc w:val="both"/>
        <w:rPr>
          <w:rFonts w:cs="Times New Roman"/>
          <w:b/>
          <w:bCs/>
          <w:szCs w:val="24"/>
        </w:rPr>
      </w:pPr>
      <w:r>
        <w:rPr>
          <w:rFonts w:eastAsia="Times New Roman" w:cs="Times New Roman"/>
          <w:b/>
          <w:bCs/>
          <w:szCs w:val="24"/>
        </w:rPr>
        <w:t>Implications for Future Research</w:t>
      </w:r>
    </w:p>
    <w:p w14:paraId="5B4519F7" w14:textId="77777777" w:rsidR="00F50DC5" w:rsidRDefault="00000000">
      <w:pPr>
        <w:ind w:firstLine="454"/>
        <w:jc w:val="both"/>
        <w:rPr>
          <w:rFonts w:cs="Times New Roman"/>
          <w:szCs w:val="24"/>
          <w:lang w:val="en-ID"/>
        </w:rPr>
      </w:pPr>
      <w:r>
        <w:rPr>
          <w:rFonts w:eastAsia="Times New Roman" w:cs="Times New Roman"/>
          <w:szCs w:val="24"/>
          <w:lang w:val="en-ID"/>
        </w:rPr>
        <w:t xml:space="preserve">Future research should employ prospective multicenter designs with consecutive participant recruitment from dental clinics, oral medicine clinics, or referral services. Study populations should consist of patients with oral lesions whose diagnoses are not yet known, while comparator groups should include OPMDs, OLP, inflammation, infection, trauma, and </w:t>
      </w:r>
      <w:r>
        <w:rPr>
          <w:rFonts w:eastAsia="Times New Roman" w:cs="Times New Roman"/>
          <w:szCs w:val="24"/>
          <w:lang w:val="en-ID"/>
        </w:rPr>
        <w:lastRenderedPageBreak/>
        <w:t>benign lesions. Outcomes for stage I–II OSCC should also be reported separately so that the ability of the test to identify disease at an early stage can be assessed directly.</w:t>
      </w:r>
    </w:p>
    <w:p w14:paraId="0501F4F9" w14:textId="77777777" w:rsidR="00F50DC5" w:rsidRDefault="00000000">
      <w:pPr>
        <w:ind w:firstLine="454"/>
        <w:jc w:val="both"/>
        <w:rPr>
          <w:rFonts w:cs="Times New Roman"/>
          <w:szCs w:val="24"/>
          <w:lang w:val="en-ID"/>
        </w:rPr>
      </w:pPr>
      <w:r>
        <w:rPr>
          <w:rFonts w:eastAsia="Times New Roman" w:cs="Times New Roman"/>
          <w:szCs w:val="24"/>
          <w:lang w:val="en-ID"/>
        </w:rPr>
        <w:t>MicroRNA candidates, panel compositions, algorithms, and thresholds should be specified before the validation cohort is analyzed. Models should be locked and tested in external cohorts originating from different centers, time periods, and populations. Studies should also directly compare individual microRNAs and microRNA panels in the same participants rather than comparing performance estimates obtained from different studies. Reporting should include true positives, false negatives, false positives, and true negatives at each threshold, stage distributions, missing data, model calibration, and outcomes for all recruited participants.</w:t>
      </w:r>
    </w:p>
    <w:p w14:paraId="371F9893" w14:textId="77777777" w:rsidR="00F50DC5" w:rsidRDefault="00000000">
      <w:pPr>
        <w:ind w:firstLine="454"/>
        <w:jc w:val="both"/>
        <w:rPr>
          <w:rFonts w:cs="Times New Roman"/>
          <w:szCs w:val="24"/>
          <w:lang w:val="en-ID"/>
        </w:rPr>
      </w:pPr>
      <w:r>
        <w:rPr>
          <w:rFonts w:eastAsia="Times New Roman" w:cs="Times New Roman"/>
          <w:szCs w:val="24"/>
          <w:lang w:val="en-ID"/>
        </w:rPr>
        <w:t>Protocols for saliva collection and analysis should be standardized, including fasting conditions, collection time, stimulation, volume, centrifugation, storage temperature, RNA extraction methods, analytical platforms, quality-control procedures, and normalization strategies. Exosome-based studies should also comply with the MISEV2023 principles by providing adequate vesicle characterization</w:t>
      </w:r>
      <w:r>
        <w:rPr>
          <w:rFonts w:eastAsia="Times New Roman" w:cs="Times New Roman"/>
          <w:szCs w:val="24"/>
        </w:rPr>
        <w:t>.</w:t>
      </w:r>
      <w:r>
        <w:rPr>
          <w:rFonts w:eastAsia="Times New Roman" w:cs="Times New Roman"/>
          <w:noProof/>
          <w:szCs w:val="24"/>
          <w:vertAlign w:val="superscript"/>
        </w:rPr>
        <w:t>25</w:t>
      </w:r>
      <w:r>
        <w:rPr>
          <w:rFonts w:eastAsia="Times New Roman" w:cs="Times New Roman"/>
          <w:szCs w:val="24"/>
        </w:rPr>
        <w:t xml:space="preserve"> </w:t>
      </w:r>
      <w:r>
        <w:rPr>
          <w:rFonts w:eastAsia="Times New Roman" w:cs="Times New Roman"/>
          <w:szCs w:val="24"/>
          <w:lang w:val="en-ID"/>
        </w:rPr>
        <w:t>Standardization is required so that variation across centers reflects biological differences rather than technical variation.</w:t>
      </w:r>
    </w:p>
    <w:p w14:paraId="522D0802" w14:textId="77777777" w:rsidR="00F50DC5" w:rsidRDefault="00000000">
      <w:pPr>
        <w:ind w:firstLine="454"/>
        <w:jc w:val="both"/>
        <w:rPr>
          <w:rFonts w:cs="Times New Roman"/>
          <w:szCs w:val="24"/>
          <w:lang w:val="en-ID"/>
        </w:rPr>
      </w:pPr>
      <w:r>
        <w:rPr>
          <w:rFonts w:eastAsia="Times New Roman" w:cs="Times New Roman"/>
          <w:szCs w:val="24"/>
          <w:lang w:val="en-ID"/>
        </w:rPr>
        <w:t>In addition to measuring sensitivity, specificity, and AUC, validation studies should assess clinical effects through post-test probabilities, calibration, decision-curve analysis, time to biopsy, referral delays, costs, patient acceptability, and laboratory reproducibility. Such evaluations are required to determine whether adding microRNA testing provides benefits beyond standard clinical examination and whether those benefits are sufficiently substantial to support implementation.</w:t>
      </w:r>
    </w:p>
    <w:p w14:paraId="24990EF1" w14:textId="77777777" w:rsidR="00F50DC5" w:rsidRDefault="00000000">
      <w:pPr>
        <w:keepNext/>
        <w:spacing w:before="240" w:after="120" w:line="240" w:lineRule="auto"/>
        <w:rPr>
          <w:rFonts w:cs="Times New Roman"/>
          <w:b/>
          <w:bCs/>
          <w:szCs w:val="24"/>
        </w:rPr>
      </w:pPr>
      <w:r>
        <w:rPr>
          <w:rFonts w:eastAsia="Times New Roman" w:cs="Times New Roman"/>
          <w:b/>
          <w:bCs/>
          <w:szCs w:val="24"/>
        </w:rPr>
        <w:t>CONCLUSION</w:t>
      </w:r>
    </w:p>
    <w:p w14:paraId="1EDF01B4" w14:textId="77777777" w:rsidR="00F50DC5" w:rsidRDefault="00000000">
      <w:pPr>
        <w:ind w:firstLine="454"/>
        <w:jc w:val="both"/>
        <w:rPr>
          <w:rFonts w:cs="Times New Roman"/>
          <w:szCs w:val="24"/>
          <w:lang w:val="en-ID"/>
        </w:rPr>
      </w:pPr>
      <w:r>
        <w:rPr>
          <w:rFonts w:eastAsia="Times New Roman" w:cs="Times New Roman"/>
          <w:szCs w:val="24"/>
          <w:lang w:val="en-ID"/>
        </w:rPr>
        <w:t xml:space="preserve">This systematic review included 10 primary studies, seven of which met the requirements for quantitative synthesis. The exploratory analysis produced numerically high discriminatory estimates for distinguishing patients with OSCC from participants without OSCC, with a pooled </w:t>
      </w:r>
      <w:r>
        <w:rPr>
          <w:rFonts w:eastAsia="Times New Roman" w:cs="Times New Roman"/>
          <w:szCs w:val="24"/>
          <w:lang w:val="en-ID"/>
        </w:rPr>
        <w:lastRenderedPageBreak/>
        <w:t>sensitivity of 0.891, specificity of 0.849, LR+ of 5.90, LR− of 0.128, DOR of 40.89, and SROC AUC of 0.935. The sensitivity analysis excluding studies with zero cells produced findings in the same direction, while heterogeneity remained low to moderate. Nevertheless, these estimates were derived primarily from case–control studies that used healthy individuals as comparators, combined different microRNA candidates, panels, thresholds, analytical methods, and stages of validation, and included several studies with small sample sizes and a high risk of bias.</w:t>
      </w:r>
    </w:p>
    <w:p w14:paraId="6C511B2C" w14:textId="77777777" w:rsidR="00F50DC5" w:rsidRDefault="00000000">
      <w:pPr>
        <w:ind w:firstLine="454"/>
        <w:jc w:val="both"/>
        <w:rPr>
          <w:rFonts w:cs="Times New Roman"/>
          <w:szCs w:val="24"/>
          <w:lang w:val="en-ID"/>
        </w:rPr>
      </w:pPr>
      <w:r>
        <w:rPr>
          <w:rFonts w:eastAsia="Times New Roman" w:cs="Times New Roman"/>
          <w:szCs w:val="24"/>
          <w:lang w:val="en-ID"/>
        </w:rPr>
        <w:t>Accordingly, the findings support the potential of salivary microRNAs as adjunctive biomarkers for the general diagnostic discrimination of OSCC. However, they do not establish their effectiveness for population screening, the specific detection of early-stage disease, or routine use in clinical practice. The overall certainty of evidence remains very low because of the risk of bias, indirectness, imprecision, predominance of healthy controls, and limited external validation. Prospective multicenter studies involving clinical comparator groups, separate reporting of stage I–II OSCC, standardized saliva collection and testing procedures, and validation of panels and thresholds in independent cohorts are required before these tests can be considered for clinical implementation.</w:t>
      </w:r>
    </w:p>
    <w:p w14:paraId="7E8C5D71" w14:textId="77777777" w:rsidR="00F50DC5" w:rsidRDefault="00000000">
      <w:pPr>
        <w:keepNext/>
        <w:spacing w:before="240" w:after="120" w:line="240" w:lineRule="auto"/>
        <w:rPr>
          <w:rFonts w:cs="Times New Roman"/>
          <w:b/>
          <w:bCs/>
          <w:szCs w:val="24"/>
        </w:rPr>
      </w:pPr>
      <w:r>
        <w:rPr>
          <w:rFonts w:eastAsia="Times New Roman" w:cs="Times New Roman"/>
          <w:b/>
          <w:bCs/>
          <w:szCs w:val="24"/>
        </w:rPr>
        <w:t>REFERENCES</w:t>
      </w:r>
    </w:p>
    <w:p w14:paraId="69E9BEFF"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 International Agency for Research on Cancer. Global Cancer Observatory: Cancer Today-Lip, Oral Cavity Fact Sheet (GLOBOCAN 2024). 2026.</w:t>
      </w:r>
    </w:p>
    <w:p w14:paraId="47511BB8"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 Tan Y, et al. Oral squamous cell carcinomas: state of the field and emerging directions. Int J Oral Sci. 2023;15:44.</w:t>
      </w:r>
    </w:p>
    <w:p w14:paraId="0DA14EF1"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3. Balakittnen J, Ekanayake Weeramange C, Wallace DF, et al. A novel saliva-based miRNA profile to diagnose and predict oral cancer. Int J Oral Sci. 2024;16:14.</w:t>
      </w:r>
    </w:p>
    <w:p w14:paraId="005E3903"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4. Qin Y, Dong X, Li B. Salivary miRNAs and cytokines associated with diagnosis and prognosis of oral squamous cell carcinoma. Front Cell Dev Biol. 2025;13:1531016.</w:t>
      </w:r>
    </w:p>
    <w:p w14:paraId="39BDEA2D"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lastRenderedPageBreak/>
        <w:t>5. Liu D, Xin Z, Guo S, Li S, Cheng J, Jiang H. Blood and salivary microRNAs for diagnosis of oral squamous cell carcinoma: a systematic review and meta-analysis. J Oral Maxillofac Surg. 2021;79:1082.e1-1082.e13. doi: 10.1016/j.joms.2020.12.043.</w:t>
      </w:r>
    </w:p>
    <w:p w14:paraId="45CDA221"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6. Wijaya A, Julia V, Soedarsono N, et al. Comparative meta-analysis: salivary, plasma, and serum miRNA profiles for oral squamous cell carcinoma detection. J Pers Med. 2026;16:52.</w:t>
      </w:r>
    </w:p>
    <w:p w14:paraId="7CD1B5C9"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7. Bastías D, Maturana A, Marín C, Martínez R, Niklander SE. Salivary biomarkers for oral cancer detection: an exploratory systematic review. Int J Mol Sci. 2024;25:2634.</w:t>
      </w:r>
    </w:p>
    <w:p w14:paraId="1437CC25"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8. Mehterov N, Vladimirov B, Sacconi A, et al. Salivary miR-30c-5p as potential biomarker for detection of oral squamous cell carcinoma. Biomedicines. 2021;9:1079.</w:t>
      </w:r>
    </w:p>
    <w:p w14:paraId="3B9F5F1D"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9. Romani C, Salviato E, Paderno A, et al. Genome-wide study of salivary miRNAs identifies miR-423-5p as promising diagnostic and prognostic biomarker in oral squamous cell carcinoma. Theranostics. 2021;11:2987-2999.</w:t>
      </w:r>
    </w:p>
    <w:p w14:paraId="6C10B3CC"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10. Tarrad NAF, Hassan S, Shaker OG, AbdelKawy M. Salivary LINC00657 and miRNA-106a as diagnostic biomarkers for oral squamous cell carcinoma: an observational diagnostic study. BMC Oral Health. 2023;23:994.</w:t>
      </w:r>
    </w:p>
    <w:p w14:paraId="57CE9843"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11. Garg A, Urs AB, Koner BC, Augustine J, Guru SA. Evaluation of diagnostic significance of salivary miRNA-184 and miRNA-21 in oral squamous cell carcinoma and oral potentially malignant disorders. Head Neck Pathol. 2023;17:961-968.</w:t>
      </w:r>
    </w:p>
    <w:p w14:paraId="2BB4259F"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12. Yap T, Koo K, Cheng L, et al. Predicting the presence of oral squamous cell carcinoma using commonly dysregulated microRNA in oral swirls. Cancer Prev Res (Phila). 2018;11:491-502.</w:t>
      </w:r>
    </w:p>
    <w:p w14:paraId="39141217"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13. Patel A, et al. Salivary exosomal miRNA-1307-5p predicts disease aggressiveness and poor prognosis in oral squamous cell carcinoma patients. Int J Mol Sci. 2022;23:10639.</w:t>
      </w:r>
    </w:p>
    <w:p w14:paraId="5206C137"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lastRenderedPageBreak/>
        <w:t>14. Scholtz B, Horváth J, Tar I, Kiss C, Márton IJ. Salivary miR-31-5p, miR-345-3p, and miR-424-3p are reliable biomarkers in patients with oral squamous cell carcinoma. Pathogens. 2022;11:229.</w:t>
      </w:r>
    </w:p>
    <w:p w14:paraId="682F320C"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15. ELHefny MM, Korien IA, Rashwan WAM, Shaker OG. The oncogenic potential of salivary microRNA-93 and microRNA-412-3p in oral lichen planus: a case-control study. BDJ Open. 2024;10:98.</w:t>
      </w:r>
    </w:p>
    <w:p w14:paraId="759FD2BE"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16. Ciringione A, et al. Identification of a novel salivary four-miRNA signature for non-invasive diagnosis of oral squamous cell carcinoma. Int J Mol Sci. 2025;26:11373.</w:t>
      </w:r>
    </w:p>
    <w:p w14:paraId="0F64C1CE"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17. Yang B, Mustafa RA, Bossuyt PM, et al. GRADE guidance 31: assessing the certainty across a body of evidence for comparative test accuracy. J Clin Epidemiol. 2021;136:146-156.</w:t>
      </w:r>
    </w:p>
    <w:p w14:paraId="276BBC33"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18. Nguyen H, Nonaka T. Salivary miRNAs as auxiliary liquid biopsy biomarkers for diagnosis in patients with oropharyngeal squamous cell carcinoma: a systematic review and meta-analysis. Front Genet. 2024;15:1352838.</w:t>
      </w:r>
    </w:p>
    <w:p w14:paraId="6B1FCB7D"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19. Khijmatgar S, Yong J, Rübsamen N, et al. Salivary biomarkers for early detection of oral squamous cell carcinoma and head and neck squamous cell carcinoma: a systematic review and network meta-analysis. Jpn Dent Sci Rev. 2024;60:32-39.</w:t>
      </w:r>
    </w:p>
    <w:p w14:paraId="3DCE67E1"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20. Wijaya A, Julia V, Soedarsono N, et al. Diagnostic accuracy and clinical utility of salivary biomarkers in oral squamous cell carcinoma: a meta-analysis. Cancers (Basel). 2026;18:970.</w:t>
      </w:r>
    </w:p>
    <w:p w14:paraId="32740B1D"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21. Piyarathne NS, Rasnayake RMSGK, Angammana R, et al. Diagnostic salivary biomarkers in oral cancer and oral potentially malignant disorders and their relationships to risk factors: a systematic review. Expert Rev Mol Diagn. 2021;21:789-807.</w:t>
      </w:r>
    </w:p>
    <w:p w14:paraId="28DB325A"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 xml:space="preserve">22. Senevirathna K, Mahakapuge TAN, Jayawardana NU, et al. Diagnostic potential of salivary IL-1β, IL-8, SAT, S100P, and OAZ1 in oral squamous cell carcinoma, oral submucous </w:t>
      </w:r>
      <w:r>
        <w:rPr>
          <w:rFonts w:eastAsia="Times New Roman" w:cs="Times New Roman"/>
        </w:rPr>
        <w:lastRenderedPageBreak/>
        <w:t>fibrosis, and oral lichen planus based on findings from a Sri Lankan cohort. Sci Rep. 2024;14:27226.</w:t>
      </w:r>
    </w:p>
    <w:p w14:paraId="7C275FDD"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23. Osan C, Berindan-Neagoe I, Dinu C, et al. Salivary microRNAs as innovative biomarkers for diagnosis and prediction of the oral potentially malignant disorders transition towards oral cancer: a systematic review. J Clin Med. 2025;14:8128.</w:t>
      </w:r>
    </w:p>
    <w:p w14:paraId="0D9591D5"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24. Zendjabil M. Preanalytical, analytical and postanalytical considerations in circulating microRNAs measurement. Biochem Med (Zagreb). 2024;34:20501.</w:t>
      </w:r>
    </w:p>
    <w:p w14:paraId="3E084543" w14:textId="77777777" w:rsidR="00F50DC5" w:rsidRDefault="00000000">
      <w:pPr>
        <w:autoSpaceDE w:val="0"/>
        <w:autoSpaceDN w:val="0"/>
        <w:adjustRightInd w:val="0"/>
        <w:ind w:left="340" w:hanging="340"/>
        <w:jc w:val="both"/>
        <w:rPr>
          <w:rFonts w:cs="Times New Roman"/>
          <w:noProof/>
          <w:kern w:val="0"/>
        </w:rPr>
      </w:pPr>
      <w:r>
        <w:rPr>
          <w:rFonts w:eastAsia="Times New Roman" w:cs="Times New Roman"/>
        </w:rPr>
        <w:t>25. Welsh JA, Goberdhan DCI, O'Driscoll L, et al. Minimal information for studies of extracellular vesicles (MISEV2023): from basic to advanced approaches. J Extracell Vesicles. 2024;13:e12404.</w:t>
      </w:r>
    </w:p>
    <w:p w14:paraId="5E55ED9C" w14:textId="77777777" w:rsidR="00F50DC5" w:rsidRDefault="00000000">
      <w:pPr>
        <w:autoSpaceDE w:val="0"/>
        <w:autoSpaceDN w:val="0"/>
        <w:adjustRightInd w:val="0"/>
        <w:ind w:left="340" w:hanging="340"/>
        <w:jc w:val="both"/>
        <w:rPr>
          <w:rFonts w:cs="Times New Roman"/>
          <w:szCs w:val="24"/>
        </w:rPr>
      </w:pPr>
      <w:r>
        <w:rPr>
          <w:rFonts w:eastAsia="Times New Roman" w:cs="Times New Roman"/>
        </w:rPr>
        <w:t>26. Whiting PF, Tomlinson E, Rutjes AWS. QUADAS-3: a revised tool for the quality assessment of diagnostic test accuracy studies. Ann Intern Med. 2026;179:548-555. doi: 10.7326/ANNALS-25-02104.</w:t>
      </w:r>
    </w:p>
    <w:p w14:paraId="21896472" w14:textId="77777777" w:rsidR="00F50DC5" w:rsidRDefault="00000000">
      <w:pPr>
        <w:keepNext/>
        <w:spacing w:before="240" w:after="120" w:line="240" w:lineRule="auto"/>
      </w:pPr>
      <w:r>
        <w:rPr>
          <w:rFonts w:eastAsia="Times New Roman" w:cs="Times New Roman"/>
          <w:b/>
        </w:rPr>
        <w:t>TABLES</w:t>
      </w:r>
    </w:p>
    <w:p w14:paraId="2EDF3D09" w14:textId="77777777" w:rsidR="00F50DC5" w:rsidRDefault="00000000">
      <w:pPr>
        <w:keepNext/>
        <w:spacing w:before="160" w:after="80" w:line="240" w:lineRule="auto"/>
      </w:pPr>
      <w:r>
        <w:rPr>
          <w:rFonts w:eastAsia="Times New Roman" w:cs="Times New Roman"/>
          <w:b/>
        </w:rPr>
        <w:t>Table 1. Review Question Framework</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7"/>
        <w:gridCol w:w="7883"/>
      </w:tblGrid>
      <w:tr w:rsidR="00F50DC5" w14:paraId="15E9530B" w14:textId="77777777">
        <w:trPr>
          <w:trHeight w:val="290"/>
          <w:tblHeader/>
          <w:jc w:val="center"/>
        </w:trPr>
        <w:tc>
          <w:tcPr>
            <w:tcW w:w="1467" w:type="dxa"/>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5355105" w14:textId="77777777" w:rsidR="00F50DC5" w:rsidRDefault="00000000">
            <w:pPr>
              <w:spacing w:line="240" w:lineRule="auto"/>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Component</w:t>
            </w:r>
          </w:p>
        </w:tc>
        <w:tc>
          <w:tcPr>
            <w:tcW w:w="7883"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297202FC" w14:textId="77777777" w:rsidR="00F50DC5" w:rsidRDefault="00000000">
            <w:pPr>
              <w:spacing w:line="240" w:lineRule="auto"/>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Description</w:t>
            </w:r>
          </w:p>
        </w:tc>
      </w:tr>
      <w:tr w:rsidR="00F50DC5" w14:paraId="7B501CC5" w14:textId="77777777">
        <w:trPr>
          <w:trHeight w:val="290"/>
          <w:jc w:val="center"/>
        </w:trPr>
        <w:tc>
          <w:tcPr>
            <w:tcW w:w="146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3238A24"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 (</w:t>
            </w:r>
            <w:r>
              <w:rPr>
                <w:rFonts w:eastAsia="Times New Roman" w:cs="Times New Roman"/>
                <w:i/>
                <w:iCs/>
                <w:color w:val="000000"/>
                <w:kern w:val="0"/>
                <w:sz w:val="20"/>
                <w:szCs w:val="24"/>
                <w14:ligatures w14:val="none"/>
              </w:rPr>
              <w:t>Population</w:t>
            </w:r>
            <w:r>
              <w:rPr>
                <w:rFonts w:eastAsia="Times New Roman" w:cs="Times New Roman"/>
                <w:color w:val="000000"/>
                <w:kern w:val="0"/>
                <w:sz w:val="20"/>
                <w:szCs w:val="24"/>
                <w14:ligatures w14:val="none"/>
              </w:rPr>
              <w:t>)</w:t>
            </w:r>
          </w:p>
        </w:tc>
        <w:tc>
          <w:tcPr>
            <w:tcW w:w="7883"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57742F1"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 xml:space="preserve">Human patients with </w:t>
            </w:r>
            <w:proofErr w:type="spellStart"/>
            <w:r>
              <w:rPr>
                <w:rFonts w:eastAsia="Times New Roman" w:cs="Times New Roman"/>
                <w:color w:val="000000"/>
                <w:kern w:val="0"/>
                <w:sz w:val="20"/>
                <w:szCs w:val="24"/>
                <w14:ligatures w14:val="none"/>
              </w:rPr>
              <w:t>histopathologically</w:t>
            </w:r>
            <w:proofErr w:type="spellEnd"/>
            <w:r>
              <w:rPr>
                <w:rFonts w:eastAsia="Times New Roman" w:cs="Times New Roman"/>
                <w:color w:val="000000"/>
                <w:kern w:val="0"/>
                <w:sz w:val="20"/>
                <w:szCs w:val="24"/>
                <w14:ligatures w14:val="none"/>
              </w:rPr>
              <w:t xml:space="preserve"> confirmed OSCC, including early- and advanced-stage disease, who had not received treatment before saliva collection.</w:t>
            </w:r>
          </w:p>
        </w:tc>
      </w:tr>
      <w:tr w:rsidR="00F50DC5" w14:paraId="2AE82B9C" w14:textId="77777777">
        <w:trPr>
          <w:trHeight w:val="290"/>
          <w:jc w:val="center"/>
        </w:trPr>
        <w:tc>
          <w:tcPr>
            <w:tcW w:w="146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B6CB045"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I (</w:t>
            </w:r>
            <w:r>
              <w:rPr>
                <w:rFonts w:eastAsia="Times New Roman" w:cs="Times New Roman"/>
                <w:i/>
                <w:iCs/>
                <w:color w:val="000000"/>
                <w:kern w:val="0"/>
                <w:sz w:val="20"/>
                <w:szCs w:val="24"/>
                <w14:ligatures w14:val="none"/>
              </w:rPr>
              <w:t>Index Test</w:t>
            </w:r>
            <w:r>
              <w:rPr>
                <w:rFonts w:eastAsia="Times New Roman" w:cs="Times New Roman"/>
                <w:color w:val="000000"/>
                <w:kern w:val="0"/>
                <w:sz w:val="20"/>
                <w:szCs w:val="24"/>
                <w14:ligatures w14:val="none"/>
              </w:rPr>
              <w:t>)</w:t>
            </w:r>
          </w:p>
        </w:tc>
        <w:tc>
          <w:tcPr>
            <w:tcW w:w="7883"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3B326E7"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Testing of a single salivary microRNA, a panel of multiple microRNAs, or microRNAs derived from exosomes, whole saliva, or saliva supernatant using RT-qPCR, microarray, or small RNA sequencing.</w:t>
            </w:r>
          </w:p>
        </w:tc>
      </w:tr>
      <w:tr w:rsidR="00F50DC5" w14:paraId="3B12D1A0" w14:textId="77777777">
        <w:trPr>
          <w:trHeight w:val="290"/>
          <w:jc w:val="center"/>
        </w:trPr>
        <w:tc>
          <w:tcPr>
            <w:tcW w:w="146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7DDC249"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C (</w:t>
            </w:r>
            <w:r>
              <w:rPr>
                <w:rFonts w:eastAsia="Times New Roman" w:cs="Times New Roman"/>
                <w:i/>
                <w:iCs/>
                <w:color w:val="000000"/>
                <w:kern w:val="0"/>
                <w:sz w:val="20"/>
                <w:szCs w:val="24"/>
                <w14:ligatures w14:val="none"/>
              </w:rPr>
              <w:t>Comparison</w:t>
            </w:r>
            <w:r>
              <w:rPr>
                <w:rFonts w:eastAsia="Times New Roman" w:cs="Times New Roman"/>
                <w:color w:val="000000"/>
                <w:kern w:val="0"/>
                <w:sz w:val="20"/>
                <w:szCs w:val="24"/>
                <w14:ligatures w14:val="none"/>
              </w:rPr>
              <w:t>)</w:t>
            </w:r>
          </w:p>
        </w:tc>
        <w:tc>
          <w:tcPr>
            <w:tcW w:w="7883"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173305B"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 and clinical controls without OSCC, including patients with OPMDs, OLP, benign oral lesions, or inflammatory oral conditions. Healthy controls and clinical controls were analyzed separately.</w:t>
            </w:r>
          </w:p>
        </w:tc>
      </w:tr>
      <w:tr w:rsidR="00F50DC5" w14:paraId="21674E80" w14:textId="77777777">
        <w:trPr>
          <w:trHeight w:val="290"/>
          <w:jc w:val="center"/>
        </w:trPr>
        <w:tc>
          <w:tcPr>
            <w:tcW w:w="146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C00B44D"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 (</w:t>
            </w:r>
            <w:r>
              <w:rPr>
                <w:rFonts w:eastAsia="Times New Roman" w:cs="Times New Roman"/>
                <w:i/>
                <w:iCs/>
                <w:color w:val="000000"/>
                <w:kern w:val="0"/>
                <w:sz w:val="20"/>
                <w:szCs w:val="24"/>
                <w14:ligatures w14:val="none"/>
              </w:rPr>
              <w:t>Reference Standard</w:t>
            </w:r>
            <w:r>
              <w:rPr>
                <w:rFonts w:eastAsia="Times New Roman" w:cs="Times New Roman"/>
                <w:color w:val="000000"/>
                <w:kern w:val="0"/>
                <w:sz w:val="20"/>
                <w:szCs w:val="24"/>
                <w14:ligatures w14:val="none"/>
              </w:rPr>
              <w:t>)</w:t>
            </w:r>
          </w:p>
        </w:tc>
        <w:tc>
          <w:tcPr>
            <w:tcW w:w="7883"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211D6B9"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Histopathological examination as the reference standard for confirming OSCC. The status of comparator groups was established through clinical examination, histopathological examination, or other diagnostic procedures described in the primary studies.</w:t>
            </w:r>
          </w:p>
        </w:tc>
      </w:tr>
      <w:tr w:rsidR="00F50DC5" w14:paraId="214489F1" w14:textId="77777777">
        <w:trPr>
          <w:trHeight w:val="290"/>
          <w:jc w:val="center"/>
        </w:trPr>
        <w:tc>
          <w:tcPr>
            <w:tcW w:w="146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33B4F6E"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O (</w:t>
            </w:r>
            <w:r>
              <w:rPr>
                <w:rFonts w:eastAsia="Times New Roman" w:cs="Times New Roman"/>
                <w:i/>
                <w:iCs/>
                <w:color w:val="000000"/>
                <w:kern w:val="0"/>
                <w:sz w:val="20"/>
                <w:szCs w:val="24"/>
                <w14:ligatures w14:val="none"/>
              </w:rPr>
              <w:t>Outcome</w:t>
            </w:r>
            <w:r>
              <w:rPr>
                <w:rFonts w:eastAsia="Times New Roman" w:cs="Times New Roman"/>
                <w:color w:val="000000"/>
                <w:kern w:val="0"/>
                <w:sz w:val="20"/>
                <w:szCs w:val="24"/>
                <w14:ligatures w14:val="none"/>
              </w:rPr>
              <w:t>)</w:t>
            </w:r>
          </w:p>
        </w:tc>
        <w:tc>
          <w:tcPr>
            <w:tcW w:w="7883"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562FB03" w14:textId="77777777" w:rsidR="00F50DC5" w:rsidRDefault="00000000">
            <w:pPr>
              <w:spacing w:line="240" w:lineRule="auto"/>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TP, FN, FP, TN, sensitivity, specificity, positive likelihood ratio, negative likelihood ratio, DOR, AUC, and other diagnostic measures reported by the primary studies.</w:t>
            </w:r>
          </w:p>
        </w:tc>
      </w:tr>
    </w:tbl>
    <w:p w14:paraId="5D6CB2F3" w14:textId="77777777" w:rsidR="00F50DC5" w:rsidRDefault="00000000">
      <w:pPr>
        <w:spacing w:line="240" w:lineRule="auto"/>
      </w:pPr>
      <w:r>
        <w:rPr>
          <w:rFonts w:eastAsia="Times New Roman" w:cs="Times New Roman"/>
          <w:i/>
        </w:rPr>
        <w:t>Abbreviations: AUC, area under the curve; DOR, diagnostic odds ratio; FN, false negative; FP, false positive; OLP, oral lichen planus; OPMD, oral potentially malignant disorder; OSCC, oral squamous cell carcinoma; RT-qPCR, reverse transcription quantitative polymerase chain reaction; TN, true negative; TP, true positive.</w:t>
      </w:r>
    </w:p>
    <w:p w14:paraId="2E19EA4C" w14:textId="77777777" w:rsidR="00F50DC5" w:rsidRDefault="00000000">
      <w:pPr>
        <w:keepNext/>
        <w:spacing w:before="160" w:after="80" w:line="240" w:lineRule="auto"/>
      </w:pPr>
      <w:r>
        <w:rPr>
          <w:rFonts w:eastAsia="Times New Roman" w:cs="Times New Roman"/>
          <w:b/>
        </w:rPr>
        <w:lastRenderedPageBreak/>
        <w:t>Table 2. Article Eligibility Criteria</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4"/>
        <w:gridCol w:w="3790"/>
        <w:gridCol w:w="4186"/>
      </w:tblGrid>
      <w:tr w:rsidR="00F50DC5" w14:paraId="0302DF73" w14:textId="77777777">
        <w:trPr>
          <w:trHeight w:val="290"/>
          <w:tblHeader/>
          <w:jc w:val="center"/>
        </w:trPr>
        <w:tc>
          <w:tcPr>
            <w:tcW w:w="1374" w:type="dxa"/>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33E2D2B"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Aspect</w:t>
            </w:r>
          </w:p>
        </w:tc>
        <w:tc>
          <w:tcPr>
            <w:tcW w:w="3790"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73579000"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Inclusion Criteria</w:t>
            </w:r>
          </w:p>
        </w:tc>
        <w:tc>
          <w:tcPr>
            <w:tcW w:w="4186"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013C57D9"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Exclusion Criteria</w:t>
            </w:r>
          </w:p>
        </w:tc>
      </w:tr>
      <w:tr w:rsidR="00F50DC5" w14:paraId="7F95EAED"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042FA6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Study type</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48DD6B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Primary research involving human participants.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071FA24" w14:textId="77777777" w:rsidR="00F50DC5" w:rsidRDefault="00000000">
            <w:pPr>
              <w:spacing w:line="240" w:lineRule="auto"/>
              <w:jc w:val="center"/>
              <w:rPr>
                <w:rFonts w:eastAsia="Times New Roman" w:cs="Times New Roman"/>
                <w:i/>
                <w:iCs/>
                <w:color w:val="000000"/>
                <w:kern w:val="0"/>
                <w:szCs w:val="24"/>
                <w14:ligatures w14:val="none"/>
              </w:rPr>
            </w:pPr>
            <w:r>
              <w:rPr>
                <w:rFonts w:eastAsia="Times New Roman" w:cs="Times New Roman"/>
                <w:color w:val="000000"/>
                <w:kern w:val="0"/>
                <w:sz w:val="20"/>
                <w:szCs w:val="24"/>
                <w14:ligatures w14:val="none"/>
              </w:rPr>
              <w:t>Reviews, systematic reviews, meta-analyses, editorials, commentaries, letters to the editor, case reports, or conference abstracts without a full report.</w:t>
            </w:r>
          </w:p>
        </w:tc>
      </w:tr>
      <w:tr w:rsidR="00F50DC5" w14:paraId="13428D5E"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5627A9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Population</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E069DE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involving patients with oral squamous cell carcinoma (OSCC).</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EE4314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that did not involve patients with OSCC or investigated head and neck cancer without reporting OSCC data separately.</w:t>
            </w:r>
          </w:p>
        </w:tc>
      </w:tr>
      <w:tr w:rsidR="00F50DC5" w14:paraId="5ECAA513"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7B36014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Test material</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1DBC81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using saliva, saliva supernatant, oral swirl, oral rinse, or salivary exosomes.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7994A7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using only serum, plasma, blood, or tissue without saliva testing.</w:t>
            </w:r>
          </w:p>
        </w:tc>
      </w:tr>
      <w:tr w:rsidR="00F50DC5" w14:paraId="49139BEA"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F2BAEA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Index test</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9D92ED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evaluating one or more salivary microRNAs as diagnostic tests.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E5C71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that did not evaluate microRNAs as the index test.</w:t>
            </w:r>
          </w:p>
        </w:tc>
      </w:tr>
      <w:tr w:rsidR="00F50DC5" w14:paraId="7BFCDCC3"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05142B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Reference standard</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8783C3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using histopathological examination to confirm the diagnosis of OSCC.</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7ABFC5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that did not use an adequate reference standard to confirm OSCC.</w:t>
            </w:r>
          </w:p>
        </w:tc>
      </w:tr>
      <w:tr w:rsidR="00F50DC5" w14:paraId="76740205"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EAE1D6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Comparator group</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8AAB5E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with a comparator group without OSCC, including healthy or clinical controls.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812708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without a comparator group.</w:t>
            </w:r>
          </w:p>
        </w:tc>
      </w:tr>
      <w:tr w:rsidR="00F50DC5" w14:paraId="38903066"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B7E7A5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Diagnostic outcomes</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E27630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reporting a 2 × 2 table, sensitivity, specificity, AUC, ROC curve, or other diagnostic measures.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80F933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addressing only prognosis, survival, treatment response, recurrence, tumor aggressiveness, or post-treatment monitoring without evaluating the ability to detect OSCC.</w:t>
            </w:r>
          </w:p>
        </w:tc>
      </w:tr>
      <w:tr w:rsidR="00F50DC5" w14:paraId="59CB2EA9"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E9D9D7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Report availability</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FAE7AA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Full reports that allowed assessment of the study design, participants, test procedures, and study findings.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3A3464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Full reports that were unavailable or did not provide sufficient information for eligibility assessment.</w:t>
            </w:r>
          </w:p>
        </w:tc>
      </w:tr>
      <w:tr w:rsidR="00F50DC5" w14:paraId="27A073A1"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62C9FDC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Publication period</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A18D8A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published from database inception through the final search in July 2026.</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63DB04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No studies were excluded based on publication year as long as they were indexed within the database coverage period and met the other eligibility criteria.</w:t>
            </w:r>
          </w:p>
        </w:tc>
      </w:tr>
      <w:tr w:rsidR="00F50DC5" w14:paraId="4DED4B7A"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180A72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Language</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F9A525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No language restrictions were applied during the search. Non-English articles were assessed when they potentially met the eligibility criteria.</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E54FFF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Articles were excluded when their full content could not be adequately assessed.</w:t>
            </w:r>
          </w:p>
        </w:tc>
      </w:tr>
      <w:tr w:rsidR="00F50DC5" w14:paraId="12168757"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375549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Cohort overlap</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73A494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Reports from the same cohort could be considered when they provided additional and independent diagnostic information.</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21A9D6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Reports from the same cohort were excluded when they provided no additional information and created a risk of counting participants more than once.</w:t>
            </w:r>
          </w:p>
        </w:tc>
      </w:tr>
      <w:tr w:rsidR="00F50DC5" w14:paraId="5EC351B0"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552CA2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Eligibility for quantitative synthesis</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4231BA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directly reporting TP, FN, FP, and TN or allowing the reconstruction of one 2 × 2 table that was consistent with the number of participants and reported rounding precision.</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1E9BB4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Studies were excluded from the quantitative synthesis when TP, FN, FP, and TN could not be validly determined.</w:t>
            </w:r>
          </w:p>
        </w:tc>
      </w:tr>
      <w:tr w:rsidR="00F50DC5" w14:paraId="72AFFBF9" w14:textId="77777777">
        <w:trPr>
          <w:trHeight w:val="290"/>
          <w:jc w:val="center"/>
        </w:trPr>
        <w:tc>
          <w:tcPr>
            <w:tcW w:w="1374"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621A92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Eligibility for narrative synthesis</w:t>
            </w:r>
          </w:p>
        </w:tc>
        <w:tc>
          <w:tcPr>
            <w:tcW w:w="379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463EDD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Articles meeting the substantive eligibility criteria but not providing a valid 2 × 2 table were retained in the narrative synthesis.</w:t>
            </w:r>
          </w:p>
        </w:tc>
        <w:tc>
          <w:tcPr>
            <w:tcW w:w="41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8A7A6A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Articles were excluded entirely when they did not meet the substantive eligibility criteria.</w:t>
            </w:r>
          </w:p>
        </w:tc>
      </w:tr>
    </w:tbl>
    <w:p w14:paraId="646273F8" w14:textId="77777777" w:rsidR="00F50DC5" w:rsidRDefault="00000000">
      <w:pPr>
        <w:spacing w:line="240" w:lineRule="auto"/>
      </w:pPr>
      <w:r>
        <w:rPr>
          <w:rFonts w:eastAsia="Times New Roman" w:cs="Times New Roman"/>
          <w:i/>
        </w:rPr>
        <w:t>Abbreviations: AUC, area under the curve; FN, false negative; FP, false positive; OPMD, oral potentially malignant disorder; OSCC, oral squamous cell carcinoma; TN, true negative; TP, true positive.</w:t>
      </w:r>
    </w:p>
    <w:p w14:paraId="3007DC51" w14:textId="77777777" w:rsidR="00F50DC5" w:rsidRDefault="00000000">
      <w:pPr>
        <w:keepNext/>
        <w:spacing w:before="160" w:after="80" w:line="240" w:lineRule="auto"/>
      </w:pPr>
      <w:r>
        <w:rPr>
          <w:rFonts w:eastAsia="Times New Roman" w:cs="Times New Roman"/>
          <w:b/>
        </w:rPr>
        <w:t>Table 3. Study Inclusion in the Synthesis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7"/>
        <w:gridCol w:w="2216"/>
        <w:gridCol w:w="963"/>
        <w:gridCol w:w="1630"/>
        <w:gridCol w:w="2266"/>
        <w:gridCol w:w="1440"/>
      </w:tblGrid>
      <w:tr w:rsidR="00F50DC5" w14:paraId="76E84A2B" w14:textId="77777777">
        <w:trPr>
          <w:trHeight w:val="290"/>
          <w:tblHeader/>
          <w:jc w:val="center"/>
        </w:trPr>
        <w:tc>
          <w:tcPr>
            <w:tcW w:w="562" w:type="dxa"/>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89BE67E"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No.</w:t>
            </w:r>
          </w:p>
        </w:tc>
        <w:tc>
          <w:tcPr>
            <w:tcW w:w="2288"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FE64C29"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Study</w:t>
            </w:r>
          </w:p>
        </w:tc>
        <w:tc>
          <w:tcPr>
            <w:tcW w:w="992"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5104994F"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OSCC (n)</w:t>
            </w:r>
          </w:p>
        </w:tc>
        <w:tc>
          <w:tcPr>
            <w:tcW w:w="1682"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387A526D"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Comparator (n)</w:t>
            </w:r>
          </w:p>
        </w:tc>
        <w:tc>
          <w:tcPr>
            <w:tcW w:w="2340"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7B8FA8F"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Comparator</w:t>
            </w:r>
          </w:p>
        </w:tc>
        <w:tc>
          <w:tcPr>
            <w:tcW w:w="1486"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1E712D6C"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Analysis status</w:t>
            </w:r>
          </w:p>
        </w:tc>
      </w:tr>
      <w:tr w:rsidR="00F50DC5" w14:paraId="25A1DE67"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8724DD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420A1B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Yap et al. (2018)</w:t>
            </w:r>
            <w:r>
              <w:rPr>
                <w:rFonts w:eastAsia="Times New Roman" w:cs="Times New Roman"/>
                <w:noProof/>
                <w:color w:val="000000"/>
                <w:kern w:val="0"/>
                <w:sz w:val="20"/>
                <w:szCs w:val="24"/>
                <w:vertAlign w:val="superscript"/>
                <w14:ligatures w14:val="none"/>
              </w:rPr>
              <w:t>12</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2E9ED2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15</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33C106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15</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24DA5A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7D8723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24C86859"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DDDE10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2</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40E613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Romani et al. (2021)</w:t>
            </w:r>
            <w:r>
              <w:rPr>
                <w:rFonts w:eastAsia="Times New Roman" w:cs="Times New Roman"/>
                <w:noProof/>
                <w:color w:val="000000"/>
                <w:kern w:val="0"/>
                <w:sz w:val="20"/>
                <w:szCs w:val="24"/>
                <w:vertAlign w:val="superscript"/>
                <w14:ligatures w14:val="none"/>
              </w:rPr>
              <w:t>9</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6B48A7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83</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730F15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53</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A859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47D44E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Narrative</w:t>
            </w:r>
          </w:p>
        </w:tc>
      </w:tr>
      <w:tr w:rsidR="00F50DC5" w14:paraId="363FFADE"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757D46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lastRenderedPageBreak/>
              <w:t>3</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F7D5F58"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Mehterov</w:t>
            </w:r>
            <w:proofErr w:type="spellEnd"/>
            <w:r>
              <w:rPr>
                <w:rFonts w:eastAsia="Times New Roman" w:cs="Times New Roman"/>
                <w:color w:val="000000"/>
                <w:kern w:val="0"/>
                <w:sz w:val="20"/>
                <w:szCs w:val="24"/>
                <w14:ligatures w14:val="none"/>
              </w:rPr>
              <w:t xml:space="preserve"> et al. (2021)</w:t>
            </w:r>
            <w:r>
              <w:rPr>
                <w:rFonts w:eastAsia="Times New Roman" w:cs="Times New Roman"/>
                <w:noProof/>
                <w:color w:val="000000"/>
                <w:kern w:val="0"/>
                <w:sz w:val="20"/>
                <w:szCs w:val="24"/>
                <w:vertAlign w:val="superscript"/>
                <w14:ligatures w14:val="none"/>
              </w:rPr>
              <w:t>8</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7BF959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50</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BDA03B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42</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5CE539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76A5B5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70020463"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F87E8B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4</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BF6CA8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Patel et al. (2022)</w:t>
            </w:r>
            <w:r>
              <w:rPr>
                <w:rFonts w:eastAsia="Times New Roman" w:cs="Times New Roman"/>
                <w:noProof/>
                <w:color w:val="000000"/>
                <w:kern w:val="0"/>
                <w:sz w:val="20"/>
                <w:szCs w:val="24"/>
                <w:vertAlign w:val="superscript"/>
                <w14:ligatures w14:val="none"/>
              </w:rPr>
              <w:t>13</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5C4A36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12</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3BD00F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4DA716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Non-OSCC</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B3C367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Narrative</w:t>
            </w:r>
          </w:p>
        </w:tc>
      </w:tr>
      <w:tr w:rsidR="00F50DC5" w14:paraId="481C76E1"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86F3AA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E2A200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Scholtz et al. (2022)</w:t>
            </w:r>
            <w:r>
              <w:rPr>
                <w:rFonts w:eastAsia="Times New Roman" w:cs="Times New Roman"/>
                <w:noProof/>
                <w:color w:val="000000"/>
                <w:kern w:val="0"/>
                <w:sz w:val="20"/>
                <w:szCs w:val="24"/>
                <w:vertAlign w:val="superscript"/>
                <w14:ligatures w14:val="none"/>
              </w:rPr>
              <w:t>14</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11CE84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43</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D076C9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44</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0DEC32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CF1ECF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015314FD"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709639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6</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E3E6722"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Tarrad</w:t>
            </w:r>
            <w:proofErr w:type="spellEnd"/>
            <w:r>
              <w:rPr>
                <w:rFonts w:eastAsia="Times New Roman" w:cs="Times New Roman"/>
                <w:color w:val="000000"/>
                <w:kern w:val="0"/>
                <w:sz w:val="20"/>
                <w:szCs w:val="24"/>
                <w14:ligatures w14:val="none"/>
              </w:rPr>
              <w:t xml:space="preserve"> et al. (2023)</w:t>
            </w:r>
            <w:r>
              <w:rPr>
                <w:rFonts w:eastAsia="Times New Roman" w:cs="Times New Roman"/>
                <w:noProof/>
                <w:color w:val="000000"/>
                <w:kern w:val="0"/>
                <w:sz w:val="20"/>
                <w:szCs w:val="24"/>
                <w:vertAlign w:val="superscript"/>
                <w14:ligatures w14:val="none"/>
              </w:rPr>
              <w:t>10</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B073D9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12</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FD1E90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24</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2E6577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OLP and 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9B71FF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624DA1AC"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6B58ECE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7</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D8610B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Garg et al. (2023)</w:t>
            </w:r>
            <w:r>
              <w:rPr>
                <w:rFonts w:eastAsia="Times New Roman" w:cs="Times New Roman"/>
                <w:noProof/>
                <w:color w:val="000000"/>
                <w:kern w:val="0"/>
                <w:sz w:val="20"/>
                <w:szCs w:val="24"/>
                <w:vertAlign w:val="superscript"/>
                <w14:ligatures w14:val="none"/>
              </w:rPr>
              <w:t>11</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B3C594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30</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53AE5D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60</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F90678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OPMD and 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1DFD0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Narrative</w:t>
            </w:r>
          </w:p>
        </w:tc>
      </w:tr>
      <w:tr w:rsidR="00F50DC5" w14:paraId="0851D6B1"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7403D0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8</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671B41E"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Balakittnen</w:t>
            </w:r>
            <w:proofErr w:type="spellEnd"/>
            <w:r>
              <w:rPr>
                <w:rFonts w:eastAsia="Times New Roman" w:cs="Times New Roman"/>
                <w:color w:val="000000"/>
                <w:kern w:val="0"/>
                <w:sz w:val="20"/>
                <w:szCs w:val="24"/>
                <w14:ligatures w14:val="none"/>
              </w:rPr>
              <w:t xml:space="preserve"> et al. (2024)</w:t>
            </w:r>
            <w:r>
              <w:rPr>
                <w:rFonts w:eastAsia="Times New Roman" w:cs="Times New Roman"/>
                <w:noProof/>
                <w:color w:val="000000"/>
                <w:kern w:val="0"/>
                <w:sz w:val="20"/>
                <w:szCs w:val="24"/>
                <w:vertAlign w:val="superscript"/>
                <w14:ligatures w14:val="none"/>
              </w:rPr>
              <w:t>3</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317D1C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50</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3D82BF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60</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71C818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BA29C4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11BDD3D3"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6A5ECB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9</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675F21A"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ELHefny</w:t>
            </w:r>
            <w:proofErr w:type="spellEnd"/>
            <w:r>
              <w:rPr>
                <w:rFonts w:eastAsia="Times New Roman" w:cs="Times New Roman"/>
                <w:color w:val="000000"/>
                <w:kern w:val="0"/>
                <w:sz w:val="20"/>
                <w:szCs w:val="24"/>
                <w14:ligatures w14:val="none"/>
              </w:rPr>
              <w:t xml:space="preserve"> et al. (2024)</w:t>
            </w:r>
            <w:r>
              <w:rPr>
                <w:rFonts w:eastAsia="Times New Roman" w:cs="Times New Roman"/>
                <w:noProof/>
                <w:color w:val="000000"/>
                <w:kern w:val="0"/>
                <w:sz w:val="20"/>
                <w:szCs w:val="24"/>
                <w:vertAlign w:val="superscript"/>
                <w14:ligatures w14:val="none"/>
              </w:rPr>
              <w:t>15</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5D5CB4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20</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5E52C7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20</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3E8268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C1BCE1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r w:rsidR="00F50DC5" w14:paraId="6409DBF0" w14:textId="77777777">
        <w:trPr>
          <w:trHeight w:val="290"/>
          <w:jc w:val="center"/>
        </w:trPr>
        <w:tc>
          <w:tcPr>
            <w:tcW w:w="562"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A73F11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10</w:t>
            </w:r>
          </w:p>
        </w:tc>
        <w:tc>
          <w:tcPr>
            <w:tcW w:w="228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CF5A680"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Ciringione</w:t>
            </w:r>
            <w:proofErr w:type="spellEnd"/>
            <w:r>
              <w:rPr>
                <w:rFonts w:eastAsia="Times New Roman" w:cs="Times New Roman"/>
                <w:color w:val="000000"/>
                <w:kern w:val="0"/>
                <w:sz w:val="20"/>
                <w:szCs w:val="24"/>
                <w14:ligatures w14:val="none"/>
              </w:rPr>
              <w:t xml:space="preserve"> et al. (2025)</w:t>
            </w:r>
            <w:r>
              <w:rPr>
                <w:rFonts w:eastAsia="Times New Roman" w:cs="Times New Roman"/>
                <w:noProof/>
                <w:color w:val="000000"/>
                <w:kern w:val="0"/>
                <w:sz w:val="20"/>
                <w:szCs w:val="24"/>
                <w:vertAlign w:val="superscript"/>
                <w14:ligatures w14:val="none"/>
              </w:rPr>
              <w:t>16</w:t>
            </w:r>
          </w:p>
        </w:tc>
        <w:tc>
          <w:tcPr>
            <w:tcW w:w="99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701427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30</w:t>
            </w:r>
          </w:p>
        </w:tc>
        <w:tc>
          <w:tcPr>
            <w:tcW w:w="1682"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6605B8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30</w:t>
            </w:r>
          </w:p>
        </w:tc>
        <w:tc>
          <w:tcPr>
            <w:tcW w:w="2340"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9A4F52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Healthy controls</w:t>
            </w:r>
          </w:p>
        </w:tc>
        <w:tc>
          <w:tcPr>
            <w:tcW w:w="148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85DDD9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Quantitative</w:t>
            </w:r>
          </w:p>
        </w:tc>
      </w:tr>
    </w:tbl>
    <w:p w14:paraId="69478557" w14:textId="77777777" w:rsidR="00F50DC5" w:rsidRDefault="00000000">
      <w:pPr>
        <w:spacing w:line="240" w:lineRule="auto"/>
      </w:pPr>
      <w:r>
        <w:rPr>
          <w:rFonts w:eastAsia="Times New Roman" w:cs="Times New Roman"/>
          <w:i/>
        </w:rPr>
        <w:t>Abbreviations: OLP, oral lichen planus; OPMD, oral potentially malignant disorder; OSCC, oral squamous cell carcinoma.</w:t>
      </w:r>
    </w:p>
    <w:p w14:paraId="77D33DCF" w14:textId="77777777" w:rsidR="00F50DC5" w:rsidRDefault="00000000">
      <w:pPr>
        <w:keepNext/>
        <w:spacing w:before="160" w:after="80" w:line="240" w:lineRule="auto"/>
      </w:pPr>
      <w:r>
        <w:rPr>
          <w:rFonts w:eastAsia="Times New Roman" w:cs="Times New Roman"/>
          <w:b/>
        </w:rPr>
        <w:t>Table 4. Diagnostic Results of Studies Included in the Quantitative Synthesis</w:t>
      </w: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75"/>
        <w:gridCol w:w="605"/>
        <w:gridCol w:w="605"/>
        <w:gridCol w:w="605"/>
        <w:gridCol w:w="1181"/>
        <w:gridCol w:w="1181"/>
        <w:gridCol w:w="835"/>
        <w:gridCol w:w="835"/>
        <w:gridCol w:w="1728"/>
        <w:gridCol w:w="835"/>
      </w:tblGrid>
      <w:tr w:rsidR="00F50DC5" w14:paraId="61654C3A" w14:textId="77777777">
        <w:trPr>
          <w:cantSplit/>
          <w:trHeight w:val="290"/>
          <w:tblHeader/>
          <w:jc w:val="center"/>
        </w:trPr>
        <w:tc>
          <w:tcPr>
            <w:tcW w:w="1627" w:type="dxa"/>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7DF71AEB"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Study</w:t>
            </w:r>
          </w:p>
        </w:tc>
        <w:tc>
          <w:tcPr>
            <w:tcW w:w="47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0BD098CB"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TP</w:t>
            </w:r>
          </w:p>
        </w:tc>
        <w:tc>
          <w:tcPr>
            <w:tcW w:w="60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5C825B1E"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FN</w:t>
            </w:r>
          </w:p>
        </w:tc>
        <w:tc>
          <w:tcPr>
            <w:tcW w:w="60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0FEE70A8"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FP</w:t>
            </w:r>
          </w:p>
        </w:tc>
        <w:tc>
          <w:tcPr>
            <w:tcW w:w="60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9649FF1"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TN</w:t>
            </w:r>
          </w:p>
        </w:tc>
        <w:tc>
          <w:tcPr>
            <w:tcW w:w="1181"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3458C242"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Sensitivity</w:t>
            </w:r>
          </w:p>
        </w:tc>
        <w:tc>
          <w:tcPr>
            <w:tcW w:w="1181"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C21326C"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Specificity</w:t>
            </w:r>
          </w:p>
        </w:tc>
        <w:tc>
          <w:tcPr>
            <w:tcW w:w="83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309827E9"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LR+</w:t>
            </w:r>
          </w:p>
        </w:tc>
        <w:tc>
          <w:tcPr>
            <w:tcW w:w="83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583FE4D8"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LR−</w:t>
            </w:r>
          </w:p>
        </w:tc>
        <w:tc>
          <w:tcPr>
            <w:tcW w:w="1728"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263B0C16" w14:textId="77777777" w:rsidR="00F50DC5" w:rsidRDefault="00000000">
            <w:pPr>
              <w:spacing w:line="240" w:lineRule="auto"/>
              <w:jc w:val="center"/>
              <w:rPr>
                <w:rFonts w:eastAsia="Times New Roman" w:cs="Times New Roman"/>
                <w:b/>
                <w:bCs/>
                <w:color w:val="000000"/>
                <w:kern w:val="0"/>
                <w:szCs w:val="24"/>
                <w14:ligatures w14:val="none"/>
              </w:rPr>
            </w:pPr>
            <w:proofErr w:type="spellStart"/>
            <w:r>
              <w:rPr>
                <w:rFonts w:eastAsia="Times New Roman" w:cs="Times New Roman"/>
                <w:b/>
                <w:bCs/>
                <w:color w:val="000000"/>
                <w:kern w:val="0"/>
                <w:sz w:val="18"/>
                <w14:ligatures w14:val="none"/>
              </w:rPr>
              <w:t>logDOR</w:t>
            </w:r>
            <w:proofErr w:type="spellEnd"/>
            <w:r>
              <w:rPr>
                <w:rFonts w:eastAsia="Times New Roman" w:cs="Times New Roman"/>
                <w:b/>
                <w:bCs/>
                <w:color w:val="000000"/>
                <w:kern w:val="0"/>
                <w:sz w:val="18"/>
                <w14:ligatures w14:val="none"/>
              </w:rPr>
              <w:t xml:space="preserve"> (95% CI)</w:t>
            </w:r>
          </w:p>
        </w:tc>
        <w:tc>
          <w:tcPr>
            <w:tcW w:w="83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24B64C2"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18"/>
                <w14:ligatures w14:val="none"/>
              </w:rPr>
              <w:t>Weight</w:t>
            </w:r>
          </w:p>
        </w:tc>
      </w:tr>
      <w:tr w:rsidR="00F50DC5" w14:paraId="56095088"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62A408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Yap et al. (2018)</w:t>
            </w:r>
            <w:r>
              <w:rPr>
                <w:rFonts w:eastAsia="Times New Roman" w:cs="Times New Roman"/>
                <w:noProof/>
                <w:color w:val="000000"/>
                <w:kern w:val="0"/>
                <w:sz w:val="18"/>
                <w:vertAlign w:val="superscript"/>
                <w14:ligatures w14:val="none"/>
              </w:rPr>
              <w:t>12</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DFA9E1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15</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28F956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9642B7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2E58A1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AF078B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1.000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653D9D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0.667</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9D8493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3.00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97DD3D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0.000</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B33D70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4.08 (1.08–7.08)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ECD538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5.9%</w:t>
            </w:r>
          </w:p>
        </w:tc>
      </w:tr>
      <w:tr w:rsidR="00F50DC5" w14:paraId="70478C95"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E635523"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18"/>
                <w14:ligatures w14:val="none"/>
              </w:rPr>
              <w:t>Mehterov</w:t>
            </w:r>
            <w:proofErr w:type="spellEnd"/>
            <w:r>
              <w:rPr>
                <w:rFonts w:eastAsia="Times New Roman" w:cs="Times New Roman"/>
                <w:color w:val="000000"/>
                <w:kern w:val="0"/>
                <w:sz w:val="18"/>
                <w14:ligatures w14:val="none"/>
              </w:rPr>
              <w:t xml:space="preserve"> et al. (2021)</w:t>
            </w:r>
            <w:r>
              <w:rPr>
                <w:rFonts w:eastAsia="Times New Roman" w:cs="Times New Roman"/>
                <w:noProof/>
                <w:color w:val="000000"/>
                <w:kern w:val="0"/>
                <w:sz w:val="18"/>
                <w:vertAlign w:val="superscript"/>
                <w14:ligatures w14:val="none"/>
              </w:rPr>
              <w:t>8</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3C5F07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43</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BA7BDE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7</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D2D469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11</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CFA22D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31</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31761F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0.860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316A5C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0.738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6E2F46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3.28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C7D35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0.190</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C04617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2.85 (1.80–3.91)</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F1CD5E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26.3%</w:t>
            </w:r>
          </w:p>
        </w:tc>
      </w:tr>
      <w:tr w:rsidR="00F50DC5" w14:paraId="6D3776E9"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3E925C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Scholtz et al. (2022)</w:t>
            </w:r>
            <w:r>
              <w:rPr>
                <w:rFonts w:eastAsia="Times New Roman" w:cs="Times New Roman"/>
                <w:noProof/>
                <w:color w:val="000000"/>
                <w:kern w:val="0"/>
                <w:sz w:val="18"/>
                <w:vertAlign w:val="superscript"/>
                <w14:ligatures w14:val="none"/>
              </w:rPr>
              <w:t>14</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25AB0F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37</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C42ADC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5113C7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148F8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34</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770F4A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0.860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365809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0.773</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802A18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3.79</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7FBAA3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0.181</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CBE92B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3.04 (1.93–4.16)</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6105FC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24.9%</w:t>
            </w:r>
          </w:p>
        </w:tc>
      </w:tr>
      <w:tr w:rsidR="00F50DC5" w14:paraId="1D8DD4CB"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3D9C135"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18"/>
                <w14:ligatures w14:val="none"/>
              </w:rPr>
              <w:t>Tarrad</w:t>
            </w:r>
            <w:proofErr w:type="spellEnd"/>
            <w:r>
              <w:rPr>
                <w:rFonts w:eastAsia="Times New Roman" w:cs="Times New Roman"/>
                <w:color w:val="000000"/>
                <w:kern w:val="0"/>
                <w:sz w:val="18"/>
                <w14:ligatures w14:val="none"/>
              </w:rPr>
              <w:t xml:space="preserve"> et al. (2023)</w:t>
            </w:r>
            <w:r>
              <w:rPr>
                <w:rFonts w:eastAsia="Times New Roman" w:cs="Times New Roman"/>
                <w:noProof/>
                <w:color w:val="000000"/>
                <w:kern w:val="0"/>
                <w:sz w:val="18"/>
                <w:vertAlign w:val="superscript"/>
                <w14:ligatures w14:val="none"/>
              </w:rPr>
              <w:t>10</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3D5CBC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12</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F7234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311250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7</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3C7176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17</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7DA70D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1.000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226A89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0.708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01E783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3.43</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F64A7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0.000</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292C2F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4.07 (1.11–7.02)</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34D74F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6.0%</w:t>
            </w:r>
          </w:p>
        </w:tc>
      </w:tr>
      <w:tr w:rsidR="00F50DC5" w14:paraId="6E894C8A"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65294324"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18"/>
                <w14:ligatures w14:val="none"/>
              </w:rPr>
              <w:t>Balakittnen</w:t>
            </w:r>
            <w:proofErr w:type="spellEnd"/>
            <w:r>
              <w:rPr>
                <w:rFonts w:eastAsia="Times New Roman" w:cs="Times New Roman"/>
                <w:color w:val="000000"/>
                <w:kern w:val="0"/>
                <w:sz w:val="18"/>
                <w14:ligatures w14:val="none"/>
              </w:rPr>
              <w:t xml:space="preserve"> et al. (2024)</w:t>
            </w:r>
            <w:r>
              <w:rPr>
                <w:rFonts w:eastAsia="Times New Roman" w:cs="Times New Roman"/>
                <w:noProof/>
                <w:color w:val="000000"/>
                <w:kern w:val="0"/>
                <w:sz w:val="18"/>
                <w:vertAlign w:val="superscript"/>
                <w14:ligatures w14:val="none"/>
              </w:rPr>
              <w:t>3</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B019C4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43</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7D57F0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7</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477EA2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75F424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54</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C7F2CD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0.860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5E6DAD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0.900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46540B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8.60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B6FAC0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0.156</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628623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4.01 (2.85–5.17)</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64BA1C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23.8%</w:t>
            </w:r>
          </w:p>
        </w:tc>
      </w:tr>
      <w:tr w:rsidR="00F50DC5" w14:paraId="5182F6E2"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44A4BC3"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18"/>
                <w14:ligatures w14:val="none"/>
              </w:rPr>
              <w:t>ELHefny</w:t>
            </w:r>
            <w:proofErr w:type="spellEnd"/>
            <w:r>
              <w:rPr>
                <w:rFonts w:eastAsia="Times New Roman" w:cs="Times New Roman"/>
                <w:color w:val="000000"/>
                <w:kern w:val="0"/>
                <w:sz w:val="18"/>
                <w14:ligatures w14:val="none"/>
              </w:rPr>
              <w:t xml:space="preserve"> et al. (2024)</w:t>
            </w:r>
            <w:r>
              <w:rPr>
                <w:rFonts w:eastAsia="Times New Roman" w:cs="Times New Roman"/>
                <w:noProof/>
                <w:color w:val="000000"/>
                <w:kern w:val="0"/>
                <w:sz w:val="18"/>
                <w:vertAlign w:val="superscript"/>
                <w14:ligatures w14:val="none"/>
              </w:rPr>
              <w:t>15</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149349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074041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DCCA6E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F2C355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E06A01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1.000</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F399F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1.000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0A7D9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24EBBD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0.000</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18817F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7.43 (3.46–11.39)</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D0D47A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3.5%</w:t>
            </w:r>
          </w:p>
        </w:tc>
      </w:tr>
      <w:tr w:rsidR="00F50DC5" w14:paraId="57DAEC41" w14:textId="77777777">
        <w:trPr>
          <w:cantSplit/>
          <w:trHeight w:val="290"/>
          <w:jc w:val="center"/>
        </w:trPr>
        <w:tc>
          <w:tcPr>
            <w:tcW w:w="162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84629CC"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18"/>
                <w14:ligatures w14:val="none"/>
              </w:rPr>
              <w:t>Ciringione</w:t>
            </w:r>
            <w:proofErr w:type="spellEnd"/>
            <w:r>
              <w:rPr>
                <w:rFonts w:eastAsia="Times New Roman" w:cs="Times New Roman"/>
                <w:color w:val="000000"/>
                <w:kern w:val="0"/>
                <w:sz w:val="18"/>
                <w14:ligatures w14:val="none"/>
              </w:rPr>
              <w:t xml:space="preserve"> et al. (2025)</w:t>
            </w:r>
            <w:r>
              <w:rPr>
                <w:rFonts w:eastAsia="Times New Roman" w:cs="Times New Roman"/>
                <w:noProof/>
                <w:color w:val="000000"/>
                <w:kern w:val="0"/>
                <w:sz w:val="18"/>
                <w:vertAlign w:val="superscript"/>
                <w14:ligatures w14:val="none"/>
              </w:rPr>
              <w:t>16</w:t>
            </w:r>
          </w:p>
        </w:tc>
        <w:tc>
          <w:tcPr>
            <w:tcW w:w="47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6BE4DF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26</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DC1511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C51F70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w:t>
            </w:r>
          </w:p>
        </w:tc>
        <w:tc>
          <w:tcPr>
            <w:tcW w:w="60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F7F204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29</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B07633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0.867</w:t>
            </w:r>
          </w:p>
        </w:tc>
        <w:tc>
          <w:tcPr>
            <w:tcW w:w="118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5754F9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0.967</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07BAA0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26.00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335A0C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0.138</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B66103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5.24 (2.98–7.49)</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589F07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9.6%</w:t>
            </w:r>
          </w:p>
        </w:tc>
      </w:tr>
    </w:tbl>
    <w:p w14:paraId="04A67074" w14:textId="77777777" w:rsidR="00F50DC5" w:rsidRDefault="00000000">
      <w:pPr>
        <w:spacing w:line="240" w:lineRule="auto"/>
      </w:pPr>
      <w:r>
        <w:rPr>
          <w:rFonts w:eastAsia="Times New Roman" w:cs="Times New Roman"/>
          <w:i/>
        </w:rPr>
        <w:t>Abbreviations: CI, confidence interval; DOR, diagnostic odds ratio; FN, false negative; FP, false positive; LR+, positive likelihood ratio; LR-, negative likelihood ratio; TN, true negative; TP, true positive.</w:t>
      </w:r>
    </w:p>
    <w:p w14:paraId="0034C8C4" w14:textId="77777777" w:rsidR="00F50DC5" w:rsidRDefault="00000000">
      <w:pPr>
        <w:keepNext/>
        <w:spacing w:before="160" w:after="80" w:line="240" w:lineRule="auto"/>
      </w:pPr>
      <w:r>
        <w:rPr>
          <w:rFonts w:eastAsia="Times New Roman" w:cs="Times New Roman"/>
          <w:b/>
        </w:rPr>
        <w:t>Table 5. Sensitivity and Subgroup Analyses</w:t>
      </w:r>
    </w:p>
    <w:tbl>
      <w:tblPr>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7"/>
        <w:gridCol w:w="691"/>
        <w:gridCol w:w="1526"/>
        <w:gridCol w:w="1526"/>
        <w:gridCol w:w="835"/>
        <w:gridCol w:w="835"/>
        <w:gridCol w:w="1728"/>
        <w:gridCol w:w="864"/>
      </w:tblGrid>
      <w:tr w:rsidR="00F50DC5" w14:paraId="6237988D" w14:textId="77777777">
        <w:trPr>
          <w:cantSplit/>
          <w:trHeight w:val="290"/>
          <w:tblHeader/>
          <w:jc w:val="center"/>
        </w:trPr>
        <w:tc>
          <w:tcPr>
            <w:tcW w:w="1757" w:type="dxa"/>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406CAA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Scenario</w:t>
            </w:r>
          </w:p>
        </w:tc>
        <w:tc>
          <w:tcPr>
            <w:tcW w:w="691"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1398BB5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k</w:t>
            </w:r>
          </w:p>
        </w:tc>
        <w:tc>
          <w:tcPr>
            <w:tcW w:w="1526"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6557BE9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Sensitivity (95% CI)</w:t>
            </w:r>
          </w:p>
        </w:tc>
        <w:tc>
          <w:tcPr>
            <w:tcW w:w="1526"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7236E96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Specificity (95% CI)</w:t>
            </w:r>
          </w:p>
        </w:tc>
        <w:tc>
          <w:tcPr>
            <w:tcW w:w="83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3FA3F37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LR+</w:t>
            </w:r>
          </w:p>
        </w:tc>
        <w:tc>
          <w:tcPr>
            <w:tcW w:w="835"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0FC03C8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LR−</w:t>
            </w:r>
          </w:p>
        </w:tc>
        <w:tc>
          <w:tcPr>
            <w:tcW w:w="1728"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5CDDE8A5" w14:textId="77777777" w:rsidR="00F50DC5" w:rsidRDefault="00000000">
            <w:pPr>
              <w:spacing w:line="240" w:lineRule="auto"/>
              <w:jc w:val="center"/>
            </w:pPr>
            <w:r>
              <w:rPr>
                <w:rFonts w:eastAsia="Times New Roman" w:cs="Times New Roman"/>
                <w:b/>
                <w:sz w:val="18"/>
              </w:rPr>
              <w:t>Derived DOR (95% CI)</w:t>
            </w:r>
          </w:p>
        </w:tc>
        <w:tc>
          <w:tcPr>
            <w:tcW w:w="864" w:type="dxa"/>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832DC3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b/>
                <w:color w:val="000000"/>
                <w:kern w:val="0"/>
                <w:sz w:val="18"/>
                <w14:ligatures w14:val="none"/>
              </w:rPr>
              <w:t>I²</w:t>
            </w:r>
          </w:p>
        </w:tc>
      </w:tr>
      <w:tr w:rsidR="00F50DC5" w14:paraId="7E9F31D5"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9E4404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Main analysis</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481A7B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7</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D0C413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0.891 (0.842–0.926)</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A2DDE9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0.849 (0.729–0.922)</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CC17FB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5.90</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64CFA5A"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0.128</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22D202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45.91 (19.60–107.53)</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836EFE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34.5%</w:t>
            </w:r>
          </w:p>
        </w:tc>
      </w:tr>
      <w:tr w:rsidR="00F50DC5" w14:paraId="104580C9"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C47B74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Excluding studies with zero cells</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650202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AEE327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0.861 (0.801–0.905)</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F12BED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0.856 (0.738–0.926)</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D30468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5.96</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00F602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0.162</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8E84BE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36.78 (15.54–87.05)</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2B3A17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40.7%</w:t>
            </w:r>
          </w:p>
        </w:tc>
      </w:tr>
      <w:tr w:rsidR="00F50DC5" w14:paraId="09299263"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56A67D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Healthy controls only</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E1EDEF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15BF86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0.885 (0.834–0.921)</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0565A0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0.870 (0.736–0.941)</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BC8454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6.78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D16E8B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0.133</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2E9D32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51.12 (19.36–134.97)</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F56348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44.6%</w:t>
            </w:r>
          </w:p>
        </w:tc>
      </w:tr>
      <w:tr w:rsidR="00F50DC5" w14:paraId="5973F499"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AE18FB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Multiple-miRNA panels</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A526E3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75A0F1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0.877 (0.811–0.922)</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500BAA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0.857 (0.723–0.932)</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806148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6.11</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C4D5F4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0.144</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F4DB68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42.50 (16.11–112.08)</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3615E8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13.3%</w:t>
            </w:r>
          </w:p>
        </w:tc>
      </w:tr>
      <w:tr w:rsidR="00F50DC5" w14:paraId="0550E677"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507B7B1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Validation cohorts only</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C2DA4E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3</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E1B13D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0.878 (0.805–0.927)</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FD42F1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0.801 (0.660–0.893)</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A1F4A1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4.42</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0D69374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0.152</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87B8FF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29.06 (11.60–72.77)</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74ECE65"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13.2%</w:t>
            </w:r>
          </w:p>
        </w:tc>
      </w:tr>
      <w:tr w:rsidR="00F50DC5" w14:paraId="3EE3473F" w14:textId="77777777">
        <w:trPr>
          <w:cantSplit/>
          <w:trHeight w:val="290"/>
          <w:jc w:val="center"/>
        </w:trPr>
        <w:tc>
          <w:tcPr>
            <w:tcW w:w="1757" w:type="dxa"/>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BA61AA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Derivation cohorts only</w:t>
            </w:r>
          </w:p>
        </w:tc>
        <w:tc>
          <w:tcPr>
            <w:tcW w:w="691"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E5A489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4</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89EEE3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0.911 (0.758–0.971)</w:t>
            </w:r>
          </w:p>
        </w:tc>
        <w:tc>
          <w:tcPr>
            <w:tcW w:w="1526"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424B00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0.909 (0.658–0.981)</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E8201C3"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9.98</w:t>
            </w:r>
          </w:p>
        </w:tc>
        <w:tc>
          <w:tcPr>
            <w:tcW w:w="835"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C8A946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0.098</w:t>
            </w:r>
          </w:p>
        </w:tc>
        <w:tc>
          <w:tcPr>
            <w:tcW w:w="1728"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B6BB89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101.76 (13.46–769.37)</w:t>
            </w:r>
          </w:p>
        </w:tc>
        <w:tc>
          <w:tcPr>
            <w:tcW w:w="864" w:type="dxa"/>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E9540C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18"/>
                <w14:ligatures w14:val="none"/>
              </w:rPr>
              <w:t>54.3%</w:t>
            </w:r>
          </w:p>
        </w:tc>
      </w:tr>
    </w:tbl>
    <w:p w14:paraId="303108D7" w14:textId="77777777" w:rsidR="00F50DC5" w:rsidRDefault="00000000">
      <w:pPr>
        <w:spacing w:line="240" w:lineRule="auto"/>
      </w:pPr>
      <w:r>
        <w:rPr>
          <w:rFonts w:eastAsia="Times New Roman" w:cs="Times New Roman"/>
          <w:i/>
        </w:rPr>
        <w:t>Abbreviations: CI, confidence interval; DOR, diagnostic odds ratio; LR+, positive likelihood ratio; LR-, negative likelihood ratio.</w:t>
      </w:r>
    </w:p>
    <w:p w14:paraId="642CE87C" w14:textId="77777777" w:rsidR="00F50DC5" w:rsidRDefault="00000000">
      <w:pPr>
        <w:keepNext/>
        <w:spacing w:before="160" w:after="80" w:line="240" w:lineRule="auto"/>
      </w:pPr>
      <w:r>
        <w:rPr>
          <w:rFonts w:eastAsia="Times New Roman" w:cs="Times New Roman"/>
          <w:b/>
        </w:rPr>
        <w:lastRenderedPageBreak/>
        <w:t>Table 6. Pooled Diagnostic Accuracy of Salivary MicroRNA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54"/>
        <w:gridCol w:w="1682"/>
        <w:gridCol w:w="2626"/>
      </w:tblGrid>
      <w:tr w:rsidR="00F50DC5" w14:paraId="6078B64A" w14:textId="77777777">
        <w:trPr>
          <w:trHeight w:val="20"/>
          <w:tblHeader/>
          <w:jc w:val="center"/>
        </w:trPr>
        <w:tc>
          <w:tcPr>
            <w:tcW w:w="2623" w:type="pct"/>
            <w:tcBorders>
              <w:top w:val="single" w:sz="4" w:space="0" w:color="auto"/>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9DFC8B8"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Parameter</w:t>
            </w:r>
          </w:p>
        </w:tc>
        <w:tc>
          <w:tcPr>
            <w:tcW w:w="928" w:type="pct"/>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0924155C"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Estimate</w:t>
            </w:r>
          </w:p>
        </w:tc>
        <w:tc>
          <w:tcPr>
            <w:tcW w:w="1449" w:type="pct"/>
            <w:tcBorders>
              <w:top w:val="single" w:sz="4" w:space="0" w:color="auto"/>
              <w:left w:val="nil"/>
              <w:bottom w:val="single" w:sz="4" w:space="0" w:color="auto"/>
              <w:right w:val="single" w:sz="4" w:space="0" w:color="auto"/>
            </w:tcBorders>
            <w:noWrap/>
            <w:tcMar>
              <w:top w:w="40" w:type="dxa"/>
              <w:left w:w="45" w:type="dxa"/>
              <w:bottom w:w="40" w:type="dxa"/>
              <w:right w:w="45" w:type="dxa"/>
            </w:tcMar>
            <w:vAlign w:val="center"/>
            <w:hideMark/>
          </w:tcPr>
          <w:p w14:paraId="48542E15" w14:textId="77777777" w:rsidR="00F50DC5" w:rsidRDefault="00000000">
            <w:pPr>
              <w:spacing w:line="240" w:lineRule="auto"/>
              <w:jc w:val="center"/>
              <w:rPr>
                <w:rFonts w:eastAsia="Times New Roman" w:cs="Times New Roman"/>
                <w:b/>
                <w:bCs/>
                <w:color w:val="000000"/>
                <w:kern w:val="0"/>
                <w:szCs w:val="24"/>
                <w14:ligatures w14:val="none"/>
              </w:rPr>
            </w:pPr>
            <w:r>
              <w:rPr>
                <w:rFonts w:eastAsia="Times New Roman" w:cs="Times New Roman"/>
                <w:b/>
                <w:bCs/>
                <w:color w:val="000000"/>
                <w:kern w:val="0"/>
                <w:sz w:val="20"/>
                <w:szCs w:val="24"/>
                <w14:ligatures w14:val="none"/>
              </w:rPr>
              <w:t>95% confidence interval</w:t>
            </w:r>
          </w:p>
        </w:tc>
      </w:tr>
      <w:tr w:rsidR="00F50DC5" w14:paraId="67CCFEB9"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1F62CD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Number of studies</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C232CE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7</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C7DF92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w:t>
            </w:r>
          </w:p>
        </w:tc>
      </w:tr>
      <w:tr w:rsidR="00F50DC5" w14:paraId="1DC804AC"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E54F51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Pooled sensitivity</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C4A82A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0.891</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183866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0.842–0.926</w:t>
            </w:r>
          </w:p>
        </w:tc>
      </w:tr>
      <w:tr w:rsidR="00F50DC5" w14:paraId="40C750A2"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D67F98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Pooled specificity</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8DB7420"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0.849</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602B42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0.729–0.922</w:t>
            </w:r>
          </w:p>
        </w:tc>
      </w:tr>
      <w:tr w:rsidR="00F50DC5" w14:paraId="5E53A2BE"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96D1D5C" w14:textId="77777777" w:rsidR="00F50DC5" w:rsidRDefault="00000000">
            <w:pPr>
              <w:spacing w:line="240" w:lineRule="auto"/>
              <w:jc w:val="center"/>
              <w:rPr>
                <w:rFonts w:eastAsia="Times New Roman" w:cs="Times New Roman"/>
                <w:i/>
                <w:iCs/>
                <w:color w:val="000000"/>
                <w:kern w:val="0"/>
                <w:szCs w:val="24"/>
                <w14:ligatures w14:val="none"/>
              </w:rPr>
            </w:pPr>
            <w:r>
              <w:rPr>
                <w:rFonts w:eastAsia="Times New Roman" w:cs="Times New Roman"/>
                <w:i/>
                <w:iCs/>
                <w:color w:val="000000"/>
                <w:kern w:val="0"/>
                <w:sz w:val="20"/>
                <w:szCs w:val="24"/>
                <w14:ligatures w14:val="none"/>
              </w:rPr>
              <w:t>Positive likelihood ratio</w:t>
            </w:r>
            <w:r>
              <w:rPr>
                <w:rFonts w:eastAsia="Times New Roman" w:cs="Times New Roman"/>
                <w:color w:val="000000"/>
                <w:kern w:val="0"/>
                <w:sz w:val="20"/>
                <w:szCs w:val="24"/>
                <w14:ligatures w14:val="none"/>
              </w:rPr>
              <w:t xml:space="preserve"> (LR+)</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A0C2957"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5.90</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F9ABD0F"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3.15–11.06</w:t>
            </w:r>
          </w:p>
        </w:tc>
      </w:tr>
      <w:tr w:rsidR="00F50DC5" w14:paraId="4D9F84C4"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9973900" w14:textId="77777777" w:rsidR="00F50DC5" w:rsidRDefault="00000000">
            <w:pPr>
              <w:spacing w:line="240" w:lineRule="auto"/>
              <w:jc w:val="center"/>
              <w:rPr>
                <w:rFonts w:eastAsia="Times New Roman" w:cs="Times New Roman"/>
                <w:i/>
                <w:iCs/>
                <w:color w:val="000000"/>
                <w:kern w:val="0"/>
                <w:szCs w:val="24"/>
                <w14:ligatures w14:val="none"/>
              </w:rPr>
            </w:pPr>
            <w:r>
              <w:rPr>
                <w:rFonts w:eastAsia="Times New Roman" w:cs="Times New Roman"/>
                <w:i/>
                <w:iCs/>
                <w:color w:val="000000"/>
                <w:kern w:val="0"/>
                <w:sz w:val="20"/>
                <w:szCs w:val="24"/>
                <w14:ligatures w14:val="none"/>
              </w:rPr>
              <w:t>Negative likelihood ratio</w:t>
            </w:r>
            <w:r>
              <w:rPr>
                <w:rFonts w:eastAsia="Times New Roman" w:cs="Times New Roman"/>
                <w:color w:val="000000"/>
                <w:kern w:val="0"/>
                <w:sz w:val="20"/>
                <w:szCs w:val="24"/>
                <w14:ligatures w14:val="none"/>
              </w:rPr>
              <w:t xml:space="preserve"> (LR−)</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972970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0.128</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C17F1A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0.087–0.191</w:t>
            </w:r>
          </w:p>
        </w:tc>
      </w:tr>
      <w:tr w:rsidR="00F50DC5" w14:paraId="5D9A7C27"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7BB523E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 xml:space="preserve">Pooled </w:t>
            </w:r>
            <w:proofErr w:type="spellStart"/>
            <w:r>
              <w:rPr>
                <w:rFonts w:eastAsia="Times New Roman" w:cs="Times New Roman"/>
                <w:color w:val="000000"/>
                <w:kern w:val="0"/>
                <w:sz w:val="20"/>
                <w:szCs w:val="24"/>
                <w14:ligatures w14:val="none"/>
              </w:rPr>
              <w:t>logDOR</w:t>
            </w:r>
            <w:proofErr w:type="spellEnd"/>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F2F207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3.71</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DFC92D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2.69–4.74</w:t>
            </w:r>
          </w:p>
        </w:tc>
      </w:tr>
      <w:tr w:rsidR="00F50DC5" w14:paraId="75A80342"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0A99BE9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Pooled DOR</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732235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40.89</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983859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14.67–114.00</w:t>
            </w:r>
          </w:p>
        </w:tc>
      </w:tr>
      <w:tr w:rsidR="00F50DC5" w14:paraId="43F332FF"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4991F74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Exploratory AUC SROC</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FC86C2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0.935</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6EB178C"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0.885–0.965</w:t>
            </w:r>
          </w:p>
        </w:tc>
      </w:tr>
      <w:tr w:rsidR="00F50DC5" w14:paraId="2D944912"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63F8320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DOR prediction interval</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3A35A9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CD7CB0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6.93–241.12</w:t>
            </w:r>
          </w:p>
        </w:tc>
      </w:tr>
      <w:tr w:rsidR="00F50DC5" w14:paraId="4FB99B61"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2CC411AE"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Cochran’s Q</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78E7076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9.15</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2137699" w14:textId="77777777" w:rsidR="00F50DC5" w:rsidRDefault="00000000">
            <w:pPr>
              <w:spacing w:line="240" w:lineRule="auto"/>
              <w:jc w:val="center"/>
              <w:rPr>
                <w:rFonts w:eastAsia="Times New Roman" w:cs="Times New Roman"/>
                <w:color w:val="000000"/>
                <w:kern w:val="0"/>
                <w:szCs w:val="24"/>
                <w14:ligatures w14:val="none"/>
              </w:rPr>
            </w:pPr>
            <w:proofErr w:type="spellStart"/>
            <w:r>
              <w:rPr>
                <w:rFonts w:eastAsia="Times New Roman" w:cs="Times New Roman"/>
                <w:color w:val="000000"/>
                <w:kern w:val="0"/>
                <w:sz w:val="20"/>
                <w:szCs w:val="24"/>
                <w14:ligatures w14:val="none"/>
              </w:rPr>
              <w:t>df</w:t>
            </w:r>
            <w:proofErr w:type="spellEnd"/>
            <w:r>
              <w:rPr>
                <w:rFonts w:eastAsia="Times New Roman" w:cs="Times New Roman"/>
                <w:color w:val="000000"/>
                <w:kern w:val="0"/>
                <w:sz w:val="20"/>
                <w:szCs w:val="24"/>
                <w14:ligatures w14:val="none"/>
              </w:rPr>
              <w:t xml:space="preserve"> = 6; p = 0.165</w:t>
            </w:r>
          </w:p>
        </w:tc>
      </w:tr>
      <w:tr w:rsidR="00F50DC5" w14:paraId="73C2146C"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1E8AC33D"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I²</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4C70BD52"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34.46%</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1C1BDB8B"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w:t>
            </w:r>
          </w:p>
        </w:tc>
      </w:tr>
      <w:tr w:rsidR="00F50DC5" w14:paraId="0B4D8450"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77966486"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τ</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5F9B5B18"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0.55</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66028FA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w:t>
            </w:r>
          </w:p>
        </w:tc>
      </w:tr>
      <w:tr w:rsidR="00F50DC5" w14:paraId="2E1E0CCE" w14:textId="77777777">
        <w:trPr>
          <w:trHeight w:val="20"/>
          <w:jc w:val="center"/>
        </w:trPr>
        <w:tc>
          <w:tcPr>
            <w:tcW w:w="2623" w:type="pct"/>
            <w:tcBorders>
              <w:top w:val="nil"/>
              <w:left w:val="single" w:sz="4" w:space="0" w:color="auto"/>
              <w:bottom w:val="single" w:sz="4" w:space="0" w:color="auto"/>
              <w:right w:val="single" w:sz="4" w:space="0" w:color="auto"/>
            </w:tcBorders>
            <w:noWrap/>
            <w:tcMar>
              <w:top w:w="40" w:type="dxa"/>
              <w:left w:w="45" w:type="dxa"/>
              <w:bottom w:w="40" w:type="dxa"/>
              <w:right w:w="45" w:type="dxa"/>
            </w:tcMar>
            <w:vAlign w:val="center"/>
            <w:hideMark/>
          </w:tcPr>
          <w:p w14:paraId="37D99C99"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τ²</w:t>
            </w:r>
          </w:p>
        </w:tc>
        <w:tc>
          <w:tcPr>
            <w:tcW w:w="928"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32596184"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0.301</w:t>
            </w:r>
          </w:p>
        </w:tc>
        <w:tc>
          <w:tcPr>
            <w:tcW w:w="1449" w:type="pct"/>
            <w:tcBorders>
              <w:top w:val="nil"/>
              <w:left w:val="nil"/>
              <w:bottom w:val="single" w:sz="4" w:space="0" w:color="auto"/>
              <w:right w:val="single" w:sz="4" w:space="0" w:color="auto"/>
            </w:tcBorders>
            <w:noWrap/>
            <w:tcMar>
              <w:top w:w="40" w:type="dxa"/>
              <w:left w:w="45" w:type="dxa"/>
              <w:bottom w:w="40" w:type="dxa"/>
              <w:right w:w="45" w:type="dxa"/>
            </w:tcMar>
            <w:vAlign w:val="center"/>
            <w:hideMark/>
          </w:tcPr>
          <w:p w14:paraId="29FEC6D1" w14:textId="77777777" w:rsidR="00F50DC5" w:rsidRDefault="00000000">
            <w:pPr>
              <w:spacing w:line="240" w:lineRule="auto"/>
              <w:jc w:val="center"/>
              <w:rPr>
                <w:rFonts w:eastAsia="Times New Roman" w:cs="Times New Roman"/>
                <w:color w:val="000000"/>
                <w:kern w:val="0"/>
                <w:szCs w:val="24"/>
                <w14:ligatures w14:val="none"/>
              </w:rPr>
            </w:pPr>
            <w:r>
              <w:rPr>
                <w:rFonts w:eastAsia="Times New Roman" w:cs="Times New Roman"/>
                <w:color w:val="000000"/>
                <w:kern w:val="0"/>
                <w:sz w:val="20"/>
                <w:szCs w:val="24"/>
                <w14:ligatures w14:val="none"/>
              </w:rPr>
              <w:t>–</w:t>
            </w:r>
          </w:p>
        </w:tc>
      </w:tr>
    </w:tbl>
    <w:p w14:paraId="51DDFC3F" w14:textId="77777777" w:rsidR="00F50DC5" w:rsidRDefault="00000000">
      <w:pPr>
        <w:spacing w:line="240" w:lineRule="auto"/>
      </w:pPr>
      <w:r>
        <w:rPr>
          <w:rFonts w:eastAsia="Times New Roman" w:cs="Times New Roman"/>
          <w:i/>
        </w:rPr>
        <w:t>Abbreviations: AUC, area under the curve; CI, confidence interval; DOR, diagnostic odds ratio; LR+, positive likelihood ratio; LR-, negative likelihood ratio; SROC, summary receiver operating characteristic.</w:t>
      </w:r>
    </w:p>
    <w:p w14:paraId="4C22ECAE" w14:textId="77777777" w:rsidR="00F50DC5" w:rsidRDefault="00000000">
      <w:pPr>
        <w:keepNext/>
        <w:spacing w:before="240" w:after="120" w:line="240" w:lineRule="auto"/>
      </w:pPr>
      <w:r>
        <w:rPr>
          <w:rFonts w:eastAsia="Times New Roman" w:cs="Times New Roman"/>
          <w:b/>
        </w:rPr>
        <w:t>FIGURE LEGENDS</w:t>
      </w:r>
    </w:p>
    <w:p w14:paraId="72DEA959" w14:textId="77777777" w:rsidR="00F50DC5" w:rsidRDefault="00000000">
      <w:pPr>
        <w:keepNext/>
        <w:spacing w:before="160" w:after="80" w:line="240" w:lineRule="auto"/>
      </w:pPr>
      <w:r>
        <w:rPr>
          <w:rFonts w:eastAsia="Times New Roman" w:cs="Times New Roman"/>
        </w:rPr>
        <w:t>Figure 1. PRISMA flow diagram.</w:t>
      </w:r>
    </w:p>
    <w:p w14:paraId="6313A8E0" w14:textId="77777777" w:rsidR="00F50DC5" w:rsidRDefault="00000000">
      <w:pPr>
        <w:keepNext/>
        <w:spacing w:before="160" w:after="80" w:line="240" w:lineRule="auto"/>
      </w:pPr>
      <w:r>
        <w:rPr>
          <w:rFonts w:eastAsia="Times New Roman" w:cs="Times New Roman"/>
        </w:rPr>
        <w:t>Figure 2. Paired forest plot of sensitivity and specificity.</w:t>
      </w:r>
    </w:p>
    <w:p w14:paraId="044288CC" w14:textId="77777777" w:rsidR="00F50DC5" w:rsidRDefault="00000000">
      <w:pPr>
        <w:keepNext/>
        <w:spacing w:before="160" w:after="80" w:line="240" w:lineRule="auto"/>
      </w:pPr>
      <w:r>
        <w:rPr>
          <w:rFonts w:eastAsia="Times New Roman" w:cs="Times New Roman"/>
        </w:rPr>
        <w:t>Figure 3. Exploratory summary receiver operating characteristic (SROC) curve.</w:t>
      </w:r>
    </w:p>
    <w:p w14:paraId="0786B169" w14:textId="77777777" w:rsidR="00F50DC5" w:rsidRDefault="00000000">
      <w:pPr>
        <w:keepNext/>
        <w:spacing w:before="160" w:after="80" w:line="240" w:lineRule="auto"/>
      </w:pPr>
      <w:r>
        <w:rPr>
          <w:rFonts w:eastAsia="Times New Roman" w:cs="Times New Roman"/>
        </w:rPr>
        <w:t>Figure 4. QUADAS-3 assessment: (a) traffic-light plot; (b) risk-of-bias and applicability summary.</w:t>
      </w:r>
    </w:p>
    <w:p w14:paraId="5550BE91" w14:textId="77777777" w:rsidR="00F50DC5" w:rsidRDefault="00000000">
      <w:r>
        <w:rPr>
          <w:b/>
        </w:rPr>
        <w:t>ADDITIONAL FILES</w:t>
      </w:r>
    </w:p>
    <w:p w14:paraId="15ABAE13" w14:textId="77777777" w:rsidR="00F50DC5" w:rsidRDefault="00000000">
      <w:r>
        <w:t>Additional file 1. Supplementary Tables S1–S3: Table S1, search strategy and information sources; Table S2, full-text exclusion categories reported in the manuscript; and Table S3, study-level 2 × 2 diagnostic data used in the quantitative synthesis.</w:t>
      </w:r>
    </w:p>
    <w:sectPr w:rsidR="00F50DC5">
      <w:headerReference w:type="default" r:id="rId8"/>
      <w:footerReference w:type="default" r:id="rId9"/>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BA775" w14:textId="77777777" w:rsidR="008C5CDF" w:rsidRDefault="008C5CDF">
      <w:pPr>
        <w:spacing w:line="240" w:lineRule="auto"/>
      </w:pPr>
      <w:r>
        <w:separator/>
      </w:r>
    </w:p>
  </w:endnote>
  <w:endnote w:type="continuationSeparator" w:id="0">
    <w:p w14:paraId="510DA4DB" w14:textId="77777777" w:rsidR="008C5CDF" w:rsidRDefault="008C5C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4F1" w14:textId="77777777" w:rsidR="00F50DC5" w:rsidRDefault="00F50D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90EF2" w14:textId="77777777" w:rsidR="008C5CDF" w:rsidRDefault="008C5CDF">
      <w:pPr>
        <w:spacing w:line="240" w:lineRule="auto"/>
      </w:pPr>
      <w:r>
        <w:separator/>
      </w:r>
    </w:p>
  </w:footnote>
  <w:footnote w:type="continuationSeparator" w:id="0">
    <w:p w14:paraId="090CEB88" w14:textId="77777777" w:rsidR="008C5CDF" w:rsidRDefault="008C5C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0F80" w14:textId="77777777" w:rsidR="00F50DC5" w:rsidRDefault="00F50D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0BA"/>
    <w:multiLevelType w:val="multilevel"/>
    <w:tmpl w:val="7BDC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15B5D"/>
    <w:multiLevelType w:val="multilevel"/>
    <w:tmpl w:val="8B60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0068E"/>
    <w:multiLevelType w:val="multilevel"/>
    <w:tmpl w:val="5A40C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67128"/>
    <w:multiLevelType w:val="multilevel"/>
    <w:tmpl w:val="CC56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A4F75"/>
    <w:multiLevelType w:val="multilevel"/>
    <w:tmpl w:val="1BC0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12E92"/>
    <w:multiLevelType w:val="multilevel"/>
    <w:tmpl w:val="905A3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06480"/>
    <w:multiLevelType w:val="multilevel"/>
    <w:tmpl w:val="BC5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B3922"/>
    <w:multiLevelType w:val="multilevel"/>
    <w:tmpl w:val="1BC6E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B4A5D"/>
    <w:multiLevelType w:val="multilevel"/>
    <w:tmpl w:val="35FA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97E12"/>
    <w:multiLevelType w:val="multilevel"/>
    <w:tmpl w:val="813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647E5"/>
    <w:multiLevelType w:val="multilevel"/>
    <w:tmpl w:val="DF70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77705"/>
    <w:multiLevelType w:val="multilevel"/>
    <w:tmpl w:val="B3F8D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9099B"/>
    <w:multiLevelType w:val="multilevel"/>
    <w:tmpl w:val="7AB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A364A"/>
    <w:multiLevelType w:val="multilevel"/>
    <w:tmpl w:val="F7B8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4CC3"/>
    <w:multiLevelType w:val="multilevel"/>
    <w:tmpl w:val="1E46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EB5152"/>
    <w:multiLevelType w:val="multilevel"/>
    <w:tmpl w:val="E23A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33F2D"/>
    <w:multiLevelType w:val="multilevel"/>
    <w:tmpl w:val="C80C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14224"/>
    <w:multiLevelType w:val="multilevel"/>
    <w:tmpl w:val="2194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C3DDE"/>
    <w:multiLevelType w:val="multilevel"/>
    <w:tmpl w:val="4ADE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4D94"/>
    <w:multiLevelType w:val="multilevel"/>
    <w:tmpl w:val="DFEE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9A1A38"/>
    <w:multiLevelType w:val="multilevel"/>
    <w:tmpl w:val="FC6A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A22AE"/>
    <w:multiLevelType w:val="multilevel"/>
    <w:tmpl w:val="2AFA1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5288A"/>
    <w:multiLevelType w:val="multilevel"/>
    <w:tmpl w:val="E402E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EF3808"/>
    <w:multiLevelType w:val="multilevel"/>
    <w:tmpl w:val="7E2E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81B90"/>
    <w:multiLevelType w:val="multilevel"/>
    <w:tmpl w:val="3286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053B7"/>
    <w:multiLevelType w:val="multilevel"/>
    <w:tmpl w:val="B80AE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C81F2E"/>
    <w:multiLevelType w:val="multilevel"/>
    <w:tmpl w:val="C3C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3027">
    <w:abstractNumId w:val="23"/>
  </w:num>
  <w:num w:numId="2" w16cid:durableId="782071839">
    <w:abstractNumId w:val="1"/>
  </w:num>
  <w:num w:numId="3" w16cid:durableId="744495665">
    <w:abstractNumId w:val="7"/>
  </w:num>
  <w:num w:numId="4" w16cid:durableId="331835986">
    <w:abstractNumId w:val="25"/>
  </w:num>
  <w:num w:numId="5" w16cid:durableId="1498691327">
    <w:abstractNumId w:val="5"/>
  </w:num>
  <w:num w:numId="6" w16cid:durableId="389115613">
    <w:abstractNumId w:val="6"/>
  </w:num>
  <w:num w:numId="7" w16cid:durableId="571548201">
    <w:abstractNumId w:val="24"/>
  </w:num>
  <w:num w:numId="8" w16cid:durableId="440105360">
    <w:abstractNumId w:val="11"/>
  </w:num>
  <w:num w:numId="9" w16cid:durableId="1843742128">
    <w:abstractNumId w:val="22"/>
  </w:num>
  <w:num w:numId="10" w16cid:durableId="9721665">
    <w:abstractNumId w:val="13"/>
  </w:num>
  <w:num w:numId="11" w16cid:durableId="1883051528">
    <w:abstractNumId w:val="9"/>
  </w:num>
  <w:num w:numId="12" w16cid:durableId="946884002">
    <w:abstractNumId w:val="20"/>
  </w:num>
  <w:num w:numId="13" w16cid:durableId="1363214712">
    <w:abstractNumId w:val="8"/>
  </w:num>
  <w:num w:numId="14" w16cid:durableId="1923948754">
    <w:abstractNumId w:val="12"/>
  </w:num>
  <w:num w:numId="15" w16cid:durableId="1477379235">
    <w:abstractNumId w:val="18"/>
  </w:num>
  <w:num w:numId="16" w16cid:durableId="145367565">
    <w:abstractNumId w:val="0"/>
  </w:num>
  <w:num w:numId="17" w16cid:durableId="1146822036">
    <w:abstractNumId w:val="3"/>
  </w:num>
  <w:num w:numId="18" w16cid:durableId="1821387908">
    <w:abstractNumId w:val="21"/>
  </w:num>
  <w:num w:numId="19" w16cid:durableId="1591235754">
    <w:abstractNumId w:val="4"/>
  </w:num>
  <w:num w:numId="20" w16cid:durableId="1231959561">
    <w:abstractNumId w:val="19"/>
  </w:num>
  <w:num w:numId="21" w16cid:durableId="1619752102">
    <w:abstractNumId w:val="10"/>
  </w:num>
  <w:num w:numId="22" w16cid:durableId="1306936477">
    <w:abstractNumId w:val="15"/>
  </w:num>
  <w:num w:numId="23" w16cid:durableId="345525184">
    <w:abstractNumId w:val="2"/>
  </w:num>
  <w:num w:numId="24" w16cid:durableId="1670673358">
    <w:abstractNumId w:val="16"/>
  </w:num>
  <w:num w:numId="25" w16cid:durableId="1945991366">
    <w:abstractNumId w:val="26"/>
  </w:num>
  <w:num w:numId="26" w16cid:durableId="1100830172">
    <w:abstractNumId w:val="14"/>
  </w:num>
  <w:num w:numId="27" w16cid:durableId="2201008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3A"/>
    <w:rsid w:val="00020578"/>
    <w:rsid w:val="000245B1"/>
    <w:rsid w:val="00035A16"/>
    <w:rsid w:val="00035B5B"/>
    <w:rsid w:val="00052596"/>
    <w:rsid w:val="000904BA"/>
    <w:rsid w:val="000A2BA7"/>
    <w:rsid w:val="000B38D1"/>
    <w:rsid w:val="000C7624"/>
    <w:rsid w:val="000E27AE"/>
    <w:rsid w:val="0014303A"/>
    <w:rsid w:val="001619B4"/>
    <w:rsid w:val="00193728"/>
    <w:rsid w:val="001B456F"/>
    <w:rsid w:val="001C25E8"/>
    <w:rsid w:val="001E6F1B"/>
    <w:rsid w:val="001F5061"/>
    <w:rsid w:val="0020329E"/>
    <w:rsid w:val="002150D7"/>
    <w:rsid w:val="002428DF"/>
    <w:rsid w:val="00247661"/>
    <w:rsid w:val="00280E64"/>
    <w:rsid w:val="002D5DA7"/>
    <w:rsid w:val="002F26B6"/>
    <w:rsid w:val="002F555D"/>
    <w:rsid w:val="00323E14"/>
    <w:rsid w:val="00324F9C"/>
    <w:rsid w:val="00325AF8"/>
    <w:rsid w:val="00333B7F"/>
    <w:rsid w:val="00352B0B"/>
    <w:rsid w:val="0036475E"/>
    <w:rsid w:val="003C4BD7"/>
    <w:rsid w:val="003D534A"/>
    <w:rsid w:val="00427886"/>
    <w:rsid w:val="004456CC"/>
    <w:rsid w:val="00451960"/>
    <w:rsid w:val="004841F5"/>
    <w:rsid w:val="004850D4"/>
    <w:rsid w:val="004B145C"/>
    <w:rsid w:val="004D27E9"/>
    <w:rsid w:val="0053295B"/>
    <w:rsid w:val="0056206C"/>
    <w:rsid w:val="005929CB"/>
    <w:rsid w:val="005975D2"/>
    <w:rsid w:val="005A3430"/>
    <w:rsid w:val="005C2D9C"/>
    <w:rsid w:val="005D5E71"/>
    <w:rsid w:val="005F21AB"/>
    <w:rsid w:val="005F5C48"/>
    <w:rsid w:val="00613DF4"/>
    <w:rsid w:val="0064196D"/>
    <w:rsid w:val="006731A2"/>
    <w:rsid w:val="006B4C1E"/>
    <w:rsid w:val="006D3DB7"/>
    <w:rsid w:val="006D6546"/>
    <w:rsid w:val="007104DF"/>
    <w:rsid w:val="007122E8"/>
    <w:rsid w:val="00723618"/>
    <w:rsid w:val="00731716"/>
    <w:rsid w:val="007466F6"/>
    <w:rsid w:val="00750752"/>
    <w:rsid w:val="007622E2"/>
    <w:rsid w:val="00786E5E"/>
    <w:rsid w:val="007923EB"/>
    <w:rsid w:val="00794B79"/>
    <w:rsid w:val="007A01EA"/>
    <w:rsid w:val="007C056F"/>
    <w:rsid w:val="007C422A"/>
    <w:rsid w:val="007C5ACD"/>
    <w:rsid w:val="007D40A9"/>
    <w:rsid w:val="007D6BCA"/>
    <w:rsid w:val="008218C8"/>
    <w:rsid w:val="00842022"/>
    <w:rsid w:val="0084403A"/>
    <w:rsid w:val="00850FF4"/>
    <w:rsid w:val="00870C25"/>
    <w:rsid w:val="00897916"/>
    <w:rsid w:val="008B54B1"/>
    <w:rsid w:val="008C5CDF"/>
    <w:rsid w:val="008E67B7"/>
    <w:rsid w:val="008E6E64"/>
    <w:rsid w:val="00914B10"/>
    <w:rsid w:val="00931589"/>
    <w:rsid w:val="009747AE"/>
    <w:rsid w:val="00974B75"/>
    <w:rsid w:val="00991CE5"/>
    <w:rsid w:val="009B2946"/>
    <w:rsid w:val="009D2D9F"/>
    <w:rsid w:val="009E1196"/>
    <w:rsid w:val="00A1299D"/>
    <w:rsid w:val="00A41204"/>
    <w:rsid w:val="00A62222"/>
    <w:rsid w:val="00A62E4F"/>
    <w:rsid w:val="00A64F4B"/>
    <w:rsid w:val="00AA5F04"/>
    <w:rsid w:val="00AB7857"/>
    <w:rsid w:val="00AF1B78"/>
    <w:rsid w:val="00AF616E"/>
    <w:rsid w:val="00B028E2"/>
    <w:rsid w:val="00B13BC3"/>
    <w:rsid w:val="00B2711C"/>
    <w:rsid w:val="00B741FB"/>
    <w:rsid w:val="00B859FE"/>
    <w:rsid w:val="00B87AD2"/>
    <w:rsid w:val="00C00DB8"/>
    <w:rsid w:val="00C07BA8"/>
    <w:rsid w:val="00C33CDB"/>
    <w:rsid w:val="00C67673"/>
    <w:rsid w:val="00C947A6"/>
    <w:rsid w:val="00CA0B19"/>
    <w:rsid w:val="00CB2FB5"/>
    <w:rsid w:val="00CB5929"/>
    <w:rsid w:val="00CB5F4D"/>
    <w:rsid w:val="00CF6612"/>
    <w:rsid w:val="00D146E3"/>
    <w:rsid w:val="00D16597"/>
    <w:rsid w:val="00D33DE7"/>
    <w:rsid w:val="00D50462"/>
    <w:rsid w:val="00D66728"/>
    <w:rsid w:val="00D70FFC"/>
    <w:rsid w:val="00D81309"/>
    <w:rsid w:val="00DB232B"/>
    <w:rsid w:val="00DC012F"/>
    <w:rsid w:val="00DE0D74"/>
    <w:rsid w:val="00E263D4"/>
    <w:rsid w:val="00E7496E"/>
    <w:rsid w:val="00E90D26"/>
    <w:rsid w:val="00E91E8E"/>
    <w:rsid w:val="00E97880"/>
    <w:rsid w:val="00EB1139"/>
    <w:rsid w:val="00EB1E9D"/>
    <w:rsid w:val="00ED6A1B"/>
    <w:rsid w:val="00F05566"/>
    <w:rsid w:val="00F10BC9"/>
    <w:rsid w:val="00F1474F"/>
    <w:rsid w:val="00F25D9A"/>
    <w:rsid w:val="00F42ECE"/>
    <w:rsid w:val="00F45871"/>
    <w:rsid w:val="00F50DC5"/>
    <w:rsid w:val="00F56FAF"/>
    <w:rsid w:val="00F65DE1"/>
    <w:rsid w:val="00FA2D9C"/>
    <w:rsid w:val="00FB0956"/>
    <w:rsid w:val="00FB7E14"/>
    <w:rsid w:val="00FD0DF1"/>
    <w:rsid w:val="00FF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5E90F"/>
  <w15:chartTrackingRefBased/>
  <w15:docId w15:val="{2689F8C3-495B-4785-8234-A738F4A3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3EB"/>
    <w:pPr>
      <w:spacing w:after="0" w:line="480" w:lineRule="auto"/>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4C1E"/>
    <w:rPr>
      <w:color w:val="0563C1" w:themeColor="hyperlink"/>
      <w:u w:val="single"/>
    </w:rPr>
  </w:style>
  <w:style w:type="character" w:styleId="UnresolvedMention">
    <w:name w:val="Unresolved Mention"/>
    <w:basedOn w:val="DefaultParagraphFont"/>
    <w:uiPriority w:val="99"/>
    <w:semiHidden/>
    <w:unhideWhenUsed/>
    <w:rsid w:val="006B4C1E"/>
    <w:rPr>
      <w:color w:val="605E5C"/>
      <w:shd w:val="clear" w:color="auto" w:fill="E1DFDD"/>
    </w:rPr>
  </w:style>
  <w:style w:type="character" w:styleId="PlaceholderText">
    <w:name w:val="Placeholder Text"/>
    <w:basedOn w:val="DefaultParagraphFont"/>
    <w:uiPriority w:val="99"/>
    <w:semiHidden/>
    <w:rsid w:val="007923EB"/>
    <w:rPr>
      <w:color w:val="666666"/>
    </w:rPr>
  </w:style>
  <w:style w:type="table" w:styleId="TableGrid">
    <w:name w:val="Table Grid"/>
    <w:basedOn w:val="TableNormal"/>
    <w:uiPriority w:val="39"/>
    <w:rsid w:val="007C4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B456F"/>
    <w:pPr>
      <w:spacing w:line="240" w:lineRule="auto"/>
    </w:pPr>
    <w:rPr>
      <w:sz w:val="20"/>
      <w:szCs w:val="20"/>
    </w:rPr>
  </w:style>
  <w:style w:type="character" w:customStyle="1" w:styleId="FootnoteTextChar">
    <w:name w:val="Footnote Text Char"/>
    <w:basedOn w:val="DefaultParagraphFont"/>
    <w:link w:val="FootnoteText"/>
    <w:uiPriority w:val="99"/>
    <w:semiHidden/>
    <w:rsid w:val="001B456F"/>
    <w:rPr>
      <w:sz w:val="20"/>
      <w:szCs w:val="20"/>
    </w:rPr>
  </w:style>
  <w:style w:type="character" w:styleId="FootnoteReference">
    <w:name w:val="footnote reference"/>
    <w:basedOn w:val="DefaultParagraphFont"/>
    <w:uiPriority w:val="99"/>
    <w:semiHidden/>
    <w:unhideWhenUsed/>
    <w:rsid w:val="001B456F"/>
    <w:rPr>
      <w:vertAlign w:val="superscript"/>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4402">
      <w:bodyDiv w:val="1"/>
      <w:marLeft w:val="0"/>
      <w:marRight w:val="0"/>
      <w:marTop w:val="0"/>
      <w:marBottom w:val="0"/>
      <w:divBdr>
        <w:top w:val="none" w:sz="0" w:space="0" w:color="auto"/>
        <w:left w:val="none" w:sz="0" w:space="0" w:color="auto"/>
        <w:bottom w:val="none" w:sz="0" w:space="0" w:color="auto"/>
        <w:right w:val="none" w:sz="0" w:space="0" w:color="auto"/>
      </w:divBdr>
    </w:div>
    <w:div w:id="55400893">
      <w:bodyDiv w:val="1"/>
      <w:marLeft w:val="0"/>
      <w:marRight w:val="0"/>
      <w:marTop w:val="0"/>
      <w:marBottom w:val="0"/>
      <w:divBdr>
        <w:top w:val="none" w:sz="0" w:space="0" w:color="auto"/>
        <w:left w:val="none" w:sz="0" w:space="0" w:color="auto"/>
        <w:bottom w:val="none" w:sz="0" w:space="0" w:color="auto"/>
        <w:right w:val="none" w:sz="0" w:space="0" w:color="auto"/>
      </w:divBdr>
    </w:div>
    <w:div w:id="76364915">
      <w:bodyDiv w:val="1"/>
      <w:marLeft w:val="0"/>
      <w:marRight w:val="0"/>
      <w:marTop w:val="0"/>
      <w:marBottom w:val="0"/>
      <w:divBdr>
        <w:top w:val="none" w:sz="0" w:space="0" w:color="auto"/>
        <w:left w:val="none" w:sz="0" w:space="0" w:color="auto"/>
        <w:bottom w:val="none" w:sz="0" w:space="0" w:color="auto"/>
        <w:right w:val="none" w:sz="0" w:space="0" w:color="auto"/>
      </w:divBdr>
    </w:div>
    <w:div w:id="81412890">
      <w:bodyDiv w:val="1"/>
      <w:marLeft w:val="0"/>
      <w:marRight w:val="0"/>
      <w:marTop w:val="0"/>
      <w:marBottom w:val="0"/>
      <w:divBdr>
        <w:top w:val="none" w:sz="0" w:space="0" w:color="auto"/>
        <w:left w:val="none" w:sz="0" w:space="0" w:color="auto"/>
        <w:bottom w:val="none" w:sz="0" w:space="0" w:color="auto"/>
        <w:right w:val="none" w:sz="0" w:space="0" w:color="auto"/>
      </w:divBdr>
    </w:div>
    <w:div w:id="84034815">
      <w:bodyDiv w:val="1"/>
      <w:marLeft w:val="0"/>
      <w:marRight w:val="0"/>
      <w:marTop w:val="0"/>
      <w:marBottom w:val="0"/>
      <w:divBdr>
        <w:top w:val="none" w:sz="0" w:space="0" w:color="auto"/>
        <w:left w:val="none" w:sz="0" w:space="0" w:color="auto"/>
        <w:bottom w:val="none" w:sz="0" w:space="0" w:color="auto"/>
        <w:right w:val="none" w:sz="0" w:space="0" w:color="auto"/>
      </w:divBdr>
    </w:div>
    <w:div w:id="100880897">
      <w:bodyDiv w:val="1"/>
      <w:marLeft w:val="0"/>
      <w:marRight w:val="0"/>
      <w:marTop w:val="0"/>
      <w:marBottom w:val="0"/>
      <w:divBdr>
        <w:top w:val="none" w:sz="0" w:space="0" w:color="auto"/>
        <w:left w:val="none" w:sz="0" w:space="0" w:color="auto"/>
        <w:bottom w:val="none" w:sz="0" w:space="0" w:color="auto"/>
        <w:right w:val="none" w:sz="0" w:space="0" w:color="auto"/>
      </w:divBdr>
    </w:div>
    <w:div w:id="261451234">
      <w:bodyDiv w:val="1"/>
      <w:marLeft w:val="0"/>
      <w:marRight w:val="0"/>
      <w:marTop w:val="0"/>
      <w:marBottom w:val="0"/>
      <w:divBdr>
        <w:top w:val="none" w:sz="0" w:space="0" w:color="auto"/>
        <w:left w:val="none" w:sz="0" w:space="0" w:color="auto"/>
        <w:bottom w:val="none" w:sz="0" w:space="0" w:color="auto"/>
        <w:right w:val="none" w:sz="0" w:space="0" w:color="auto"/>
      </w:divBdr>
    </w:div>
    <w:div w:id="273220112">
      <w:bodyDiv w:val="1"/>
      <w:marLeft w:val="0"/>
      <w:marRight w:val="0"/>
      <w:marTop w:val="0"/>
      <w:marBottom w:val="0"/>
      <w:divBdr>
        <w:top w:val="none" w:sz="0" w:space="0" w:color="auto"/>
        <w:left w:val="none" w:sz="0" w:space="0" w:color="auto"/>
        <w:bottom w:val="none" w:sz="0" w:space="0" w:color="auto"/>
        <w:right w:val="none" w:sz="0" w:space="0" w:color="auto"/>
      </w:divBdr>
    </w:div>
    <w:div w:id="336616563">
      <w:bodyDiv w:val="1"/>
      <w:marLeft w:val="0"/>
      <w:marRight w:val="0"/>
      <w:marTop w:val="0"/>
      <w:marBottom w:val="0"/>
      <w:divBdr>
        <w:top w:val="none" w:sz="0" w:space="0" w:color="auto"/>
        <w:left w:val="none" w:sz="0" w:space="0" w:color="auto"/>
        <w:bottom w:val="none" w:sz="0" w:space="0" w:color="auto"/>
        <w:right w:val="none" w:sz="0" w:space="0" w:color="auto"/>
      </w:divBdr>
    </w:div>
    <w:div w:id="375278402">
      <w:bodyDiv w:val="1"/>
      <w:marLeft w:val="0"/>
      <w:marRight w:val="0"/>
      <w:marTop w:val="0"/>
      <w:marBottom w:val="0"/>
      <w:divBdr>
        <w:top w:val="none" w:sz="0" w:space="0" w:color="auto"/>
        <w:left w:val="none" w:sz="0" w:space="0" w:color="auto"/>
        <w:bottom w:val="none" w:sz="0" w:space="0" w:color="auto"/>
        <w:right w:val="none" w:sz="0" w:space="0" w:color="auto"/>
      </w:divBdr>
    </w:div>
    <w:div w:id="376587872">
      <w:bodyDiv w:val="1"/>
      <w:marLeft w:val="0"/>
      <w:marRight w:val="0"/>
      <w:marTop w:val="0"/>
      <w:marBottom w:val="0"/>
      <w:divBdr>
        <w:top w:val="none" w:sz="0" w:space="0" w:color="auto"/>
        <w:left w:val="none" w:sz="0" w:space="0" w:color="auto"/>
        <w:bottom w:val="none" w:sz="0" w:space="0" w:color="auto"/>
        <w:right w:val="none" w:sz="0" w:space="0" w:color="auto"/>
      </w:divBdr>
    </w:div>
    <w:div w:id="411388964">
      <w:bodyDiv w:val="1"/>
      <w:marLeft w:val="0"/>
      <w:marRight w:val="0"/>
      <w:marTop w:val="0"/>
      <w:marBottom w:val="0"/>
      <w:divBdr>
        <w:top w:val="none" w:sz="0" w:space="0" w:color="auto"/>
        <w:left w:val="none" w:sz="0" w:space="0" w:color="auto"/>
        <w:bottom w:val="none" w:sz="0" w:space="0" w:color="auto"/>
        <w:right w:val="none" w:sz="0" w:space="0" w:color="auto"/>
      </w:divBdr>
    </w:div>
    <w:div w:id="447354524">
      <w:bodyDiv w:val="1"/>
      <w:marLeft w:val="0"/>
      <w:marRight w:val="0"/>
      <w:marTop w:val="0"/>
      <w:marBottom w:val="0"/>
      <w:divBdr>
        <w:top w:val="none" w:sz="0" w:space="0" w:color="auto"/>
        <w:left w:val="none" w:sz="0" w:space="0" w:color="auto"/>
        <w:bottom w:val="none" w:sz="0" w:space="0" w:color="auto"/>
        <w:right w:val="none" w:sz="0" w:space="0" w:color="auto"/>
      </w:divBdr>
    </w:div>
    <w:div w:id="474490466">
      <w:bodyDiv w:val="1"/>
      <w:marLeft w:val="0"/>
      <w:marRight w:val="0"/>
      <w:marTop w:val="0"/>
      <w:marBottom w:val="0"/>
      <w:divBdr>
        <w:top w:val="none" w:sz="0" w:space="0" w:color="auto"/>
        <w:left w:val="none" w:sz="0" w:space="0" w:color="auto"/>
        <w:bottom w:val="none" w:sz="0" w:space="0" w:color="auto"/>
        <w:right w:val="none" w:sz="0" w:space="0" w:color="auto"/>
      </w:divBdr>
    </w:div>
    <w:div w:id="494879463">
      <w:bodyDiv w:val="1"/>
      <w:marLeft w:val="0"/>
      <w:marRight w:val="0"/>
      <w:marTop w:val="0"/>
      <w:marBottom w:val="0"/>
      <w:divBdr>
        <w:top w:val="none" w:sz="0" w:space="0" w:color="auto"/>
        <w:left w:val="none" w:sz="0" w:space="0" w:color="auto"/>
        <w:bottom w:val="none" w:sz="0" w:space="0" w:color="auto"/>
        <w:right w:val="none" w:sz="0" w:space="0" w:color="auto"/>
      </w:divBdr>
    </w:div>
    <w:div w:id="531845219">
      <w:bodyDiv w:val="1"/>
      <w:marLeft w:val="0"/>
      <w:marRight w:val="0"/>
      <w:marTop w:val="0"/>
      <w:marBottom w:val="0"/>
      <w:divBdr>
        <w:top w:val="none" w:sz="0" w:space="0" w:color="auto"/>
        <w:left w:val="none" w:sz="0" w:space="0" w:color="auto"/>
        <w:bottom w:val="none" w:sz="0" w:space="0" w:color="auto"/>
        <w:right w:val="none" w:sz="0" w:space="0" w:color="auto"/>
      </w:divBdr>
    </w:div>
    <w:div w:id="535239766">
      <w:bodyDiv w:val="1"/>
      <w:marLeft w:val="0"/>
      <w:marRight w:val="0"/>
      <w:marTop w:val="0"/>
      <w:marBottom w:val="0"/>
      <w:divBdr>
        <w:top w:val="none" w:sz="0" w:space="0" w:color="auto"/>
        <w:left w:val="none" w:sz="0" w:space="0" w:color="auto"/>
        <w:bottom w:val="none" w:sz="0" w:space="0" w:color="auto"/>
        <w:right w:val="none" w:sz="0" w:space="0" w:color="auto"/>
      </w:divBdr>
    </w:div>
    <w:div w:id="543830316">
      <w:bodyDiv w:val="1"/>
      <w:marLeft w:val="0"/>
      <w:marRight w:val="0"/>
      <w:marTop w:val="0"/>
      <w:marBottom w:val="0"/>
      <w:divBdr>
        <w:top w:val="none" w:sz="0" w:space="0" w:color="auto"/>
        <w:left w:val="none" w:sz="0" w:space="0" w:color="auto"/>
        <w:bottom w:val="none" w:sz="0" w:space="0" w:color="auto"/>
        <w:right w:val="none" w:sz="0" w:space="0" w:color="auto"/>
      </w:divBdr>
    </w:div>
    <w:div w:id="563181366">
      <w:bodyDiv w:val="1"/>
      <w:marLeft w:val="0"/>
      <w:marRight w:val="0"/>
      <w:marTop w:val="0"/>
      <w:marBottom w:val="0"/>
      <w:divBdr>
        <w:top w:val="none" w:sz="0" w:space="0" w:color="auto"/>
        <w:left w:val="none" w:sz="0" w:space="0" w:color="auto"/>
        <w:bottom w:val="none" w:sz="0" w:space="0" w:color="auto"/>
        <w:right w:val="none" w:sz="0" w:space="0" w:color="auto"/>
      </w:divBdr>
    </w:div>
    <w:div w:id="564727499">
      <w:bodyDiv w:val="1"/>
      <w:marLeft w:val="0"/>
      <w:marRight w:val="0"/>
      <w:marTop w:val="0"/>
      <w:marBottom w:val="0"/>
      <w:divBdr>
        <w:top w:val="none" w:sz="0" w:space="0" w:color="auto"/>
        <w:left w:val="none" w:sz="0" w:space="0" w:color="auto"/>
        <w:bottom w:val="none" w:sz="0" w:space="0" w:color="auto"/>
        <w:right w:val="none" w:sz="0" w:space="0" w:color="auto"/>
      </w:divBdr>
      <w:divsChild>
        <w:div w:id="1656640946">
          <w:marLeft w:val="640"/>
          <w:marRight w:val="0"/>
          <w:marTop w:val="0"/>
          <w:marBottom w:val="0"/>
          <w:divBdr>
            <w:top w:val="none" w:sz="0" w:space="0" w:color="auto"/>
            <w:left w:val="none" w:sz="0" w:space="0" w:color="auto"/>
            <w:bottom w:val="none" w:sz="0" w:space="0" w:color="auto"/>
            <w:right w:val="none" w:sz="0" w:space="0" w:color="auto"/>
          </w:divBdr>
        </w:div>
        <w:div w:id="1938639549">
          <w:marLeft w:val="640"/>
          <w:marRight w:val="0"/>
          <w:marTop w:val="0"/>
          <w:marBottom w:val="0"/>
          <w:divBdr>
            <w:top w:val="none" w:sz="0" w:space="0" w:color="auto"/>
            <w:left w:val="none" w:sz="0" w:space="0" w:color="auto"/>
            <w:bottom w:val="none" w:sz="0" w:space="0" w:color="auto"/>
            <w:right w:val="none" w:sz="0" w:space="0" w:color="auto"/>
          </w:divBdr>
        </w:div>
        <w:div w:id="66460098">
          <w:marLeft w:val="640"/>
          <w:marRight w:val="0"/>
          <w:marTop w:val="0"/>
          <w:marBottom w:val="0"/>
          <w:divBdr>
            <w:top w:val="none" w:sz="0" w:space="0" w:color="auto"/>
            <w:left w:val="none" w:sz="0" w:space="0" w:color="auto"/>
            <w:bottom w:val="none" w:sz="0" w:space="0" w:color="auto"/>
            <w:right w:val="none" w:sz="0" w:space="0" w:color="auto"/>
          </w:divBdr>
        </w:div>
        <w:div w:id="2139882295">
          <w:marLeft w:val="640"/>
          <w:marRight w:val="0"/>
          <w:marTop w:val="0"/>
          <w:marBottom w:val="0"/>
          <w:divBdr>
            <w:top w:val="none" w:sz="0" w:space="0" w:color="auto"/>
            <w:left w:val="none" w:sz="0" w:space="0" w:color="auto"/>
            <w:bottom w:val="none" w:sz="0" w:space="0" w:color="auto"/>
            <w:right w:val="none" w:sz="0" w:space="0" w:color="auto"/>
          </w:divBdr>
        </w:div>
        <w:div w:id="1633753502">
          <w:marLeft w:val="640"/>
          <w:marRight w:val="0"/>
          <w:marTop w:val="0"/>
          <w:marBottom w:val="0"/>
          <w:divBdr>
            <w:top w:val="none" w:sz="0" w:space="0" w:color="auto"/>
            <w:left w:val="none" w:sz="0" w:space="0" w:color="auto"/>
            <w:bottom w:val="none" w:sz="0" w:space="0" w:color="auto"/>
            <w:right w:val="none" w:sz="0" w:space="0" w:color="auto"/>
          </w:divBdr>
        </w:div>
        <w:div w:id="341519693">
          <w:marLeft w:val="640"/>
          <w:marRight w:val="0"/>
          <w:marTop w:val="0"/>
          <w:marBottom w:val="0"/>
          <w:divBdr>
            <w:top w:val="none" w:sz="0" w:space="0" w:color="auto"/>
            <w:left w:val="none" w:sz="0" w:space="0" w:color="auto"/>
            <w:bottom w:val="none" w:sz="0" w:space="0" w:color="auto"/>
            <w:right w:val="none" w:sz="0" w:space="0" w:color="auto"/>
          </w:divBdr>
        </w:div>
        <w:div w:id="2102867296">
          <w:marLeft w:val="640"/>
          <w:marRight w:val="0"/>
          <w:marTop w:val="0"/>
          <w:marBottom w:val="0"/>
          <w:divBdr>
            <w:top w:val="none" w:sz="0" w:space="0" w:color="auto"/>
            <w:left w:val="none" w:sz="0" w:space="0" w:color="auto"/>
            <w:bottom w:val="none" w:sz="0" w:space="0" w:color="auto"/>
            <w:right w:val="none" w:sz="0" w:space="0" w:color="auto"/>
          </w:divBdr>
        </w:div>
        <w:div w:id="1294755598">
          <w:marLeft w:val="640"/>
          <w:marRight w:val="0"/>
          <w:marTop w:val="0"/>
          <w:marBottom w:val="0"/>
          <w:divBdr>
            <w:top w:val="none" w:sz="0" w:space="0" w:color="auto"/>
            <w:left w:val="none" w:sz="0" w:space="0" w:color="auto"/>
            <w:bottom w:val="none" w:sz="0" w:space="0" w:color="auto"/>
            <w:right w:val="none" w:sz="0" w:space="0" w:color="auto"/>
          </w:divBdr>
        </w:div>
        <w:div w:id="1064260744">
          <w:marLeft w:val="640"/>
          <w:marRight w:val="0"/>
          <w:marTop w:val="0"/>
          <w:marBottom w:val="0"/>
          <w:divBdr>
            <w:top w:val="none" w:sz="0" w:space="0" w:color="auto"/>
            <w:left w:val="none" w:sz="0" w:space="0" w:color="auto"/>
            <w:bottom w:val="none" w:sz="0" w:space="0" w:color="auto"/>
            <w:right w:val="none" w:sz="0" w:space="0" w:color="auto"/>
          </w:divBdr>
        </w:div>
        <w:div w:id="1090810151">
          <w:marLeft w:val="640"/>
          <w:marRight w:val="0"/>
          <w:marTop w:val="0"/>
          <w:marBottom w:val="0"/>
          <w:divBdr>
            <w:top w:val="none" w:sz="0" w:space="0" w:color="auto"/>
            <w:left w:val="none" w:sz="0" w:space="0" w:color="auto"/>
            <w:bottom w:val="none" w:sz="0" w:space="0" w:color="auto"/>
            <w:right w:val="none" w:sz="0" w:space="0" w:color="auto"/>
          </w:divBdr>
        </w:div>
        <w:div w:id="911358111">
          <w:marLeft w:val="640"/>
          <w:marRight w:val="0"/>
          <w:marTop w:val="0"/>
          <w:marBottom w:val="0"/>
          <w:divBdr>
            <w:top w:val="none" w:sz="0" w:space="0" w:color="auto"/>
            <w:left w:val="none" w:sz="0" w:space="0" w:color="auto"/>
            <w:bottom w:val="none" w:sz="0" w:space="0" w:color="auto"/>
            <w:right w:val="none" w:sz="0" w:space="0" w:color="auto"/>
          </w:divBdr>
        </w:div>
        <w:div w:id="771585845">
          <w:marLeft w:val="640"/>
          <w:marRight w:val="0"/>
          <w:marTop w:val="0"/>
          <w:marBottom w:val="0"/>
          <w:divBdr>
            <w:top w:val="none" w:sz="0" w:space="0" w:color="auto"/>
            <w:left w:val="none" w:sz="0" w:space="0" w:color="auto"/>
            <w:bottom w:val="none" w:sz="0" w:space="0" w:color="auto"/>
            <w:right w:val="none" w:sz="0" w:space="0" w:color="auto"/>
          </w:divBdr>
        </w:div>
        <w:div w:id="1212495179">
          <w:marLeft w:val="640"/>
          <w:marRight w:val="0"/>
          <w:marTop w:val="0"/>
          <w:marBottom w:val="0"/>
          <w:divBdr>
            <w:top w:val="none" w:sz="0" w:space="0" w:color="auto"/>
            <w:left w:val="none" w:sz="0" w:space="0" w:color="auto"/>
            <w:bottom w:val="none" w:sz="0" w:space="0" w:color="auto"/>
            <w:right w:val="none" w:sz="0" w:space="0" w:color="auto"/>
          </w:divBdr>
        </w:div>
        <w:div w:id="2063363496">
          <w:marLeft w:val="640"/>
          <w:marRight w:val="0"/>
          <w:marTop w:val="0"/>
          <w:marBottom w:val="0"/>
          <w:divBdr>
            <w:top w:val="none" w:sz="0" w:space="0" w:color="auto"/>
            <w:left w:val="none" w:sz="0" w:space="0" w:color="auto"/>
            <w:bottom w:val="none" w:sz="0" w:space="0" w:color="auto"/>
            <w:right w:val="none" w:sz="0" w:space="0" w:color="auto"/>
          </w:divBdr>
        </w:div>
        <w:div w:id="1554075189">
          <w:marLeft w:val="640"/>
          <w:marRight w:val="0"/>
          <w:marTop w:val="0"/>
          <w:marBottom w:val="0"/>
          <w:divBdr>
            <w:top w:val="none" w:sz="0" w:space="0" w:color="auto"/>
            <w:left w:val="none" w:sz="0" w:space="0" w:color="auto"/>
            <w:bottom w:val="none" w:sz="0" w:space="0" w:color="auto"/>
            <w:right w:val="none" w:sz="0" w:space="0" w:color="auto"/>
          </w:divBdr>
        </w:div>
        <w:div w:id="1941595713">
          <w:marLeft w:val="640"/>
          <w:marRight w:val="0"/>
          <w:marTop w:val="0"/>
          <w:marBottom w:val="0"/>
          <w:divBdr>
            <w:top w:val="none" w:sz="0" w:space="0" w:color="auto"/>
            <w:left w:val="none" w:sz="0" w:space="0" w:color="auto"/>
            <w:bottom w:val="none" w:sz="0" w:space="0" w:color="auto"/>
            <w:right w:val="none" w:sz="0" w:space="0" w:color="auto"/>
          </w:divBdr>
        </w:div>
        <w:div w:id="1068111351">
          <w:marLeft w:val="640"/>
          <w:marRight w:val="0"/>
          <w:marTop w:val="0"/>
          <w:marBottom w:val="0"/>
          <w:divBdr>
            <w:top w:val="none" w:sz="0" w:space="0" w:color="auto"/>
            <w:left w:val="none" w:sz="0" w:space="0" w:color="auto"/>
            <w:bottom w:val="none" w:sz="0" w:space="0" w:color="auto"/>
            <w:right w:val="none" w:sz="0" w:space="0" w:color="auto"/>
          </w:divBdr>
        </w:div>
        <w:div w:id="383912238">
          <w:marLeft w:val="640"/>
          <w:marRight w:val="0"/>
          <w:marTop w:val="0"/>
          <w:marBottom w:val="0"/>
          <w:divBdr>
            <w:top w:val="none" w:sz="0" w:space="0" w:color="auto"/>
            <w:left w:val="none" w:sz="0" w:space="0" w:color="auto"/>
            <w:bottom w:val="none" w:sz="0" w:space="0" w:color="auto"/>
            <w:right w:val="none" w:sz="0" w:space="0" w:color="auto"/>
          </w:divBdr>
        </w:div>
        <w:div w:id="5642672">
          <w:marLeft w:val="640"/>
          <w:marRight w:val="0"/>
          <w:marTop w:val="0"/>
          <w:marBottom w:val="0"/>
          <w:divBdr>
            <w:top w:val="none" w:sz="0" w:space="0" w:color="auto"/>
            <w:left w:val="none" w:sz="0" w:space="0" w:color="auto"/>
            <w:bottom w:val="none" w:sz="0" w:space="0" w:color="auto"/>
            <w:right w:val="none" w:sz="0" w:space="0" w:color="auto"/>
          </w:divBdr>
        </w:div>
        <w:div w:id="911738657">
          <w:marLeft w:val="640"/>
          <w:marRight w:val="0"/>
          <w:marTop w:val="0"/>
          <w:marBottom w:val="0"/>
          <w:divBdr>
            <w:top w:val="none" w:sz="0" w:space="0" w:color="auto"/>
            <w:left w:val="none" w:sz="0" w:space="0" w:color="auto"/>
            <w:bottom w:val="none" w:sz="0" w:space="0" w:color="auto"/>
            <w:right w:val="none" w:sz="0" w:space="0" w:color="auto"/>
          </w:divBdr>
        </w:div>
        <w:div w:id="1114177706">
          <w:marLeft w:val="640"/>
          <w:marRight w:val="0"/>
          <w:marTop w:val="0"/>
          <w:marBottom w:val="0"/>
          <w:divBdr>
            <w:top w:val="none" w:sz="0" w:space="0" w:color="auto"/>
            <w:left w:val="none" w:sz="0" w:space="0" w:color="auto"/>
            <w:bottom w:val="none" w:sz="0" w:space="0" w:color="auto"/>
            <w:right w:val="none" w:sz="0" w:space="0" w:color="auto"/>
          </w:divBdr>
        </w:div>
        <w:div w:id="1184441494">
          <w:marLeft w:val="640"/>
          <w:marRight w:val="0"/>
          <w:marTop w:val="0"/>
          <w:marBottom w:val="0"/>
          <w:divBdr>
            <w:top w:val="none" w:sz="0" w:space="0" w:color="auto"/>
            <w:left w:val="none" w:sz="0" w:space="0" w:color="auto"/>
            <w:bottom w:val="none" w:sz="0" w:space="0" w:color="auto"/>
            <w:right w:val="none" w:sz="0" w:space="0" w:color="auto"/>
          </w:divBdr>
        </w:div>
        <w:div w:id="1847936629">
          <w:marLeft w:val="640"/>
          <w:marRight w:val="0"/>
          <w:marTop w:val="0"/>
          <w:marBottom w:val="0"/>
          <w:divBdr>
            <w:top w:val="none" w:sz="0" w:space="0" w:color="auto"/>
            <w:left w:val="none" w:sz="0" w:space="0" w:color="auto"/>
            <w:bottom w:val="none" w:sz="0" w:space="0" w:color="auto"/>
            <w:right w:val="none" w:sz="0" w:space="0" w:color="auto"/>
          </w:divBdr>
        </w:div>
        <w:div w:id="1087338120">
          <w:marLeft w:val="640"/>
          <w:marRight w:val="0"/>
          <w:marTop w:val="0"/>
          <w:marBottom w:val="0"/>
          <w:divBdr>
            <w:top w:val="none" w:sz="0" w:space="0" w:color="auto"/>
            <w:left w:val="none" w:sz="0" w:space="0" w:color="auto"/>
            <w:bottom w:val="none" w:sz="0" w:space="0" w:color="auto"/>
            <w:right w:val="none" w:sz="0" w:space="0" w:color="auto"/>
          </w:divBdr>
        </w:div>
        <w:div w:id="772700327">
          <w:marLeft w:val="640"/>
          <w:marRight w:val="0"/>
          <w:marTop w:val="0"/>
          <w:marBottom w:val="0"/>
          <w:divBdr>
            <w:top w:val="none" w:sz="0" w:space="0" w:color="auto"/>
            <w:left w:val="none" w:sz="0" w:space="0" w:color="auto"/>
            <w:bottom w:val="none" w:sz="0" w:space="0" w:color="auto"/>
            <w:right w:val="none" w:sz="0" w:space="0" w:color="auto"/>
          </w:divBdr>
        </w:div>
        <w:div w:id="348652071">
          <w:marLeft w:val="640"/>
          <w:marRight w:val="0"/>
          <w:marTop w:val="0"/>
          <w:marBottom w:val="0"/>
          <w:divBdr>
            <w:top w:val="none" w:sz="0" w:space="0" w:color="auto"/>
            <w:left w:val="none" w:sz="0" w:space="0" w:color="auto"/>
            <w:bottom w:val="none" w:sz="0" w:space="0" w:color="auto"/>
            <w:right w:val="none" w:sz="0" w:space="0" w:color="auto"/>
          </w:divBdr>
        </w:div>
      </w:divsChild>
    </w:div>
    <w:div w:id="570844813">
      <w:bodyDiv w:val="1"/>
      <w:marLeft w:val="0"/>
      <w:marRight w:val="0"/>
      <w:marTop w:val="0"/>
      <w:marBottom w:val="0"/>
      <w:divBdr>
        <w:top w:val="none" w:sz="0" w:space="0" w:color="auto"/>
        <w:left w:val="none" w:sz="0" w:space="0" w:color="auto"/>
        <w:bottom w:val="none" w:sz="0" w:space="0" w:color="auto"/>
        <w:right w:val="none" w:sz="0" w:space="0" w:color="auto"/>
      </w:divBdr>
    </w:div>
    <w:div w:id="604923457">
      <w:bodyDiv w:val="1"/>
      <w:marLeft w:val="0"/>
      <w:marRight w:val="0"/>
      <w:marTop w:val="0"/>
      <w:marBottom w:val="0"/>
      <w:divBdr>
        <w:top w:val="none" w:sz="0" w:space="0" w:color="auto"/>
        <w:left w:val="none" w:sz="0" w:space="0" w:color="auto"/>
        <w:bottom w:val="none" w:sz="0" w:space="0" w:color="auto"/>
        <w:right w:val="none" w:sz="0" w:space="0" w:color="auto"/>
      </w:divBdr>
    </w:div>
    <w:div w:id="605311024">
      <w:bodyDiv w:val="1"/>
      <w:marLeft w:val="0"/>
      <w:marRight w:val="0"/>
      <w:marTop w:val="0"/>
      <w:marBottom w:val="0"/>
      <w:divBdr>
        <w:top w:val="none" w:sz="0" w:space="0" w:color="auto"/>
        <w:left w:val="none" w:sz="0" w:space="0" w:color="auto"/>
        <w:bottom w:val="none" w:sz="0" w:space="0" w:color="auto"/>
        <w:right w:val="none" w:sz="0" w:space="0" w:color="auto"/>
      </w:divBdr>
    </w:div>
    <w:div w:id="619335017">
      <w:bodyDiv w:val="1"/>
      <w:marLeft w:val="0"/>
      <w:marRight w:val="0"/>
      <w:marTop w:val="0"/>
      <w:marBottom w:val="0"/>
      <w:divBdr>
        <w:top w:val="none" w:sz="0" w:space="0" w:color="auto"/>
        <w:left w:val="none" w:sz="0" w:space="0" w:color="auto"/>
        <w:bottom w:val="none" w:sz="0" w:space="0" w:color="auto"/>
        <w:right w:val="none" w:sz="0" w:space="0" w:color="auto"/>
      </w:divBdr>
    </w:div>
    <w:div w:id="633173185">
      <w:bodyDiv w:val="1"/>
      <w:marLeft w:val="0"/>
      <w:marRight w:val="0"/>
      <w:marTop w:val="0"/>
      <w:marBottom w:val="0"/>
      <w:divBdr>
        <w:top w:val="none" w:sz="0" w:space="0" w:color="auto"/>
        <w:left w:val="none" w:sz="0" w:space="0" w:color="auto"/>
        <w:bottom w:val="none" w:sz="0" w:space="0" w:color="auto"/>
        <w:right w:val="none" w:sz="0" w:space="0" w:color="auto"/>
      </w:divBdr>
    </w:div>
    <w:div w:id="635256968">
      <w:bodyDiv w:val="1"/>
      <w:marLeft w:val="0"/>
      <w:marRight w:val="0"/>
      <w:marTop w:val="0"/>
      <w:marBottom w:val="0"/>
      <w:divBdr>
        <w:top w:val="none" w:sz="0" w:space="0" w:color="auto"/>
        <w:left w:val="none" w:sz="0" w:space="0" w:color="auto"/>
        <w:bottom w:val="none" w:sz="0" w:space="0" w:color="auto"/>
        <w:right w:val="none" w:sz="0" w:space="0" w:color="auto"/>
      </w:divBdr>
    </w:div>
    <w:div w:id="643779609">
      <w:bodyDiv w:val="1"/>
      <w:marLeft w:val="0"/>
      <w:marRight w:val="0"/>
      <w:marTop w:val="0"/>
      <w:marBottom w:val="0"/>
      <w:divBdr>
        <w:top w:val="none" w:sz="0" w:space="0" w:color="auto"/>
        <w:left w:val="none" w:sz="0" w:space="0" w:color="auto"/>
        <w:bottom w:val="none" w:sz="0" w:space="0" w:color="auto"/>
        <w:right w:val="none" w:sz="0" w:space="0" w:color="auto"/>
      </w:divBdr>
    </w:div>
    <w:div w:id="653872842">
      <w:bodyDiv w:val="1"/>
      <w:marLeft w:val="0"/>
      <w:marRight w:val="0"/>
      <w:marTop w:val="0"/>
      <w:marBottom w:val="0"/>
      <w:divBdr>
        <w:top w:val="none" w:sz="0" w:space="0" w:color="auto"/>
        <w:left w:val="none" w:sz="0" w:space="0" w:color="auto"/>
        <w:bottom w:val="none" w:sz="0" w:space="0" w:color="auto"/>
        <w:right w:val="none" w:sz="0" w:space="0" w:color="auto"/>
      </w:divBdr>
    </w:div>
    <w:div w:id="693192047">
      <w:bodyDiv w:val="1"/>
      <w:marLeft w:val="0"/>
      <w:marRight w:val="0"/>
      <w:marTop w:val="0"/>
      <w:marBottom w:val="0"/>
      <w:divBdr>
        <w:top w:val="none" w:sz="0" w:space="0" w:color="auto"/>
        <w:left w:val="none" w:sz="0" w:space="0" w:color="auto"/>
        <w:bottom w:val="none" w:sz="0" w:space="0" w:color="auto"/>
        <w:right w:val="none" w:sz="0" w:space="0" w:color="auto"/>
      </w:divBdr>
    </w:div>
    <w:div w:id="729309593">
      <w:bodyDiv w:val="1"/>
      <w:marLeft w:val="0"/>
      <w:marRight w:val="0"/>
      <w:marTop w:val="0"/>
      <w:marBottom w:val="0"/>
      <w:divBdr>
        <w:top w:val="none" w:sz="0" w:space="0" w:color="auto"/>
        <w:left w:val="none" w:sz="0" w:space="0" w:color="auto"/>
        <w:bottom w:val="none" w:sz="0" w:space="0" w:color="auto"/>
        <w:right w:val="none" w:sz="0" w:space="0" w:color="auto"/>
      </w:divBdr>
    </w:div>
    <w:div w:id="754285721">
      <w:bodyDiv w:val="1"/>
      <w:marLeft w:val="0"/>
      <w:marRight w:val="0"/>
      <w:marTop w:val="0"/>
      <w:marBottom w:val="0"/>
      <w:divBdr>
        <w:top w:val="none" w:sz="0" w:space="0" w:color="auto"/>
        <w:left w:val="none" w:sz="0" w:space="0" w:color="auto"/>
        <w:bottom w:val="none" w:sz="0" w:space="0" w:color="auto"/>
        <w:right w:val="none" w:sz="0" w:space="0" w:color="auto"/>
      </w:divBdr>
    </w:div>
    <w:div w:id="764881913">
      <w:bodyDiv w:val="1"/>
      <w:marLeft w:val="0"/>
      <w:marRight w:val="0"/>
      <w:marTop w:val="0"/>
      <w:marBottom w:val="0"/>
      <w:divBdr>
        <w:top w:val="none" w:sz="0" w:space="0" w:color="auto"/>
        <w:left w:val="none" w:sz="0" w:space="0" w:color="auto"/>
        <w:bottom w:val="none" w:sz="0" w:space="0" w:color="auto"/>
        <w:right w:val="none" w:sz="0" w:space="0" w:color="auto"/>
      </w:divBdr>
    </w:div>
    <w:div w:id="891188709">
      <w:bodyDiv w:val="1"/>
      <w:marLeft w:val="0"/>
      <w:marRight w:val="0"/>
      <w:marTop w:val="0"/>
      <w:marBottom w:val="0"/>
      <w:divBdr>
        <w:top w:val="none" w:sz="0" w:space="0" w:color="auto"/>
        <w:left w:val="none" w:sz="0" w:space="0" w:color="auto"/>
        <w:bottom w:val="none" w:sz="0" w:space="0" w:color="auto"/>
        <w:right w:val="none" w:sz="0" w:space="0" w:color="auto"/>
      </w:divBdr>
    </w:div>
    <w:div w:id="922907788">
      <w:bodyDiv w:val="1"/>
      <w:marLeft w:val="0"/>
      <w:marRight w:val="0"/>
      <w:marTop w:val="0"/>
      <w:marBottom w:val="0"/>
      <w:divBdr>
        <w:top w:val="none" w:sz="0" w:space="0" w:color="auto"/>
        <w:left w:val="none" w:sz="0" w:space="0" w:color="auto"/>
        <w:bottom w:val="none" w:sz="0" w:space="0" w:color="auto"/>
        <w:right w:val="none" w:sz="0" w:space="0" w:color="auto"/>
      </w:divBdr>
    </w:div>
    <w:div w:id="926305916">
      <w:bodyDiv w:val="1"/>
      <w:marLeft w:val="0"/>
      <w:marRight w:val="0"/>
      <w:marTop w:val="0"/>
      <w:marBottom w:val="0"/>
      <w:divBdr>
        <w:top w:val="none" w:sz="0" w:space="0" w:color="auto"/>
        <w:left w:val="none" w:sz="0" w:space="0" w:color="auto"/>
        <w:bottom w:val="none" w:sz="0" w:space="0" w:color="auto"/>
        <w:right w:val="none" w:sz="0" w:space="0" w:color="auto"/>
      </w:divBdr>
    </w:div>
    <w:div w:id="973758506">
      <w:bodyDiv w:val="1"/>
      <w:marLeft w:val="0"/>
      <w:marRight w:val="0"/>
      <w:marTop w:val="0"/>
      <w:marBottom w:val="0"/>
      <w:divBdr>
        <w:top w:val="none" w:sz="0" w:space="0" w:color="auto"/>
        <w:left w:val="none" w:sz="0" w:space="0" w:color="auto"/>
        <w:bottom w:val="none" w:sz="0" w:space="0" w:color="auto"/>
        <w:right w:val="none" w:sz="0" w:space="0" w:color="auto"/>
      </w:divBdr>
    </w:div>
    <w:div w:id="1008483431">
      <w:bodyDiv w:val="1"/>
      <w:marLeft w:val="0"/>
      <w:marRight w:val="0"/>
      <w:marTop w:val="0"/>
      <w:marBottom w:val="0"/>
      <w:divBdr>
        <w:top w:val="none" w:sz="0" w:space="0" w:color="auto"/>
        <w:left w:val="none" w:sz="0" w:space="0" w:color="auto"/>
        <w:bottom w:val="none" w:sz="0" w:space="0" w:color="auto"/>
        <w:right w:val="none" w:sz="0" w:space="0" w:color="auto"/>
      </w:divBdr>
    </w:div>
    <w:div w:id="1016267645">
      <w:bodyDiv w:val="1"/>
      <w:marLeft w:val="0"/>
      <w:marRight w:val="0"/>
      <w:marTop w:val="0"/>
      <w:marBottom w:val="0"/>
      <w:divBdr>
        <w:top w:val="none" w:sz="0" w:space="0" w:color="auto"/>
        <w:left w:val="none" w:sz="0" w:space="0" w:color="auto"/>
        <w:bottom w:val="none" w:sz="0" w:space="0" w:color="auto"/>
        <w:right w:val="none" w:sz="0" w:space="0" w:color="auto"/>
      </w:divBdr>
    </w:div>
    <w:div w:id="1048800520">
      <w:bodyDiv w:val="1"/>
      <w:marLeft w:val="0"/>
      <w:marRight w:val="0"/>
      <w:marTop w:val="0"/>
      <w:marBottom w:val="0"/>
      <w:divBdr>
        <w:top w:val="none" w:sz="0" w:space="0" w:color="auto"/>
        <w:left w:val="none" w:sz="0" w:space="0" w:color="auto"/>
        <w:bottom w:val="none" w:sz="0" w:space="0" w:color="auto"/>
        <w:right w:val="none" w:sz="0" w:space="0" w:color="auto"/>
      </w:divBdr>
    </w:div>
    <w:div w:id="1076321293">
      <w:bodyDiv w:val="1"/>
      <w:marLeft w:val="0"/>
      <w:marRight w:val="0"/>
      <w:marTop w:val="0"/>
      <w:marBottom w:val="0"/>
      <w:divBdr>
        <w:top w:val="none" w:sz="0" w:space="0" w:color="auto"/>
        <w:left w:val="none" w:sz="0" w:space="0" w:color="auto"/>
        <w:bottom w:val="none" w:sz="0" w:space="0" w:color="auto"/>
        <w:right w:val="none" w:sz="0" w:space="0" w:color="auto"/>
      </w:divBdr>
    </w:div>
    <w:div w:id="1143427644">
      <w:bodyDiv w:val="1"/>
      <w:marLeft w:val="0"/>
      <w:marRight w:val="0"/>
      <w:marTop w:val="0"/>
      <w:marBottom w:val="0"/>
      <w:divBdr>
        <w:top w:val="none" w:sz="0" w:space="0" w:color="auto"/>
        <w:left w:val="none" w:sz="0" w:space="0" w:color="auto"/>
        <w:bottom w:val="none" w:sz="0" w:space="0" w:color="auto"/>
        <w:right w:val="none" w:sz="0" w:space="0" w:color="auto"/>
      </w:divBdr>
    </w:div>
    <w:div w:id="1163662321">
      <w:bodyDiv w:val="1"/>
      <w:marLeft w:val="0"/>
      <w:marRight w:val="0"/>
      <w:marTop w:val="0"/>
      <w:marBottom w:val="0"/>
      <w:divBdr>
        <w:top w:val="none" w:sz="0" w:space="0" w:color="auto"/>
        <w:left w:val="none" w:sz="0" w:space="0" w:color="auto"/>
        <w:bottom w:val="none" w:sz="0" w:space="0" w:color="auto"/>
        <w:right w:val="none" w:sz="0" w:space="0" w:color="auto"/>
      </w:divBdr>
    </w:div>
    <w:div w:id="1203519504">
      <w:bodyDiv w:val="1"/>
      <w:marLeft w:val="0"/>
      <w:marRight w:val="0"/>
      <w:marTop w:val="0"/>
      <w:marBottom w:val="0"/>
      <w:divBdr>
        <w:top w:val="none" w:sz="0" w:space="0" w:color="auto"/>
        <w:left w:val="none" w:sz="0" w:space="0" w:color="auto"/>
        <w:bottom w:val="none" w:sz="0" w:space="0" w:color="auto"/>
        <w:right w:val="none" w:sz="0" w:space="0" w:color="auto"/>
      </w:divBdr>
    </w:div>
    <w:div w:id="1221788629">
      <w:bodyDiv w:val="1"/>
      <w:marLeft w:val="0"/>
      <w:marRight w:val="0"/>
      <w:marTop w:val="0"/>
      <w:marBottom w:val="0"/>
      <w:divBdr>
        <w:top w:val="none" w:sz="0" w:space="0" w:color="auto"/>
        <w:left w:val="none" w:sz="0" w:space="0" w:color="auto"/>
        <w:bottom w:val="none" w:sz="0" w:space="0" w:color="auto"/>
        <w:right w:val="none" w:sz="0" w:space="0" w:color="auto"/>
      </w:divBdr>
    </w:div>
    <w:div w:id="1241022166">
      <w:bodyDiv w:val="1"/>
      <w:marLeft w:val="0"/>
      <w:marRight w:val="0"/>
      <w:marTop w:val="0"/>
      <w:marBottom w:val="0"/>
      <w:divBdr>
        <w:top w:val="none" w:sz="0" w:space="0" w:color="auto"/>
        <w:left w:val="none" w:sz="0" w:space="0" w:color="auto"/>
        <w:bottom w:val="none" w:sz="0" w:space="0" w:color="auto"/>
        <w:right w:val="none" w:sz="0" w:space="0" w:color="auto"/>
      </w:divBdr>
    </w:div>
    <w:div w:id="1426461192">
      <w:bodyDiv w:val="1"/>
      <w:marLeft w:val="0"/>
      <w:marRight w:val="0"/>
      <w:marTop w:val="0"/>
      <w:marBottom w:val="0"/>
      <w:divBdr>
        <w:top w:val="none" w:sz="0" w:space="0" w:color="auto"/>
        <w:left w:val="none" w:sz="0" w:space="0" w:color="auto"/>
        <w:bottom w:val="none" w:sz="0" w:space="0" w:color="auto"/>
        <w:right w:val="none" w:sz="0" w:space="0" w:color="auto"/>
      </w:divBdr>
    </w:div>
    <w:div w:id="1449350938">
      <w:bodyDiv w:val="1"/>
      <w:marLeft w:val="0"/>
      <w:marRight w:val="0"/>
      <w:marTop w:val="0"/>
      <w:marBottom w:val="0"/>
      <w:divBdr>
        <w:top w:val="none" w:sz="0" w:space="0" w:color="auto"/>
        <w:left w:val="none" w:sz="0" w:space="0" w:color="auto"/>
        <w:bottom w:val="none" w:sz="0" w:space="0" w:color="auto"/>
        <w:right w:val="none" w:sz="0" w:space="0" w:color="auto"/>
      </w:divBdr>
    </w:div>
    <w:div w:id="1463692884">
      <w:bodyDiv w:val="1"/>
      <w:marLeft w:val="0"/>
      <w:marRight w:val="0"/>
      <w:marTop w:val="0"/>
      <w:marBottom w:val="0"/>
      <w:divBdr>
        <w:top w:val="none" w:sz="0" w:space="0" w:color="auto"/>
        <w:left w:val="none" w:sz="0" w:space="0" w:color="auto"/>
        <w:bottom w:val="none" w:sz="0" w:space="0" w:color="auto"/>
        <w:right w:val="none" w:sz="0" w:space="0" w:color="auto"/>
      </w:divBdr>
    </w:div>
    <w:div w:id="1472553498">
      <w:bodyDiv w:val="1"/>
      <w:marLeft w:val="0"/>
      <w:marRight w:val="0"/>
      <w:marTop w:val="0"/>
      <w:marBottom w:val="0"/>
      <w:divBdr>
        <w:top w:val="none" w:sz="0" w:space="0" w:color="auto"/>
        <w:left w:val="none" w:sz="0" w:space="0" w:color="auto"/>
        <w:bottom w:val="none" w:sz="0" w:space="0" w:color="auto"/>
        <w:right w:val="none" w:sz="0" w:space="0" w:color="auto"/>
      </w:divBdr>
    </w:div>
    <w:div w:id="1515653452">
      <w:bodyDiv w:val="1"/>
      <w:marLeft w:val="0"/>
      <w:marRight w:val="0"/>
      <w:marTop w:val="0"/>
      <w:marBottom w:val="0"/>
      <w:divBdr>
        <w:top w:val="none" w:sz="0" w:space="0" w:color="auto"/>
        <w:left w:val="none" w:sz="0" w:space="0" w:color="auto"/>
        <w:bottom w:val="none" w:sz="0" w:space="0" w:color="auto"/>
        <w:right w:val="none" w:sz="0" w:space="0" w:color="auto"/>
      </w:divBdr>
    </w:div>
    <w:div w:id="1580600046">
      <w:bodyDiv w:val="1"/>
      <w:marLeft w:val="0"/>
      <w:marRight w:val="0"/>
      <w:marTop w:val="0"/>
      <w:marBottom w:val="0"/>
      <w:divBdr>
        <w:top w:val="none" w:sz="0" w:space="0" w:color="auto"/>
        <w:left w:val="none" w:sz="0" w:space="0" w:color="auto"/>
        <w:bottom w:val="none" w:sz="0" w:space="0" w:color="auto"/>
        <w:right w:val="none" w:sz="0" w:space="0" w:color="auto"/>
      </w:divBdr>
    </w:div>
    <w:div w:id="1593851898">
      <w:bodyDiv w:val="1"/>
      <w:marLeft w:val="0"/>
      <w:marRight w:val="0"/>
      <w:marTop w:val="0"/>
      <w:marBottom w:val="0"/>
      <w:divBdr>
        <w:top w:val="none" w:sz="0" w:space="0" w:color="auto"/>
        <w:left w:val="none" w:sz="0" w:space="0" w:color="auto"/>
        <w:bottom w:val="none" w:sz="0" w:space="0" w:color="auto"/>
        <w:right w:val="none" w:sz="0" w:space="0" w:color="auto"/>
      </w:divBdr>
    </w:div>
    <w:div w:id="1610356545">
      <w:bodyDiv w:val="1"/>
      <w:marLeft w:val="0"/>
      <w:marRight w:val="0"/>
      <w:marTop w:val="0"/>
      <w:marBottom w:val="0"/>
      <w:divBdr>
        <w:top w:val="none" w:sz="0" w:space="0" w:color="auto"/>
        <w:left w:val="none" w:sz="0" w:space="0" w:color="auto"/>
        <w:bottom w:val="none" w:sz="0" w:space="0" w:color="auto"/>
        <w:right w:val="none" w:sz="0" w:space="0" w:color="auto"/>
      </w:divBdr>
    </w:div>
    <w:div w:id="1640380724">
      <w:bodyDiv w:val="1"/>
      <w:marLeft w:val="0"/>
      <w:marRight w:val="0"/>
      <w:marTop w:val="0"/>
      <w:marBottom w:val="0"/>
      <w:divBdr>
        <w:top w:val="none" w:sz="0" w:space="0" w:color="auto"/>
        <w:left w:val="none" w:sz="0" w:space="0" w:color="auto"/>
        <w:bottom w:val="none" w:sz="0" w:space="0" w:color="auto"/>
        <w:right w:val="none" w:sz="0" w:space="0" w:color="auto"/>
      </w:divBdr>
    </w:div>
    <w:div w:id="1689984611">
      <w:bodyDiv w:val="1"/>
      <w:marLeft w:val="0"/>
      <w:marRight w:val="0"/>
      <w:marTop w:val="0"/>
      <w:marBottom w:val="0"/>
      <w:divBdr>
        <w:top w:val="none" w:sz="0" w:space="0" w:color="auto"/>
        <w:left w:val="none" w:sz="0" w:space="0" w:color="auto"/>
        <w:bottom w:val="none" w:sz="0" w:space="0" w:color="auto"/>
        <w:right w:val="none" w:sz="0" w:space="0" w:color="auto"/>
      </w:divBdr>
    </w:div>
    <w:div w:id="1735153646">
      <w:bodyDiv w:val="1"/>
      <w:marLeft w:val="0"/>
      <w:marRight w:val="0"/>
      <w:marTop w:val="0"/>
      <w:marBottom w:val="0"/>
      <w:divBdr>
        <w:top w:val="none" w:sz="0" w:space="0" w:color="auto"/>
        <w:left w:val="none" w:sz="0" w:space="0" w:color="auto"/>
        <w:bottom w:val="none" w:sz="0" w:space="0" w:color="auto"/>
        <w:right w:val="none" w:sz="0" w:space="0" w:color="auto"/>
      </w:divBdr>
    </w:div>
    <w:div w:id="1755279110">
      <w:bodyDiv w:val="1"/>
      <w:marLeft w:val="0"/>
      <w:marRight w:val="0"/>
      <w:marTop w:val="0"/>
      <w:marBottom w:val="0"/>
      <w:divBdr>
        <w:top w:val="none" w:sz="0" w:space="0" w:color="auto"/>
        <w:left w:val="none" w:sz="0" w:space="0" w:color="auto"/>
        <w:bottom w:val="none" w:sz="0" w:space="0" w:color="auto"/>
        <w:right w:val="none" w:sz="0" w:space="0" w:color="auto"/>
      </w:divBdr>
    </w:div>
    <w:div w:id="1795783049">
      <w:bodyDiv w:val="1"/>
      <w:marLeft w:val="0"/>
      <w:marRight w:val="0"/>
      <w:marTop w:val="0"/>
      <w:marBottom w:val="0"/>
      <w:divBdr>
        <w:top w:val="none" w:sz="0" w:space="0" w:color="auto"/>
        <w:left w:val="none" w:sz="0" w:space="0" w:color="auto"/>
        <w:bottom w:val="none" w:sz="0" w:space="0" w:color="auto"/>
        <w:right w:val="none" w:sz="0" w:space="0" w:color="auto"/>
      </w:divBdr>
    </w:div>
    <w:div w:id="1803768382">
      <w:bodyDiv w:val="1"/>
      <w:marLeft w:val="0"/>
      <w:marRight w:val="0"/>
      <w:marTop w:val="0"/>
      <w:marBottom w:val="0"/>
      <w:divBdr>
        <w:top w:val="none" w:sz="0" w:space="0" w:color="auto"/>
        <w:left w:val="none" w:sz="0" w:space="0" w:color="auto"/>
        <w:bottom w:val="none" w:sz="0" w:space="0" w:color="auto"/>
        <w:right w:val="none" w:sz="0" w:space="0" w:color="auto"/>
      </w:divBdr>
    </w:div>
    <w:div w:id="1856000083">
      <w:bodyDiv w:val="1"/>
      <w:marLeft w:val="0"/>
      <w:marRight w:val="0"/>
      <w:marTop w:val="0"/>
      <w:marBottom w:val="0"/>
      <w:divBdr>
        <w:top w:val="none" w:sz="0" w:space="0" w:color="auto"/>
        <w:left w:val="none" w:sz="0" w:space="0" w:color="auto"/>
        <w:bottom w:val="none" w:sz="0" w:space="0" w:color="auto"/>
        <w:right w:val="none" w:sz="0" w:space="0" w:color="auto"/>
      </w:divBdr>
    </w:div>
    <w:div w:id="1931817840">
      <w:bodyDiv w:val="1"/>
      <w:marLeft w:val="0"/>
      <w:marRight w:val="0"/>
      <w:marTop w:val="0"/>
      <w:marBottom w:val="0"/>
      <w:divBdr>
        <w:top w:val="none" w:sz="0" w:space="0" w:color="auto"/>
        <w:left w:val="none" w:sz="0" w:space="0" w:color="auto"/>
        <w:bottom w:val="none" w:sz="0" w:space="0" w:color="auto"/>
        <w:right w:val="none" w:sz="0" w:space="0" w:color="auto"/>
      </w:divBdr>
    </w:div>
    <w:div w:id="1991326823">
      <w:bodyDiv w:val="1"/>
      <w:marLeft w:val="0"/>
      <w:marRight w:val="0"/>
      <w:marTop w:val="0"/>
      <w:marBottom w:val="0"/>
      <w:divBdr>
        <w:top w:val="none" w:sz="0" w:space="0" w:color="auto"/>
        <w:left w:val="none" w:sz="0" w:space="0" w:color="auto"/>
        <w:bottom w:val="none" w:sz="0" w:space="0" w:color="auto"/>
        <w:right w:val="none" w:sz="0" w:space="0" w:color="auto"/>
      </w:divBdr>
    </w:div>
    <w:div w:id="2060669965">
      <w:bodyDiv w:val="1"/>
      <w:marLeft w:val="0"/>
      <w:marRight w:val="0"/>
      <w:marTop w:val="0"/>
      <w:marBottom w:val="0"/>
      <w:divBdr>
        <w:top w:val="none" w:sz="0" w:space="0" w:color="auto"/>
        <w:left w:val="none" w:sz="0" w:space="0" w:color="auto"/>
        <w:bottom w:val="none" w:sz="0" w:space="0" w:color="auto"/>
        <w:right w:val="none" w:sz="0" w:space="0" w:color="auto"/>
      </w:divBdr>
    </w:div>
    <w:div w:id="2064056650">
      <w:bodyDiv w:val="1"/>
      <w:marLeft w:val="0"/>
      <w:marRight w:val="0"/>
      <w:marTop w:val="0"/>
      <w:marBottom w:val="0"/>
      <w:divBdr>
        <w:top w:val="none" w:sz="0" w:space="0" w:color="auto"/>
        <w:left w:val="none" w:sz="0" w:space="0" w:color="auto"/>
        <w:bottom w:val="none" w:sz="0" w:space="0" w:color="auto"/>
        <w:right w:val="none" w:sz="0" w:space="0" w:color="auto"/>
      </w:divBdr>
    </w:div>
    <w:div w:id="211933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769D144-D2CC-4BEC-A12C-36DD99AB98E3}"/>
      </w:docPartPr>
      <w:docPartBody>
        <w:p w:rsidR="00E27FEE" w:rsidRDefault="00E9326D">
          <w:r w:rsidRPr="00421EE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6D"/>
    <w:rsid w:val="000B1D11"/>
    <w:rsid w:val="0053295B"/>
    <w:rsid w:val="005929CB"/>
    <w:rsid w:val="0078706A"/>
    <w:rsid w:val="009748CF"/>
    <w:rsid w:val="00B028E2"/>
    <w:rsid w:val="00C947A6"/>
    <w:rsid w:val="00CE6767"/>
    <w:rsid w:val="00D475D4"/>
    <w:rsid w:val="00E27FEE"/>
    <w:rsid w:val="00E52DFC"/>
    <w:rsid w:val="00E9326D"/>
    <w:rsid w:val="00E97880"/>
    <w:rsid w:val="00ED6A1B"/>
    <w:rsid w:val="00F66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6C5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94DB06-BC9A-4769-BF5A-31FB80E942C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4958752022"/>
    <we:property name="MENDELEY_CITATIONS" value="[{&quot;citationID&quot;:&quot;MENDELEY_CITATION_3cad5671-815d-4339-9df9-1cd28ead926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M2NhZDU2NzEtODE1ZC00MzM5LTlkZjktMWNkMjhlYWQ5MjY5IiwicHJvcGVydGllcyI6eyJub3RlSW5kZXgiOjB9LCJpc0VkaXRlZCI6ZmFsc2UsIm1hbnVhbE92ZXJyaWRlIjp7ImlzTWFudWFsbHlPdmVycmlkZGVuIjpmYWxzZSwiY2l0ZXByb2NUZXh0IjoiPHN1cD4x4oCTMzwvc3VwPiIsIm1hbnVhbE92ZXJyaWRlVGV4dCI6IiJ9LCJjaXRhdGlvbkl0ZW1zIjpbeyJpZCI6ImVkY2MwNDBjLTllNWUtM2RlMy1hMWEwLWYxNTA1NWYyZmU0OSIsIml0ZW1EYXRhIjp7InR5cGUiOiJyZXBvcnQiLCJpZCI6ImVkY2MwNDBjLTllNWUtM2RlMy1hMWEwLWYxNTA1NWYyZmU0OSIsInRpdGxlIjoiR2xvYmFsIENhbmNlciBPYnNlcnZhdG9yeTogQ2FuY2VyIFRvZGF54oCUTGlwLCBvcmFsIGNhdml0eSBmYWN0IHNoZWV0IChHTE9CT0NBTiAyMDI0KSIsImF1dGhvciI6W3siZmFtaWx5IjoiQ2FuY2VyIiwiZ2l2ZW4iOiJJbnRlcm5hdGlvbmFsIEFnZW5jeSBmb3IgUmVzZWFyY2ggb24iLCJwYXJzZS1uYW1lcyI6ZmFsc2UsImRyb3BwaW5nLXBhcnRpY2xlIjoiIiwibm9uLWRyb3BwaW5nLXBhcnRpY2xlIjoiIn1dLCJpc3N1ZWQiOnsiZGF0ZS1wYXJ0cyI6W1syMDI2XV19LCJwdWJsaXNoZXIiOiJXb3JsZCBIZWFsdGggT3JnYW5pemF0aW9uIiwiY29udGFpbmVyLXRpdGxlLXNob3J0IjoiIn0sImlzVGVtcG9yYXJ5IjpmYWxzZSwic3VwcHJlc3MtYXV0aG9yIjpmYWxzZSwiY29tcG9zaXRlIjpmYWxzZSwiYXV0aG9yLW9ubHkiOmZhbHNlfSx7ImlkIjoiNzhlNjk1ODMtYzkzYy0zODk3LWFjNGUtOWUxMTY3MjIwOGI1IiwiaXRlbURhdGEiOnsidHlwZSI6ImFydGljbGUtam91cm5hbCIsImlkIjoiNzhlNjk1ODMtYzkzYy0zODk3LWFjNGUtOWUxMTY3MjIwOGI1IiwidGl0bGUiOiJPcmFsIHNxdWFtb3VzIGNlbGwgY2FyY2lub21hczogU3RhdGUgb2YgdGhlIGZpZWxkIGFuZCBlbWVyZ2luZyBkaXJlY3Rpb25zIiwiYXV0aG9yIjpbeyJmYW1pbHkiOiJUYW4iLCJnaXZlbiI6IlkiLCJwYXJzZS1uYW1lcyI6ZmFsc2UsImRyb3BwaW5nLXBhcnRpY2xlIjoiIiwibm9uLWRyb3BwaW5nLXBhcnRpY2xlIjoiIn0seyJmYW1pbHkiOiJXYW5nIiwiZ2l2ZW4iOiJaIiwicGFyc2UtbmFtZXMiOmZhbHNlLCJkcm9wcGluZy1wYXJ0aWNsZSI6IiIsIm5vbi1kcm9wcGluZy1wYXJ0aWNsZSI6IiJ9LHsiZmFtaWx5IjoiWHUiLCJnaXZlbiI6Ik0iLCJwYXJzZS1uYW1lcyI6ZmFsc2UsImRyb3BwaW5nLXBhcnRpY2xlIjoiIiwibm9uLWRyb3BwaW5nLXBhcnRpY2xlIjoiIn0seyJmYW1pbHkiOiJMaSIsImdpdmVuIjoiQiIsInBhcnNlLW5hbWVzIjpmYWxzZSwiZHJvcHBpbmctcGFydGljbGUiOiIiLCJub24tZHJvcHBpbmctcGFydGljbGUiOiIifSx7ImZhbWlseSI6Ikh1YW5nIiwiZ2l2ZW4iOiJaIiwicGFyc2UtbmFtZXMiOmZhbHNlLCJkcm9wcGluZy1wYXJ0aWNsZSI6IiIsIm5vbi1kcm9wcGluZy1wYXJ0aWNsZSI6IiJ9LHsiZmFtaWx5IjoiUWluIiwiZ2l2ZW4iOiJTIiwicGFyc2UtbmFtZXMiOmZhbHNlLCJkcm9wcGluZy1wYXJ0aWNsZSI6IiIsIm5vbi1kcm9wcGluZy1wYXJ0aWNsZSI6IiJ9LHsiZmFtaWx5IjoiTmljZSIsImdpdmVuIjoiRSBDIiwicGFyc2UtbmFtZXMiOmZhbHNlLCJkcm9wcGluZy1wYXJ0aWNsZSI6IiIsIm5vbi1kcm9wcGluZy1wYXJ0aWNsZSI6IiJ9LHsiZmFtaWx5IjoiVGFuZyIsImdpdmVuIjoiSiIsInBhcnNlLW5hbWVzIjpmYWxzZSwiZHJvcHBpbmctcGFydGljbGUiOiIiLCJub24tZHJvcHBpbmctcGFydGljbGUiOiIifSx7ImZhbWlseSI6Ikh1YW5n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Q5LXciLCJVUkwiOiJodHRwczovL2RvaS5vcmcvMTAuMTAzOC9zNDEzNjgtMDIzLTAwMjQ5LXciLCJpc3N1ZWQiOnsiZGF0ZS1wYXJ0cyI6W1syMDIzXV19LCJwYWdlIjoiNDQiLCJ2b2x1bWUiOiIxNSJ9LCJpc1RlbXBvcmFyeSI6ZmFsc2V9LH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fV19&quot;,&quot;citationItems&quot;:[{&quot;id&quot;:&quot;edcc040c-9e5e-3de3-a1a0-f15055f2fe49&quot;,&quot;itemData&quot;:{&quot;type&quot;:&quot;report&quot;,&quot;id&quot;:&quot;edcc040c-9e5e-3de3-a1a0-f15055f2fe49&quot;,&quot;title&quot;:&quot;Global Cancer Observatory: Cancer Today—Lip, oral cavity fact sheet (GLOBOCAN 2024)&quot;,&quot;author&quot;:[{&quot;family&quot;:&quot;Cancer&quot;,&quot;given&quot;:&quot;International Agency for Research on&quot;,&quot;parse-names&quot;:false,&quot;dropping-particle&quot;:&quot;&quot;,&quot;non-dropping-particle&quot;:&quot;&quot;}],&quot;issued&quot;:{&quot;date-parts&quot;:[[2026]]},&quot;publisher&quot;:&quot;World Health Organization&quot;,&quot;container-title-short&quot;:&quot;&quot;},&quot;isTemporary&quot;:false,&quot;suppress-author&quot;:false,&quot;composite&quot;:false,&quot;author-only&quot;:false},{&quot;id&quot;:&quot;78e69583-c93c-3897-ac4e-9e11672208b5&quot;,&quot;itemData&quot;:{&quot;type&quot;:&quot;article-journal&quot;,&quot;id&quot;:&quot;78e69583-c93c-3897-ac4e-9e11672208b5&quot;,&quot;title&quot;:&quot;Oral squamous cell carcinomas: State of the field and emerging directions&quot;,&quot;author&quot;:[{&quot;family&quot;:&quot;Tan&quot;,&quot;given&quot;:&quot;Y&quot;,&quot;parse-names&quot;:false,&quot;dropping-particle&quot;:&quot;&quot;,&quot;non-dropping-particle&quot;:&quot;&quot;},{&quot;family&quot;:&quot;Wang&quot;,&quot;given&quot;:&quot;Z&quot;,&quot;parse-names&quot;:false,&quot;dropping-particle&quot;:&quot;&quot;,&quot;non-dropping-particle&quot;:&quot;&quot;},{&quot;family&quot;:&quot;Xu&quot;,&quot;given&quot;:&quot;M&quot;,&quot;parse-names&quot;:false,&quot;dropping-particle&quot;:&quot;&quot;,&quot;non-dropping-particle&quot;:&quot;&quot;},{&quot;family&quot;:&quot;Li&quot;,&quot;given&quot;:&quot;B&quot;,&quot;parse-names&quot;:false,&quot;dropping-particle&quot;:&quot;&quot;,&quot;non-dropping-particle&quot;:&quot;&quot;},{&quot;family&quot;:&quot;Huang&quot;,&quot;given&quot;:&quot;Z&quot;,&quot;parse-names&quot;:false,&quot;dropping-particle&quot;:&quot;&quot;,&quot;non-dropping-particle&quot;:&quot;&quot;},{&quot;family&quot;:&quot;Qin&quot;,&quot;given&quot;:&quot;S&quot;,&quot;parse-names&quot;:false,&quot;dropping-particle&quot;:&quot;&quot;,&quot;non-dropping-particle&quot;:&quot;&quot;},{&quot;family&quot;:&quot;Nice&quot;,&quot;given&quot;:&quot;E C&quot;,&quot;parse-names&quot;:false,&quot;dropping-particle&quot;:&quot;&quot;,&quot;non-dropping-particle&quot;:&quot;&quot;},{&quot;family&quot;:&quot;Tang&quot;,&quot;given&quot;:&quot;J&quot;,&quot;parse-names&quot;:false,&quot;dropping-particle&quot;:&quot;&quot;,&quot;non-dropping-particle&quot;:&quot;&quot;},{&quot;family&quot;:&quot;Huang&quot;,&quot;given&quot;:&quot;C&quot;,&quot;parse-names&quot;:false,&quot;dropping-particle&quot;:&quot;&quot;,&quot;non-dropping-particle&quot;:&quot;&quot;}],&quot;container-title&quot;:&quot;International Journal of Oral Science&quot;,&quot;container-title-short&quot;:&quot;Int. J. Oral Sci.&quot;,&quot;DOI&quot;:&quot;10.1038/s41368-023-00249-w&quot;,&quot;URL&quot;:&quot;https://doi.org/10.1038/s41368-023-00249-w&quot;,&quot;issued&quot;:{&quot;date-parts&quot;:[[2023]]},&quot;page&quot;:&quot;44&quot;,&quot;volume&quot;:&quot;15&quot;},&quot;isTemporar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55bc2b48-cc17-471d-8dbb-030f3f410d5f&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TViYzJiNDgtY2MxNy00NzFkLThkYmItMDMwZjNmNDEwZDVm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4cf8989-cd5e-4ebe-9c25-cd89b4417896&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zRjZjg5ODktY2Q1ZS00ZWJlLTljMjUtY2Q4OWI0NDE3ODk2IiwicHJvcGVydGllcyI6eyJub3RlSW5kZXgiOjB9LCJpc0VkaXRlZCI6ZmFsc2UsIm1hbnVhbE92ZXJyaWRlIjp7ImlzTWFudWFsbHlPdmVycmlkZGVuIjpmYWxzZSwiY2l0ZXByb2NUZXh0IjoiPHN1cD4zLDQ8L3N1cD4iLCJtYW51YWxPdmVycmlkZVRleHQiOiIifSwiY2l0YXRpb25JdGVtcyI6W3siaWQiOiI1ZmM4Y2E4OS0zNGZkLTNlNmYtOGQxNS05MjA3NTQyZGJiNWQiLCJpdGVtRGF0YSI6eyJ0eXBlIjoiYXJ0aWNsZS1qb3VybmFsIiwiaWQiOiI1ZmM4Y2E4OS0zNGZkLTNlNmYtOGQxNS05MjA3NTQyZGJiNWQiLCJ0aXRsZSI6IkEgbm92ZWwgc2FsaXZhLWJhc2VkIG1pUk5BIHByb2ZpbGUgdG8gZGlhZ25vc2UgYW5kIHByZWRpY3Qgb3JhbCBjYW5jZXIiLCJhdXRob3IiOlt7ImZhbWlseSI6IkJhbGFraXR0bmVuIiwiZ2l2ZW4iOiJKIiwicGFyc2UtbmFtZXMiOmZhbHNlLCJkcm9wcGluZy1wYXJ0aWNsZSI6IiIsIm5vbi1kcm9wcGluZy1wYXJ0aWNsZSI6IiJ9LHsiZmFtaWx5IjoiRWthbmF5YWtlIFdlZXJhbWFuZ2UiLCJnaXZlbiI6IkMiLCJwYXJzZS1uYW1lcyI6ZmFsc2UsImRyb3BwaW5nLXBhcnRpY2xlIjoiIiwibm9uLWRyb3BwaW5nLXBhcnRpY2xlIjoiIn0seyJmYW1pbHkiOiJXYWxsYWNlIiwiZ2l2ZW4iOiJEIEYiLCJwYXJzZS1uYW1lcyI6ZmFsc2UsImRyb3BwaW5nLXBhcnRpY2xlIjoiIiwibm9uLWRyb3BwaW5nLXBhcnRpY2xlIjoiIn0seyJmYW1pbHkiOiJEdWlqZiIsImdpdmVuIjoiUCBIIEciLCJwYXJzZS1uYW1lcyI6ZmFsc2UsImRyb3BwaW5nLXBhcnRpY2xlIjoiIiwibm9uLWRyb3BwaW5nLXBhcnRpY2xlIjoiIn0seyJmYW1pbHkiOiJDcmlzdGlubyIsImdpdmVuIjoiQSBTIiwicGFyc2UtbmFtZXMiOmZhbHNlLCJkcm9wcGluZy1wYXJ0aWNsZSI6IiIsIm5vbi1kcm9wcGluZy1wYXJ0aWNsZSI6IiJ9LHsiZmFtaWx5IjoiSGFydGVsIiwiZ2l2ZW4iOiJHIiwicGFyc2UtbmFtZXMiOmZhbHNlLCJkcm9wcGluZy1wYXJ0aWNsZSI6IiIsIm5vbi1kcm9wcGluZy1wYXJ0aWNsZSI6IiJ9LHsiZmFtaWx5IjoiQmFycmVybyIsImdpdmVuIjoiUiBBIiwicGFyc2UtbmFtZXMiOmZhbHNlLCJkcm9wcGluZy1wYXJ0aWNsZSI6IiIsIm5vbi1kcm9wcGluZy1wYXJ0aWNsZSI6IiJ9LHsiZmFtaWx5IjoiVGFoZXJpIiwiZ2l2ZW4iOiJUIiwicGFyc2UtbmFtZXMiOmZhbHNlLCJkcm9wcGluZy1wYXJ0aWNsZSI6IiIsIm5vbi1kcm9wcGluZy1wYXJ0aWNsZSI6IiJ9LHsiZmFtaWx5IjoiS2VubnkiLCJnaXZlbiI6IkwiLCJwYXJzZS1uYW1lcyI6ZmFsc2UsImRyb3BwaW5nLXBhcnRpY2xlIjoiIiwibm9uLWRyb3BwaW5nLXBhcnRpY2xlIjoiIn0seyJmYW1pbHkiOiJWYXNhbmkiLCJnaXZlbiI6IlMiLCJwYXJzZS1uYW1lcyI6ZmFsc2UsImRyb3BwaW5nLXBhcnRpY2xlIjoiIiwibm9uLWRyb3BwaW5nLXBhcnRpY2xlIjoiIn0seyJmYW1pbHkiOiJCYXRzdG9uZSIsImdpdmVuIjoiTSIsInBhcnNlLW5hbWVzIjpmYWxzZSwiZHJvcHBpbmctcGFydGljbGUiOiIiLCJub24tZHJvcHBpbmctcGFydGljbGUiOiIifSx7ImZhbWlseSI6IkJyZWlrIiwiZ2l2ZW4iOiJPIiwicGFyc2UtbmFtZXMiOmZhbHNlLCJkcm9wcGluZy1wYXJ0aWNsZSI6IiIsIm5vbi1kcm9wcGluZy1wYXJ0aWNsZSI6IiJ9LHsiZmFtaWx5IjoiUHVueWFkZWVyYSIsImdpdmVuIjoiQyIsInBhcnNlLW5hbWVzIjpmYWxzZSwiZHJvcHBpbmctcGFydGljbGUiOiIiLCJub24tZHJvcHBpbmctcGFydGljbGUiOiIifV0sImNvbnRhaW5lci10aXRsZSI6IkludGVybmF0aW9uYWwgSm91cm5hbCBvZiBPcmFsIFNjaWVuY2UiLCJjb250YWluZXItdGl0bGUtc2hvcnQiOiJJbnQuIEouIE9yYWwgU2NpLiIsIkRPSSI6IjEwLjEwMzgvczQxMzY4LTAyMy0wMDI3My13IiwiVVJMIjoiaHR0cHM6Ly9kb2kub3JnLzEwLjEwMzgvczQxMzY4LTAyMy0wMDI3My13IiwiaXNzdWVkIjp7ImRhdGUtcGFydHMiOltbMjAyNF1dfSwicGFnZSI6IjE0Iiwidm9sdW1lIjoiMTY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773352aa-a8fa-4c31-a19f-4097f404ad8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NzczMzUyYWEtYThmYS00YzMxLWExOWYtNDA5N2Y0MDRhZDh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57ff6135-07af-4aa3-9553-4b8fa8d7dedf&quot;,&quot;properties&quot;:{&quot;noteIndex&quot;:0},&quot;isEdited&quot;:false,&quot;manualOverride&quot;:{&quot;isManuallyOverridden&quot;:false,&quot;citeprocText&quot;:&quot;&lt;sup&gt;3,5,6&lt;/sup&gt;&quot;,&quot;manualOverrideText&quot;:&quot;&quot;},&quot;citationTag&quot;:&quot;MENDELEY_CITATION_v3_eyJjaXRhdGlvbklEIjoiTUVOREVMRVlfQ0lUQVRJT05fNTdmZjYxMzUtMDdhZi00YWEzLTk1NTMtNGI4ZmE4ZDdkZWRmIiwicHJvcGVydGllcyI6eyJub3RlSW5kZXgiOjB9LCJpc0VkaXRlZCI6ZmFsc2UsIm1hbnVhbE92ZXJyaWRlIjp7ImlzTWFudWFsbHlPdmVycmlkZGVuIjpmYWxzZSwiY2l0ZXByb2NUZXh0IjoiPHN1cD4zLDUsNjwvc3VwPiIsIm1hbnVhbE92ZXJyaWRlVGV4dCI6IiJ9LCJjaXRhdGlvbkl0ZW1zIjpbeyJpZCI6ImVhZDhkN2IzLWMxNTUtM2MwNi1iZDJjLTg0ZDkwMzRlYzgzOCIsIml0ZW1EYXRhIjp7InR5cGUiOiJhcnRpY2xlLWpvdXJuYWwiLCJpZCI6ImVhZDhkN2IzLWMxNTUtM2MwNi1iZDJjLTg0ZDkwMzRlYzgzOCIsInRpdGxlIjoiVGhlIHZhbHVlIG9mIG1pUk5BcyBpbiB0aGUgcHJvZ25vc2lzIG9mIG9iZXNlIHBhdGllbnRzIHJlY2VpdmluZyBiYXJpYXRyaWMgc3VyZ2VyeSIsImF1dGhvciI6W3siZmFtaWx5IjoiTGl1IiwiZ2l2ZW4iOiJKIiwicGFyc2UtbmFtZXMiOmZhbHNlLCJkcm9wcGluZy1wYXJ0aWNsZSI6IiIsIm5vbi1kcm9wcGluZy1wYXJ0aWNsZSI6IiJ9LHsiZmFtaWx5IjoiWWFuZyIsImdpdmVuIjoiRCIsInBhcnNlLW5hbWVzIjpmYWxzZSwiZHJvcHBpbmctcGFydGljbGUiOiIiLCJub24tZHJvcHBpbmctcGFydGljbGUiOiIifSx7ImZhbWlseSI6IldhbmciLCJnaXZlbiI6IkIiLCJwYXJzZS1uYW1lcyI6ZmFsc2UsImRyb3BwaW5nLXBhcnRpY2xlIjoiIiwibm9uLWRyb3BwaW5nLXBhcnRpY2xlIjoiIn0seyJmYW1pbHkiOiJaZW5nIiwiZ2l2ZW4iOiJZIiwicGFyc2UtbmFtZXMiOmZhbHNlLCJkcm9wcGluZy1wYXJ0aWNsZSI6IiIsIm5vbi1kcm9wcGluZy1wYXJ0aWNsZSI6IiJ9LHsiZmFtaWx5IjoiTGkiLCJnaXZlbiI6IlciLCJwYXJzZS1uYW1lcyI6ZmFsc2UsImRyb3BwaW5nLXBhcnRpY2xlIjoiIiwibm9uLWRyb3BwaW5nLXBhcnRpY2xlIjoiIn1dLCJjb250YWluZXItdGl0bGUiOiJBbWVyaWNhbiBKb3VybmFsIG9mIFRyYW5zbGF0aW9uYWwgUmVzZWFyY2giLCJjb250YWluZXItdGl0bGUtc2hvcnQiOiJBbS4gSi4gVHJhbnNsLiBSZXMuIiwiaXNzdWVkIjp7ImRhdGUtcGFydHMiOltbMjAyMV1dfSwicGFnZSI6IjE5MDUtMTkxNCIsImlzc3VlIjoiNCIsInZvbHVtZSI6IjEzIn0sImlzVGVtcG9yYXJ5IjpmYWxzZSwic3VwcHJlc3MtYXV0aG9yIjpmYWxzZSwiY29tcG9zaXRlIjpmYWxzZSwiYXV0aG9yLW9ubHkiOmZhbHNlfSx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0seyJpZCI6ImZlOWZmZjgxLTM4ZTItM2E0Yi04ZDliLTdmYTEwNzM5YmYzNCIsIml0ZW1EYXRhIjp7InR5cGUiOiJhcnRpY2xlLWpvdXJuYWwiLCJpZCI6ImZlOWZmZjgxLTM4ZTItM2E0Yi04ZDliLTdmYTEwNzM5YmYzNCIsInRpdGxlIjoiQ29tcGFyYXRpdmUgbWV0YS1hbmFseXNpczogU2FsaXZhcnksIHBsYXNtYSwgYW5kIHNlcnVtIG1pUk5BIHByb2ZpbGVzIGZvciBvcmFsIHNxdWFtb3VzIGNlbGwgY2FyY2lub21hIGRldGVjdGlvbi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RmF0aCIsImdpdmVuIjoiVCIsInBhcnNlLW5hbWVzIjpmYWxzZSwiZHJvcHBpbmctcGFydGljbGUiOiIiLCJub24tZHJvcHBpbmctcGFydGljbGUiOiIifSx7ImZhbWlseSI6IkJyYWhtYSIsImdpdmVuIjoiQiIsInBhcnNlLW5hbWVzIjpmYWxzZSwiZHJvcHBpbmctcGFydGljbGUiOiIiLCJub24tZHJvcHBpbmctcGFydGljbGUiOiIifSx7ImZhbWlseSI6IlNvZXJhdG1hbiIsImdpdmVuIjoiQSBSIiwicGFyc2UtbmFtZXMiOmZhbHNlLCJkcm9wcGluZy1wYXJ0aWNsZSI6IiIsIm5vbi1kcm9wcGluZy1wYXJ0aWNsZSI6IiJ9LHsiZmFtaWx5IjoiUHVyd2FudG8iLCJnaXZlbiI6IkQgSiIsInBhcnNlLW5hbWVzIjpmYWxzZSwiZHJvcHBpbmctcGFydGljbGUiOiIiLCJub24tZHJvcHBpbmctcGFydGljbGUiOiIifSx7ImZhbWlseSI6IkhpZ2FzaGkiLCJnaXZlbiI6IlkiLCJwYXJzZS1uYW1lcyI6ZmFsc2UsImRyb3BwaW5nLXBhcnRpY2xlIjoiIiwibm9uLWRyb3BwaW5nLXBhcnRpY2xlIjoiIn0seyJmYW1pbHkiOiJNaXlha29zaGkiLCJnaXZlbiI6Ik0iLCJwYXJzZS1uYW1lcyI6ZmFsc2UsImRyb3BwaW5nLXBhcnRpY2xlIjoiIiwibm9uLWRyb3BwaW5nLXBhcnRpY2xlIjoiIn0seyJmYW1pbHkiOiJTdWdpdXJhIiwiZ2l2ZW4iOiJUIiwicGFyc2UtbmFtZXMiOmZhbHNlLCJkcm9wcGluZy1wYXJ0aWNsZSI6IiIsIm5vbi1kcm9wcGluZy1wYXJ0aWNsZSI6IiJ9XSwiY29udGFpbmVyLXRpdGxlIjoiSm91cm5hbCBvZiBQZXJzb25hbGl6ZWQgTWVkaWNpbmUiLCJjb250YWluZXItdGl0bGUtc2hvcnQiOiJKLiBQZXJzLiBNZWQuIiwiRE9JIjoiMTAuMzM5MC9qcG0xNjAxMDA1MiIsIlVSTCI6Imh0dHBzOi8vZG9pLm9yZy8xMC4zMzkwL2pwbTE2MDEwMDUyIiwiaXNzdWVkIjp7ImRhdGUtcGFydHMiOltbMjAyNl1dfSwicGFnZSI6IjUyIiwiaXNzdWUiOiIxIiwidm9sdW1lIjoiMTYifSwiaXNUZW1wb3JhcnkiOmZhbHNlfV19&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c71356ce-8d47-4bc2-9147-b23dedee2b6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YzcxMzU2Y2UtOGQ0Ny00YmMyLTkxNDctYjIzZGVkZWUyYjYzIiwicHJvcGVydGllcyI6eyJub3RlSW5kZXgiOjB9LCJpc0VkaXRlZCI6ZmFsc2UsIm1hbnVhbE92ZXJyaWRlIjp7ImlzTWFudWFsbHlPdmVycmlkZGVuIjpmYWxzZSwiY2l0ZXByb2NUZXh0IjoiPHN1cD41PC9zdXA+IiwibWFudWFsT3ZlcnJpZGVUZXh0IjoiIn0sImNpdGF0aW9uSXRlbXMiOlt7ImlkIjoiZWFkOGQ3YjMtYzE1NS0zYzA2LWJkMmMtODRkOTAzNGVjODM4IiwiaXRlbURhdGEiOnsidHlwZSI6ImFydGljbGUtam91cm5hbCIsImlkIjoiZWFkOGQ3YjMtYzE1NS0zYzA2LWJkMmMtODRkOTAzNGVjODM4IiwidGl0bGUiOiJUaGUgdmFsdWUgb2YgbWlSTkFzIGluIHRoZSBwcm9nbm9zaXMgb2Ygb2Jlc2UgcGF0aWVudHMgcmVjZWl2aW5nIGJhcmlhdHJpYyBzdXJnZXJ5IiwiYXV0aG9yIjpbeyJmYW1pbHkiOiJMaXUiLCJnaXZlbiI6IkoiLCJwYXJzZS1uYW1lcyI6ZmFsc2UsImRyb3BwaW5nLXBhcnRpY2xlIjoiIiwibm9uLWRyb3BwaW5nLXBhcnRpY2xlIjoiIn0seyJmYW1pbHkiOiJZYW5nIiwiZ2l2ZW4iOiJEIiwicGFyc2UtbmFtZXMiOmZhbHNlLCJkcm9wcGluZy1wYXJ0aWNsZSI6IiIsIm5vbi1kcm9wcGluZy1wYXJ0aWNsZSI6IiJ9LHsiZmFtaWx5IjoiV2FuZyIsImdpdmVuIjoiQiIsInBhcnNlLW5hbWVzIjpmYWxzZSwiZHJvcHBpbmctcGFydGljbGUiOiIiLCJub24tZHJvcHBpbmctcGFydGljbGUiOiIifSx7ImZhbWlseSI6IlplbmciLCJnaXZlbiI6IlkiLCJwYXJzZS1uYW1lcyI6ZmFsc2UsImRyb3BwaW5nLXBhcnRpY2xlIjoiIiwibm9uLWRyb3BwaW5nLXBhcnRpY2xlIjoiIn0seyJmYW1pbHkiOiJMaSIsImdpdmVuIjoiVyIsInBhcnNlLW5hbWVzIjpmYWxzZSwiZHJvcHBpbmctcGFydGljbGUiOiIiLCJub24tZHJvcHBpbmctcGFydGljbGUiOiIifV0sImNvbnRhaW5lci10aXRsZSI6IkFtZXJpY2FuIEpvdXJuYWwgb2YgVHJhbnNsYXRpb25hbCBSZXNlYXJjaCIsImNvbnRhaW5lci10aXRsZS1zaG9ydCI6IkFtLiBKLiBUcmFuc2wuIFJlcy4iLCJpc3N1ZWQiOnsiZGF0ZS1wYXJ0cyI6W1syMDIxXV19LCJwYWdlIjoiMTkwNS0xOTE0IiwiaXNzdWUiOiI0Iiwidm9sdW1lIjoiMTMifSwiaXNUZW1wb3JhcnkiOmZhbHNlLCJzdXBwcmVzcy1hdXRob3IiOmZhbHNlLCJjb21wb3NpdGUiOmZhbHNlLCJhdXRob3Itb25seSI6ZmFsc2V9XX0=&quot;,&quot;citationItems&quot;:[{&quot;id&quot;:&quot;ead8d7b3-c155-3c06-bd2c-84d9034ec838&quot;,&quot;itemData&quot;:{&quot;type&quot;:&quot;article-journal&quot;,&quot;id&quot;:&quot;ead8d7b3-c155-3c06-bd2c-84d9034ec838&quot;,&quot;title&quot;:&quot;The value of miRNAs in the prognosis of obese patients receiving bariatric surgery&quot;,&quot;author&quot;:[{&quot;family&quot;:&quot;Liu&quot;,&quot;given&quot;:&quot;J&quot;,&quot;parse-names&quot;:false,&quot;dropping-particle&quot;:&quot;&quot;,&quot;non-dropping-particle&quot;:&quot;&quot;},{&quot;family&quot;:&quot;Yang&quot;,&quot;given&quot;:&quot;D&quot;,&quot;parse-names&quot;:false,&quot;dropping-particle&quot;:&quot;&quot;,&quot;non-dropping-particle&quot;:&quot;&quot;},{&quot;family&quot;:&quot;Wang&quot;,&quot;given&quot;:&quot;B&quot;,&quot;parse-names&quot;:false,&quot;dropping-particle&quot;:&quot;&quot;,&quot;non-dropping-particle&quot;:&quot;&quot;},{&quot;family&quot;:&quot;Zeng&quot;,&quot;given&quot;:&quot;Y&quot;,&quot;parse-names&quot;:false,&quot;dropping-particle&quot;:&quot;&quot;,&quot;non-dropping-particle&quot;:&quot;&quot;},{&quot;family&quot;:&quot;Li&quot;,&quot;given&quot;:&quot;W&quot;,&quot;parse-names&quot;:false,&quot;dropping-particle&quot;:&quot;&quot;,&quot;non-dropping-particle&quot;:&quot;&quot;}],&quot;container-title&quot;:&quot;American Journal of Translational Research&quot;,&quot;container-title-short&quot;:&quot;Am. J. Transl. Res.&quot;,&quot;issued&quot;:{&quot;date-parts&quot;:[[2021]]},&quot;page&quot;:&quot;1905-1914&quot;,&quot;issue&quot;:&quot;4&quot;,&quot;volume&quot;:&quot;13&quot;},&quot;isTemporary&quot;:false,&quot;suppress-author&quot;:false,&quot;composite&quot;:false,&quot;author-only&quot;:false}]},{&quot;citationID&quot;:&quot;MENDELEY_CITATION_45442d1e-6850-45b3-bdfb-5710f20d0762&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DU0NDJkMWUtNjg1MC00NWIzLWJkZmItNTcxMGYyMGQwNzYyIiwicHJvcGVydGllcyI6eyJub3RlSW5kZXgiOjB9LCJpc0VkaXRlZCI6ZmFsc2UsIm1hbnVhbE92ZXJyaWRlIjp7ImlzTWFudWFsbHlPdmVycmlkZGVuIjpmYWxzZSwiY2l0ZXByb2NUZXh0IjoiPHN1cD4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citationID&quot;:&quot;MENDELEY_CITATION_61ee83f1-c32a-4a1d-b6d5-1eca06ce9413&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jFlZTgzZjEtYzMyYS00YTFkLWI2ZDUtMWVjYTA2Y2U5NDEz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edca0e77-7108-42a6-9efc-caa5678e422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RjYTBlNzctNzEwOC00MmE2LTllZmMtY2FhNTY3OGU0MjI5IiwicHJvcGVydGllcyI6eyJub3RlSW5kZXgiOjB9LCJpc0VkaXRlZCI6ZmFsc2UsIm1hbnVhbE92ZXJyaWRlIjp7ImlzTWFudWFsbHlPdmVycmlkZGVuIjpmYWxzZSwiY2l0ZXByb2NUZXh0IjoiPHN1cD42PC9zdXA+IiwibWFudWFsT3ZlcnJpZGVUZXh0IjoiIn0sImNpdGF0aW9uSXRlbXMiOlt7ImlkIjoiZmU5ZmZmODEtMzhlMi0zYTRiLThkOWItN2ZhMTA3MzliZjM0IiwiaXRlbURhdGEiOnsidHlwZSI6ImFydGljbGUtam91cm5hbCIsImlkIjoiZmU5ZmZmODEtMzhlMi0zYTRiLThkOWItN2ZhMTA3MzliZjM0IiwidGl0bGUiOiJDb21wYXJhdGl2ZSBtZXRhLWFuYWx5c2lzOiBTYWxpdmFyeSwgcGxhc21hLCBhbmQgc2VydW0gbWlSTkEgcHJvZmlsZXMgZm9yIG9yYWwgc3F1YW1vdXMgY2VsbCBjYXJjaW5vbWEgZGV0ZWN0aW9uIiwiYXV0aG9yIjpbeyJmYW1pbHkiOiJXaWpheWEiLCJnaXZlbiI6IkEiLCJwYXJzZS1uYW1lcyI6ZmFsc2UsImRyb3BwaW5nLXBhcnRpY2xlIjoiIiwibm9uLWRyb3BwaW5nLXBhcnRpY2xlIjoiIn0seyJmYW1pbHkiOiJKdWxpYSIsImdpdmVuIjoiViIsInBhcnNlLW5hbWVzIjpmYWxzZSwiZHJvcHBpbmctcGFydGljbGUiOiIiLCJub24tZHJvcHBpbmctcGFydGljbGUiOiIifSx7ImZhbWlseSI6IlNvZWRhcnNvbm8iLCJnaXZlbiI6Ik4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k1peWFrb3NoaSIsImdpdmVuIjoiTSIsInBhcnNlLW5hbWVzIjpmYWxzZSwiZHJvcHBpbmctcGFydGljbGUiOiIiLCJub24tZHJvcHBpbmctcGFydGljbGUiOiIifSx7ImZhbWlseSI6IlN1Z2l1cmEiLCJnaXZlbiI6IlQiLCJwYXJzZS1uYW1lcyI6ZmFsc2UsImRyb3BwaW5nLXBhcnRpY2xlIjoiIiwibm9uLWRyb3BwaW5nLXBhcnRpY2xlIjoiIn1dLCJjb250YWluZXItdGl0bGUiOiJKb3VybmFsIG9mIFBlcnNvbmFsaXplZCBNZWRpY2luZSIsImNvbnRhaW5lci10aXRsZS1zaG9ydCI6IkouIFBlcnMuIE1lZC4iLCJET0kiOiIxMC4zMzkwL2pwbTE2MDEwMDUyIiwiVVJMIjoiaHR0cHM6Ly9kb2kub3JnLzEwLjMzOTAvanBtMTYwMTAwNTIiLCJpc3N1ZWQiOnsiZGF0ZS1wYXJ0cyI6W1syMDI2XV19LCJwYWdlIjoiNTIiLCJpc3N1ZSI6IjEiLCJ2b2x1bWUiOiIxNiJ9LCJpc1RlbXBvcmFyeSI6ZmFsc2V9XX0=&quot;,&quot;citationItems&quot;:[{&quot;id&quot;:&quot;fe9fff81-38e2-3a4b-8d9b-7fa10739bf34&quot;,&quot;itemData&quot;:{&quot;type&quot;:&quot;article-journal&quot;,&quot;id&quot;:&quot;fe9fff81-38e2-3a4b-8d9b-7fa10739bf34&quot;,&quot;title&quot;:&quot;Comparative meta-analysis: Salivary, plasma, and serum miRNA profiles for oral squamous cell carcinoma detection&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Miyakoshi&quot;,&quot;given&quot;:&quot;M&quot;,&quot;parse-names&quot;:false,&quot;dropping-particle&quot;:&quot;&quot;,&quot;non-dropping-particle&quot;:&quot;&quot;},{&quot;family&quot;:&quot;Sugiura&quot;,&quot;given&quot;:&quot;T&quot;,&quot;parse-names&quot;:false,&quot;dropping-particle&quot;:&quot;&quot;,&quot;non-dropping-particle&quot;:&quot;&quot;}],&quot;container-title&quot;:&quot;Journal of Personalized Medicine&quot;,&quot;container-title-short&quot;:&quot;J. Pers. Med.&quot;,&quot;DOI&quot;:&quot;10.3390/jpm16010052&quot;,&quot;URL&quot;:&quot;https://doi.org/10.3390/jpm16010052&quot;,&quot;issued&quot;:{&quot;date-parts&quot;:[[2026]]},&quot;page&quot;:&quot;52&quot;,&quot;issue&quot;:&quot;1&quot;,&quot;volume&quot;:&quot;16&quot;},&quot;isTemporary&quot;:false}]},{&quot;citationID&quot;:&quot;MENDELEY_CITATION_07caeff6-7211-41c8-8338-8d55ea4614df&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DdjYWVmZjYtNzIxMS00MWM4LTgzMzgtOGQ1NWVhNDYxNGRm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b8486038-5433-4269-a3d9-4dbaaa14c15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g0ODYwMzgtNTQzMy00MjY5LWEzZDktNGRiYWFhMTRjMTUy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5655d8-9630-468a-bfc0-8efcc6dfadf3&quot;,&quot;properties&quot;:{&quot;noteIndex&quot;:0},&quot;isEdited&quot;:false,&quot;manualOverride&quot;:{&quot;isManuallyOverridden&quot;:false,&quot;citeprocText&quot;:&quot;&lt;sup&gt;3,11&lt;/sup&gt;&quot;,&quot;manualOverrideText&quot;:&quot;&quot;},&quot;citationTag&quot;:&quot;MENDELEY_CITATION_v3_eyJjaXRhdGlvbklEIjoiTUVOREVMRVlfQ0lUQVRJT05fMzE1NjU1ZDgtOTYzMC00NjhhLWJmYzAtOGVmY2M2ZGZhZGYzIiwicHJvcGVydGllcyI6eyJub3RlSW5kZXgiOjB9LCJpc0VkaXRlZCI6ZmFsc2UsIm1hbnVhbE92ZXJyaWRlIjp7ImlzTWFudWFsbHlPdmVycmlkZGVuIjpmYWxzZSwiY2l0ZXByb2NUZXh0IjoiPHN1cD4zLDExPC9zdXA+IiwibWFudWFsT3ZlcnJpZGVUZXh0IjoiIn0sImNpdGF0aW9uSXRlbXMiOlt7ImlkIjoiMjQwZDFiMDYtMDc4Zi0zYzUwLTg5MDgtODIzNTJkMmYzZjY2IiwiaXRlbURhdGEiOnsidHlwZSI6ImFydGljbGUtam91cm5hbCIsImlkIjoiMjQwZDFiMDYtMDc4Zi0zYzUwLTg5MDgtODIzNTJkMmYzZjY2IiwidGl0bGUiOiJFdmFsdWF0aW9uIG9mIGRpYWdub3N0aWMgc2lnbmlmaWNhbmNlIG9mIHNhbGl2YXJ5IG1pUk5BLTE4NCBhbmQgbWlSTkEtMjEgaW4gb3JhbCBzcXVhbW91cyBjZWxsIGNhcmNpbm9tYSBhbmQgb3JhbCBwb3RlbnRpYWxseSBtYWxpZ25hbnQgZGlzb3JkZXJzIiwiYXV0aG9yIjpbeyJmYW1pbHkiOiJHYXJnIiwiZ2l2ZW4iOiJBIiwicGFyc2UtbmFtZXMiOmZhbHNlLCJkcm9wcGluZy1wYXJ0aWNsZSI6IiIsIm5vbi1kcm9wcGluZy1wYXJ0aWNsZSI6IiJ9LHsiZmFtaWx5IjoiVXJzIiwiZ2l2ZW4iOiJBIEIiLCJwYXJzZS1uYW1lcyI6ZmFsc2UsImRyb3BwaW5nLXBhcnRpY2xlIjoiIiwibm9uLWRyb3BwaW5nLXBhcnRpY2xlIjoiIn0seyJmYW1pbHkiOiJLb25lciIsImdpdmVuIjoiQiBDIiwicGFyc2UtbmFtZXMiOmZhbHNlLCJkcm9wcGluZy1wYXJ0aWNsZSI6IiIsIm5vbi1kcm9wcGluZy1wYXJ0aWNsZSI6IiJ9LHsiZmFtaWx5IjoiQXVndXN0aW5lIiwiZ2l2ZW4iOiJKIiwicGFyc2UtbmFtZXMiOmZhbHNlLCJkcm9wcGluZy1wYXJ0aWNsZSI6IiIsIm5vbi1kcm9wcGluZy1wYXJ0aWNsZSI6IiJ9LHsiZmFtaWx5IjoiR3VydSIsImdpdmVuIjoiUyBBIiwicGFyc2UtbmFtZXMiOmZhbHNlLCJkcm9wcGluZy1wYXJ0aWNsZSI6IiIsIm5vbi1kcm9wcGluZy1wYXJ0aWNsZSI6IiJ9XSwiY29udGFpbmVyLXRpdGxlIjoiSGVhZCBhbmQgTmVjayBQYXRob2xvZ3kiLCJjb250YWluZXItdGl0bGUtc2hvcnQiOiJIZWFkIE5lY2sgUGF0aG9sLiIsIkRPSSI6IjEwLjEwMDcvczEyMTA1LTAyMy0wMTYwMC03IiwiVVJMIjoiaHR0cHM6Ly9kb2kub3JnLzEwLjEwMDcvczEyMTA1LTAyMy0wMTYwMC03IiwiaXNzdWVkIjp7ImRhdGUtcGFydHMiOltbMjAyM11dfSwicGFnZSI6Ijk2MS05NjgiLCJpc3N1ZSI6IjQiLCJ2b2x1bWUiOiIxNyJ9LCJpc1RlbXBvcmFyeSI6ZmFsc2UsInN1cHByZXNzLWF1dGhvciI6ZmFsc2UsImNvbXBvc2l0ZSI6ZmFsc2UsImF1dGhvci1vbmx5IjpmYWxzZX0seyJpZCI6IjVmYzhjYTg5LTM0ZmQtM2U2Zi04ZDE1LTkyMDc1NDJkYmI1ZCIsIml0ZW1EYXRhIjp7InR5cGUiOiJhcnRpY2xlLWpvdXJuYWwiLCJpZCI6IjVmYzhjYTg5LTM0ZmQtM2U2Zi04ZDE1LTkyMDc1NDJkYmI1ZCIsInRpdGxlIjoiQSBub3ZlbCBzYWxpdmEtYmFzZWQgbWlSTkEgcHJvZmlsZSB0byBkaWFnbm9zZSBhbmQgcHJlZGljdCBvcmFsIGNhbmNlciIsImF1dGhvciI6W3siZmFtaWx5IjoiQmFsYWtpdHRuZW4iLCJnaXZlbiI6IkoiLCJwYXJzZS1uYW1lcyI6ZmFsc2UsImRyb3BwaW5nLXBhcnRpY2xlIjoiIiwibm9uLWRyb3BwaW5nLXBhcnRpY2xlIjoiIn0seyJmYW1pbHkiOiJFa2FuYXlha2UgV2VlcmFtYW5nZSIsImdpdmVuIjoiQyIsInBhcnNlLW5hbWVzIjpmYWxzZSwiZHJvcHBpbmctcGFydGljbGUiOiIiLCJub24tZHJvcHBpbmctcGFydGljbGUiOiIifSx7ImZhbWlseSI6IldhbGxhY2UiLCJnaXZlbiI6IkQgRiIsInBhcnNlLW5hbWVzIjpmYWxzZSwiZHJvcHBpbmctcGFydGljbGUiOiIiLCJub24tZHJvcHBpbmctcGFydGljbGUiOiIifSx7ImZhbWlseSI6IkR1aWpmIiwiZ2l2ZW4iOiJQIEggRyIsInBhcnNlLW5hbWVzIjpmYWxzZSwiZHJvcHBpbmctcGFydGljbGUiOiIiLCJub24tZHJvcHBpbmctcGFydGljbGUiOiIifSx7ImZhbWlseSI6IkNyaXN0aW5vIiwiZ2l2ZW4iOiJBIFMiLCJwYXJzZS1uYW1lcyI6ZmFsc2UsImRyb3BwaW5nLXBhcnRpY2xlIjoiIiwibm9uLWRyb3BwaW5nLXBhcnRpY2xlIjoiIn0seyJmYW1pbHkiOiJIYXJ0ZWwiLCJnaXZlbiI6IkciLCJwYXJzZS1uYW1lcyI6ZmFsc2UsImRyb3BwaW5nLXBhcnRpY2xlIjoiIiwibm9uLWRyb3BwaW5nLXBhcnRpY2xlIjoiIn0seyJmYW1pbHkiOiJCYXJyZXJvIiwiZ2l2ZW4iOiJSIEEiLCJwYXJzZS1uYW1lcyI6ZmFsc2UsImRyb3BwaW5nLXBhcnRpY2xlIjoiIiwibm9uLWRyb3BwaW5nLXBhcnRpY2xlIjoiIn0seyJmYW1pbHkiOiJUYWhlcmkiLCJnaXZlbiI6IlQiLCJwYXJzZS1uYW1lcyI6ZmFsc2UsImRyb3BwaW5nLXBhcnRpY2xlIjoiIiwibm9uLWRyb3BwaW5nLXBhcnRpY2xlIjoiIn0seyJmYW1pbHkiOiJLZW5ueSIsImdpdmVuIjoiTCIsInBhcnNlLW5hbWVzIjpmYWxzZSwiZHJvcHBpbmctcGFydGljbGUiOiIiLCJub24tZHJvcHBpbmctcGFydGljbGUiOiIifSx7ImZhbWlseSI6IlZhc2FuaSIsImdpdmVuIjoiUyIsInBhcnNlLW5hbWVzIjpmYWxzZSwiZHJvcHBpbmctcGFydGljbGUiOiIiLCJub24tZHJvcHBpbmctcGFydGljbGUiOiIifSx7ImZhbWlseSI6IkJhdHN0b25lIiwiZ2l2ZW4iOiJNIiwicGFyc2UtbmFtZXMiOmZhbHNlLCJkcm9wcGluZy1wYXJ0aWNsZSI6IiIsIm5vbi1kcm9wcGluZy1wYXJ0aWNsZSI6IiJ9LHsiZmFtaWx5IjoiQnJlaWsiLCJnaXZlbiI6Ik8iLCJwYXJzZS1uYW1lcyI6ZmFsc2UsImRyb3BwaW5nLXBhcnRpY2xlIjoiIiwibm9uLWRyb3BwaW5nLXBhcnRpY2xlIjoiIn0seyJmYW1pbHkiOiJQdW55YWRlZXJhIiwiZ2l2ZW4iOiJDIiwicGFyc2UtbmFtZXMiOmZhbHNlLCJkcm9wcGluZy1wYXJ0aWNsZSI6IiIsIm5vbi1kcm9wcGluZy1wYXJ0aWNsZSI6IiJ9XSwiY29udGFpbmVyLXRpdGxlIjoiSW50ZXJuYXRpb25hbCBKb3VybmFsIG9mIE9yYWwgU2NpZW5jZSIsImNvbnRhaW5lci10aXRsZS1zaG9ydCI6IkludC4gSi4gT3JhbCBTY2kuIiwiRE9JIjoiMTAuMTAzOC9zNDEzNjgtMDIzLTAwMjczLXciLCJVUkwiOiJodHRwczovL2RvaS5vcmcvMTAuMTAzOC9zNDEzNjgtMDIzLTAwMjczLXciLCJpc3N1ZWQiOnsiZGF0ZS1wYXJ0cyI6W1syMDI0XV19LCJwYWdlIjoiMTQiLCJ2b2x1bWUiOiIxNiJ9LCJpc1RlbXBvcmFy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eb0b6ce8-e8aa-4cf2-942c-64bd84e8aae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WIwYjZjZTgtZThhYS00Y2YyLTk0MmMtNjRiZDg0ZThhYWVk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56922ab-9375-488f-a2b6-f310ca125799&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TU2OTIyYWItOTM3NS00ODhmLWEyYjYtZjMxMGNhMTI1Nzk5IiwicHJvcGVydGllcyI6eyJub3RlSW5kZXgiOjB9LCJpc0VkaXRlZCI6ZmFsc2UsIm1hbnVhbE92ZXJyaWRlIjp7ImlzTWFudWFsbHlPdmVycmlkZGVuIjpmYWxzZSwiY2l0ZXByb2NUZXh0IjoiPHN1cD45PC9zdXA+IiwibWFudWFsT3ZlcnJpZGVUZXh0IjoiIn0sImNpdGF0aW9uSXRlbXMiOlt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c776de70-32e7-4296-8234-373ba38446b6&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zc3NmRlNzAtMzJlNy00Mjk2LTgyMzQtMzczYmEzODQ0NmI2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9651f402-a570-424f-ba30-92d2cf7c4b8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Y1MWY0MDItYTU3MC00MjRmLWJhMzAtOTJkMmNmN2M0Yjg2IiwicHJvcGVydGllcyI6eyJub3RlSW5kZXgiOjB9LCJpc0VkaXRlZCI6ZmFsc2UsIm1hbnVhbE92ZXJyaWRlIjp7ImlzTWFudWFsbHlPdmVycmlkZGVuIjpmYWxzZSwiY2l0ZXByb2NUZXh0IjoiPHN1cD4xMzwvc3VwPiIsIm1hbnVhbE92ZXJyaWRlVGV4dCI6IiJ9LCJjaXRhdGlvbkl0ZW1zIjpbeyJpZCI6ImUxZDU1ZTQzLWYzNWItMzM3OS04N2NmLThkMjM5MTkyYzk0YiIsIml0ZW1EYXRhIjp7InR5cGUiOiJhcnRpY2xlLWpvdXJuYWwiLCJpZCI6ImUxZDU1ZTQzLWYzNWItMzM3OS04N2NmLThkMjM5MTkyYzk0YiIsInRpdGxlIjoiU2FsaXZhcnkgZXhvc29tYWwgbWlSTkEtMTMwNy01cCBwcmVkaWN0cyBkaXNlYXNlIGFnZ3Jlc3NpdmVuZXNzIGFuZCBwb29yIHByb2dub3NpcyBpbiBvcmFsIHNxdWFtb3VzIGNlbGwgY2FyY2lub21hIHBhdGllbnRzIiwiYXV0aG9yIjpbeyJmYW1pbHkiOiJQYXRlbCIsImdpdmVuIjoiQSIsInBhcnNlLW5hbWVzIjpmYWxzZSwiZHJvcHBpbmctcGFydGljbGUiOiIiLCJub24tZHJvcHBpbmctcGFydGljbGUiOiIifSx7ImZhbWlseSI6IlBhdGVsIiwiZ2l2ZW4iOiJTIiwicGFyc2UtbmFtZXMiOmZhbHNlLCJkcm9wcGluZy1wYXJ0aWNsZSI6IiIsIm5vbi1kcm9wcGluZy1wYXJ0aWNsZSI6IiJ9LHsiZmFtaWx5IjoiUGF0ZWwiLCJnaXZlbiI6IlAiLCJwYXJzZS1uYW1lcyI6ZmFsc2UsImRyb3BwaW5nLXBhcnRpY2xlIjoiIiwibm9uLWRyb3BwaW5nLXBhcnRpY2xlIjoiIn0seyJmYW1pbHkiOiJNYW5kbGlrIiwiZ2l2ZW4iOiJEIiwicGFyc2UtbmFtZXMiOmZhbHNlLCJkcm9wcGluZy1wYXJ0aWNsZSI6IiIsIm5vbi1kcm9wcGluZy1wYXJ0aWNsZSI6IiJ9LHsiZmFtaWx5IjoiUGF0ZWwiLCJnaXZlbiI6IksiLCJwYXJzZS1uYW1lcyI6ZmFsc2UsImRyb3BwaW5nLXBhcnRpY2xlIjoiIiwibm9uLWRyb3BwaW5nLXBhcnRpY2xlIjoiIn0seyJmYW1pbHkiOiJUYW5hdmRlIiwiZ2l2ZW4iOiJWIiwicGFyc2UtbmFtZXMiOmZhbHNlLCJkcm9wcGluZy1wYXJ0aWNsZSI6IiIsIm5vbi1kcm9wcGluZy1wYXJ0aWNsZSI6IiJ9XSwiY29udGFpbmVyLXRpdGxlIjoiSW50ZXJuYXRpb25hbCBKb3VybmFsIG9mIE1vbGVjdWxhciBTY2llbmNlcyIsImNvbnRhaW5lci10aXRsZS1zaG9ydCI6IkludC4gSi4gTW9sLiBTY2kuIiwiRE9JIjoiMTAuMzM5MC9pam1zMjMxODEwNjM5IiwiVVJMIjoiaHR0cHM6Ly9kb2kub3JnLzEwLjMzOTAvaWptczIzMTgxMDYzOSIsImlzc3VlZCI6eyJkYXRlLXBhcnRzIjpbWzIwMjJdXX0sInBhZ2UiOiIxMDYzOSIsImlzc3VlIjoiMTgiLCJ2b2x1bWUiOiIyMyJ9LCJpc1RlbXBvcmFyeSI6ZmFsc2UsInN1cHByZXNzLWF1dGhvciI6ZmFsc2UsImNvbXBvc2l0ZSI6ZmFsc2UsImF1dGhvci1vbmx5IjpmYWxzZX1dfQ==&quot;,&quot;citationItems&quot;:[{&quot;id&quot;:&quot;e1d55e43-f35b-3379-87cf-8d239192c94b&quot;,&quot;itemData&quot;:{&quot;type&quot;:&quot;article-journal&quot;,&quot;id&quot;:&quot;e1d55e43-f35b-3379-87cf-8d239192c94b&quot;,&quot;title&quot;:&quot;Salivary exosomal miRNA-1307-5p predicts disease aggressiveness and poor prognosis in oral squamous cell carcinoma patients&quot;,&quot;author&quot;:[{&quot;family&quot;:&quot;Patel&quot;,&quot;given&quot;:&quot;A&quot;,&quot;parse-names&quot;:false,&quot;dropping-particle&quot;:&quot;&quot;,&quot;non-dropping-particle&quot;:&quot;&quot;},{&quot;family&quot;:&quot;Patel&quot;,&quot;given&quot;:&quot;S&quot;,&quot;parse-names&quot;:false,&quot;dropping-particle&quot;:&quot;&quot;,&quot;non-dropping-particle&quot;:&quot;&quot;},{&quot;family&quot;:&quot;Patel&quot;,&quot;given&quot;:&quot;P&quot;,&quot;parse-names&quot;:false,&quot;dropping-particle&quot;:&quot;&quot;,&quot;non-dropping-particle&quot;:&quot;&quot;},{&quot;family&quot;:&quot;Mandlik&quot;,&quot;given&quot;:&quot;D&quot;,&quot;parse-names&quot;:false,&quot;dropping-particle&quot;:&quot;&quot;,&quot;non-dropping-particle&quot;:&quot;&quot;},{&quot;family&quot;:&quot;Patel&quot;,&quot;given&quot;:&quot;K&quot;,&quot;parse-names&quot;:false,&quot;dropping-particle&quot;:&quot;&quot;,&quot;non-dropping-particle&quot;:&quot;&quot;},{&quot;family&quot;:&quot;Tanavde&quot;,&quot;given&quot;:&quot;V&quot;,&quot;parse-names&quot;:false,&quot;dropping-particle&quot;:&quot;&quot;,&quot;non-dropping-particle&quot;:&quot;&quot;}],&quot;container-title&quot;:&quot;International Journal of Molecular Sciences&quot;,&quot;container-title-short&quot;:&quot;Int. J. Mol. Sci.&quot;,&quot;DOI&quot;:&quot;10.3390/ijms231810639&quot;,&quot;URL&quot;:&quot;https://doi.org/10.3390/ijms231810639&quot;,&quot;issued&quot;:{&quot;date-parts&quot;:[[2022]]},&quot;page&quot;:&quot;10639&quot;,&quot;issue&quot;:&quot;18&quot;,&quot;volume&quot;:&quot;23&quot;},&quot;isTemporary&quot;:false,&quot;suppress-author&quot;:false,&quot;composite&quot;:false,&quot;author-only&quot;:false}]},{&quot;citationID&quot;:&quot;MENDELEY_CITATION_b9237d8e-6bdf-442e-a1bb-4080babe9fd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yMzdkOGUtNmJkZi00NDJlLWExYmItNDA4MGJhYmU5ZmRm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e8b8ebf4-bdd4-4659-aa22-610a92d528d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hiOGViZjQtYmRkNC00NjU5LWFhMjItNjEwYTkyZDUyOGR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96b07744-e571-44c3-a412-4a88373ff9d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ZiMDc3NDQtZTU3MS00NGMzLWE0MTItNGE4ODM3M2ZmOWRm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fbb5daaa-91a4-4571-b954-3d21732206a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JiNWRhYWEtOTFhNC00NTcxLWI5NTQtM2QyMTczMjIwNmFk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c1d5c2b3-ae6d-4507-87d1-ca87e30b90d8&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zFkNWMyYjMtYWU2ZC00NTA3LTg3ZDEtY2E4N2UzMGI5MGQ4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0c50997a-d463-4012-bfeb-ccb027994cc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GM1MDk5N2EtZDQ2My00MDEyLWJmZWItY2NiMDI3OTk0Y2M4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4afbc529-0574-49af-8a28-3a1f051b4f16&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GFmYmM1MjktMDU3NC00OWFmLThhMjgtM2ExZjA1MWI0ZjE2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ea37ca2a-34bb-4659-96f9-5384f92d1e0e&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ZWEzN2NhMmEtMzRiYi00NjU5LTk2ZjktNTM4NGY5MmQxZTBl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3e485a0d-4585-404f-a384-1fe2d695de7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2U0ODVhMGQtNDU4NS00MDRmLWEzODQtMWZlMmQ2OTVkZTc3IiwicHJvcGVydGllcyI6eyJub3RlSW5kZXgiOjB9LCJpc0VkaXRlZCI6ZmFsc2UsIm1hbnVhbE92ZXJyaWRlIjp7ImlzTWFudWFsbHlPdmVycmlkZGVuIjpmYWxzZSwiY2l0ZXByb2NUZXh0IjoiPHN1cD4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XX0=&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citationID&quot;:&quot;MENDELEY_CITATION_0e62fc7a-559e-4f63-a4ef-9b77a101f38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GU2MmZjN2EtNTU5ZS00ZjYzLWE0ZWYtOWI3N2ExMDFmMzhiIiwicHJvcGVydGllcyI6eyJub3RlSW5kZXgiOjB9LCJpc0VkaXRlZCI6ZmFsc2UsIm1hbnVhbE92ZXJyaWRlIjp7ImlzTWFudWFsbHlPdmVycmlkZGVuIjpmYWxzZSwiY2l0ZXByb2NUZXh0IjoiPHN1cD44PC9zdXA+IiwibWFudWFsT3ZlcnJpZGVUZXh0IjoiIn0sImNpdGF0aW9uSXRlbXMiOlt7ImlkIjoiNzgxYTBjNWQtZmNkMi0zZmJmLWI5MmYtOTAyMWY4NTBmOGEzIiwiaXRlbURhdGEiOnsidHlwZSI6ImFydGljbGUtam91cm5hbCIsImlkIjoiNzgxYTBjNWQtZmNkMi0zZmJmLWI5MmYtOTAyMWY4NTBmOGEzIiwidGl0bGUiOiJTYWxpdmFyeSBtaVItMzBjLTVwIGFzIHBvdGVudGlhbCBiaW9tYXJrZXIgZm9yIGRldGVjdGlvbiBvZiBvcmFsIHNxdWFtb3VzIGNlbGwgY2FyY2lub21hIiwiYXV0aG9yIjpbeyJmYW1pbHkiOiJNZWh0ZXJvdiIsImdpdmVuIjoiTiIsInBhcnNlLW5hbWVzIjpmYWxzZSwiZHJvcHBpbmctcGFydGljbGUiOiIiLCJub24tZHJvcHBpbmctcGFydGljbGUiOiIifSx7ImZhbWlseSI6IlZsYWRpbWlyb3YiLCJnaXZlbiI6IkIiLCJwYXJzZS1uYW1lcyI6ZmFsc2UsImRyb3BwaW5nLXBhcnRpY2xlIjoiIiwibm9uLWRyb3BwaW5nLXBhcnRpY2xlIjoiIn0seyJmYW1pbHkiOiJTYWNjb25pIiwiZ2l2ZW4iOiJBIiwicGFyc2UtbmFtZXMiOmZhbHNlLCJkcm9wcGluZy1wYXJ0aWNsZSI6IiIsIm5vbi1kcm9wcGluZy1wYXJ0aWNsZSI6IiJ9LHsiZmFtaWx5IjoiUHVsaXRvIiwiZ2l2ZW4iOiJDIiwicGFyc2UtbmFtZXMiOmZhbHNlLCJkcm9wcGluZy1wYXJ0aWNsZSI6IiIsIm5vbi1kcm9wcGluZy1wYXJ0aWNsZSI6IiJ9LHsiZmFtaWx5IjoiUnVjaW5za2kiLCJnaXZlbiI6Ik0iLCJwYXJzZS1uYW1lcyI6ZmFsc2UsImRyb3BwaW5nLXBhcnRpY2xlIjoiIiwibm9uLWRyb3BwaW5nLXBhcnRpY2xlIjoiIn0seyJmYW1pbHkiOiJCbGFuZGlubyIsImdpdmVuIjoiRyIsInBhcnNlLW5hbWVzIjpmYWxzZSwiZHJvcHBpbmctcGFydGljbGUiOiIiLCJub24tZHJvcHBpbmctcGFydGljbGUiOiIifSx7ImZhbWlseSI6IlNhcmFmaWFuIiwiZ2l2ZW4iOiJWIiwicGFyc2UtbmFtZXMiOmZhbHNlLCJkcm9wcGluZy1wYXJ0aWNsZSI6IiIsIm5vbi1kcm9wcGluZy1wYXJ0aWNsZSI6IiJ9XSwiY29udGFpbmVyLXRpdGxlIjoiQmlvbWVkaWNpbmVzIiwiY29udGFpbmVyLXRpdGxlLXNob3J0IjoiQmlvbWVkaWNpbmVzIiwiRE9JIjoiMTAuMzM5MC9iaW9tZWRpY2luZXM5MDkxMDc5IiwiVVJMIjoiaHR0cHM6Ly9kb2kub3JnLzEwLjMzOTAvYmlvbWVkaWNpbmVzOTA5MTA3OSIsImlzc3VlZCI6eyJkYXRlLXBhcnRzIjpbWzIwMjFdXX0sInBhZ2UiOiIxMDc5IiwiaXNzdWUiOiI5Iiwidm9sdW1lIjoiOSJ9LCJpc1RlbXBvcmFyeSI6ZmFsc2UsInN1cHByZXNzLWF1dGhvciI6ZmFsc2UsImNvbXBvc2l0ZSI6ZmFsc2UsImF1dGhvci1vbmx5IjpmYWxzZX1dfQ==&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citationID&quot;:&quot;MENDELEY_CITATION_f54c32d8-ce48-4c9e-9047-bd03db0b61ed&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jU0YzMyZDgtY2U0OC00YzllLTkwNDctYmQwM2RiMGI2MWVkIiwicHJvcGVydGllcyI6eyJub3RlSW5kZXgiOjB9LCJpc0VkaXRlZCI6ZmFsc2UsIm1hbnVhbE92ZXJyaWRlIjp7ImlzTWFudWFsbHlPdmVycmlkZGVuIjpmYWxzZSwiY2l0ZXByb2NUZXh0IjoiPHN1cD4xNDwvc3VwPiIsIm1hbnVhbE92ZXJyaWRlVGV4dCI6IiJ9LCJjaXRhdGlvbkl0ZW1zIjpbeyJpZCI6IjVhZjdkNDcxLWE3MTQtM2ViMi1iYTY5LWYxM2IzZTM4OTI5YyIsIml0ZW1EYXRhIjp7InR5cGUiOiJhcnRpY2xlLWpvdXJuYWwiLCJpZCI6IjVhZjdkNDcxLWE3MTQtM2ViMi1iYTY5LWYxM2IzZTM4OTI5YyIsInRpdGxlIjoiU2FsaXZhcnkgbWlSLTMxLTVwLCBtaVItMzQ1LTNwLCBhbmQgbWlSLTQyNC0zcCBhcmUgcmVsaWFibGUgYmlvbWFya2VycyBpbiBwYXRpZW50cyB3aXRoIG9yYWwgc3F1YW1vdXMgY2VsbCBjYXJjaW5vbWEiLCJhdXRob3IiOlt7ImZhbWlseSI6IlNjaG9sdHoiLCJnaXZlbiI6IkIiLCJwYXJzZS1uYW1lcyI6ZmFsc2UsImRyb3BwaW5nLXBhcnRpY2xlIjoiIiwibm9uLWRyb3BwaW5nLXBhcnRpY2xlIjoiIn0seyJmYW1pbHkiOiJIb3J2w6F0aCIsImdpdmVuIjoiSiIsInBhcnNlLW5hbWVzIjpmYWxzZSwiZHJvcHBpbmctcGFydGljbGUiOiIiLCJub24tZHJvcHBpbmctcGFydGljbGUiOiIifSx7ImZhbWlseSI6IlRhciIsImdpdmVuIjoiSSIsInBhcnNlLW5hbWVzIjpmYWxzZSwiZHJvcHBpbmctcGFydGljbGUiOiIiLCJub24tZHJvcHBpbmctcGFydGljbGUiOiIifSx7ImZhbWlseSI6Iktpc3MiLCJnaXZlbiI6IkMiLCJwYXJzZS1uYW1lcyI6ZmFsc2UsImRyb3BwaW5nLXBhcnRpY2xlIjoiIiwibm9uLWRyb3BwaW5nLXBhcnRpY2xlIjoiIn0seyJmYW1pbHkiOiJNw6FydG9uIiwiZ2l2ZW4iOiJJIEoiLCJwYXJzZS1uYW1lcyI6ZmFsc2UsImRyb3BwaW5nLXBhcnRpY2xlIjoiIiwibm9uLWRyb3BwaW5nLXBhcnRpY2xlIjoiIn1dLCJjb250YWluZXItdGl0bGUiOiJQYXRob2dlbnMiLCJET0kiOiIxMC4zMzkwL3BhdGhvZ2VuczExMDIwMjI5IiwiVVJMIjoiaHR0cHM6Ly9kb2kub3JnLzEwLjMzOTAvcGF0aG9nZW5zMTEwMjAyMjkiLCJpc3N1ZWQiOnsiZGF0ZS1wYXJ0cyI6W1syMDIyXV19LCJwYWdlIjoiMjI5IiwiaXNzdWUiOiIyIiwidm9sdW1lIjoiMTEiLCJjb250YWluZXItdGl0bGUtc2hvcnQiOiIifSwiaXNUZW1wb3JhcnkiOmZhbHNlLCJzdXBwcmVzcy1hdXRob3IiOmZhbHNlLCJjb21wb3NpdGUiOmZhbHNlLCJhdXRob3Itb25seSI6ZmFsc2V9XX0=&quot;,&quot;citationItems&quot;:[{&quot;id&quot;:&quot;5af7d471-a714-3eb2-ba69-f13b3e38929c&quot;,&quot;itemData&quot;:{&quot;type&quot;:&quot;article-journal&quot;,&quot;id&quot;:&quot;5af7d471-a714-3eb2-ba69-f13b3e38929c&quot;,&quot;title&quot;:&quot;Salivary miR-31-5p, miR-345-3p, and miR-424-3p are reliable biomarkers in patients with oral squamous cell carcinoma&quot;,&quot;author&quot;:[{&quot;family&quot;:&quot;Scholtz&quot;,&quot;given&quot;:&quot;B&quot;,&quot;parse-names&quot;:false,&quot;dropping-particle&quot;:&quot;&quot;,&quot;non-dropping-particle&quot;:&quot;&quot;},{&quot;family&quot;:&quot;Horváth&quot;,&quot;given&quot;:&quot;J&quot;,&quot;parse-names&quot;:false,&quot;dropping-particle&quot;:&quot;&quot;,&quot;non-dropping-particle&quot;:&quot;&quot;},{&quot;family&quot;:&quot;Tar&quot;,&quot;given&quot;:&quot;I&quot;,&quot;parse-names&quot;:false,&quot;dropping-particle&quot;:&quot;&quot;,&quot;non-dropping-particle&quot;:&quot;&quot;},{&quot;family&quot;:&quot;Kiss&quot;,&quot;given&quot;:&quot;C&quot;,&quot;parse-names&quot;:false,&quot;dropping-particle&quot;:&quot;&quot;,&quot;non-dropping-particle&quot;:&quot;&quot;},{&quot;family&quot;:&quot;Márton&quot;,&quot;given&quot;:&quot;I J&quot;,&quot;parse-names&quot;:false,&quot;dropping-particle&quot;:&quot;&quot;,&quot;non-dropping-particle&quot;:&quot;&quot;}],&quot;container-title&quot;:&quot;Pathogens&quot;,&quot;DOI&quot;:&quot;10.3390/pathogens11020229&quot;,&quot;URL&quot;:&quot;https://doi.org/10.3390/pathogens11020229&quot;,&quot;issued&quot;:{&quot;date-parts&quot;:[[2022]]},&quot;page&quot;:&quot;229&quot;,&quot;issue&quot;:&quot;2&quot;,&quot;volume&quot;:&quot;11&quot;,&quot;container-title-short&quot;:&quot;&quot;},&quot;isTemporary&quot;:false,&quot;suppress-author&quot;:false,&quot;composite&quot;:false,&quot;author-only&quot;:false}]},{&quot;citationID&quot;:&quot;MENDELEY_CITATION_8e176a07-beca-434d-bd28-0faf742cfe78&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OGUxNzZhMDctYmVjYS00MzRkLWJkMjgtMGZhZjc0MmNmZTc4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UsInN1cHByZXNzLWF1dGhvciI6ZmFsc2UsImNvbXBvc2l0ZSI6ZmFsc2UsImF1dGhvci1vbmx5IjpmYWxzZX1dfQ==&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suppress-author&quot;:false,&quot;composite&quot;:false,&quot;author-only&quot;:false}]},{&quot;citationID&quot;:&quot;MENDELEY_CITATION_31372a2a-a08b-4247-bbb2-19fbe04944d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EzNzJhMmEtYTA4Yi00MjQ3LWJiYjItMTlmYmUwNDk0NGQ2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X1dfQ==&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citationID&quot;:&quot;MENDELEY_CITATION_2e143078-ba76-4714-8d64-a67380e32a40&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mUxNDMwNzgtYmE3Ni00NzE0LThkNjQtYTY3MzgwZTMyYTQwIiwicHJvcGVydGllcyI6eyJub3RlSW5kZXgiOjB9LCJpc0VkaXRlZCI6ZmFsc2UsIm1hbnVhbE92ZXJyaWRlIjp7ImlzTWFudWFsbHlPdmVycmlkZGVuIjpmYWxzZSwiY2l0ZXByb2NUZXh0IjoiPHN1cD4xNTwvc3VwPiIsIm1hbnVhbE92ZXJyaWRlVGV4dCI6IiJ9LCJjaXRhdGlvbkl0ZW1zIjpbeyJpZCI6ImZjOTFjZjE2LTQ2MGUtMzA1Yy04YmRjLThjNjA1OGVlMDlhZSIsIml0ZW1EYXRhIjp7InR5cGUiOiJhcnRpY2xlLWpvdXJuYWwiLCJpZCI6ImZjOTFjZjE2LTQ2MGUtMzA1Yy04YmRjLThjNjA1OGVlMDlhZSIsInRpdGxlIjoiVGhlIG9uY29nZW5pYyBwb3RlbnRpYWwgb2Ygc2FsaXZhcnkgbWljcm9STkEtOTMgYW5kIG1pY3JvUk5BLTQxMi0zcCBpbiBvcmFsIGxpY2hlbiBwbGFudXM6IEEgY2FzZS1jb250cm9sIHN0dWR5IiwiYXV0aG9yIjpbeyJmYW1pbHkiOiJFTEhlZm55IiwiZ2l2ZW4iOiJNIE0iLCJwYXJzZS1uYW1lcyI6ZmFsc2UsImRyb3BwaW5nLXBhcnRpY2xlIjoiIiwibm9uLWRyb3BwaW5nLXBhcnRpY2xlIjoiIn0seyJmYW1pbHkiOiJLb3JpZW4iLCJnaXZlbiI6IkkgQSIsInBhcnNlLW5hbWVzIjpmYWxzZSwiZHJvcHBpbmctcGFydGljbGUiOiIiLCJub24tZHJvcHBpbmctcGFydGljbGUiOiIifSx7ImZhbWlseSI6IlJhc2h3YW4iLCJnaXZlbiI6IlcgQSBNIiwicGFyc2UtbmFtZXMiOmZhbHNlLCJkcm9wcGluZy1wYXJ0aWNsZSI6IiIsIm5vbi1kcm9wcGluZy1wYXJ0aWNsZSI6IiJ9LHsiZmFtaWx5IjoiU2hha2VyIiwiZ2l2ZW4iOiJPIEciLCJwYXJzZS1uYW1lcyI6ZmFsc2UsImRyb3BwaW5nLXBhcnRpY2xlIjoiIiwibm9uLWRyb3BwaW5nLXBhcnRpY2xlIjoiIn1dLCJjb250YWluZXItdGl0bGUiOiJCREogT3BlbiIsImNvbnRhaW5lci10aXRsZS1zaG9ydCI6IkJESiBPcGVuIiwiRE9JIjoiMTAuMTAzOC9zNDE0MDUtMDI0LTAwMjc4LTUiLCJVUkwiOiJodHRwczovL2RvaS5vcmcvMTAuMTAzOC9zNDE0MDUtMDI0LTAwMjc4LTUiLCJpc3N1ZWQiOnsiZGF0ZS1wYXJ0cyI6W1syMDI0XV19LCJwYWdlIjoiOTgiLCJ2b2x1bWUiOiIxMCJ9LCJpc1RlbXBvcmFyeSI6ZmFsc2UsInN1cHByZXNzLWF1dGhvciI6ZmFsc2UsImNvbXBvc2l0ZSI6ZmFsc2UsImF1dGhvci1vbmx5IjpmYWxzZX1dfQ==&quot;,&quot;citationItems&quot;:[{&quot;id&quot;:&quot;fc91cf16-460e-305c-8bdc-8c6058ee09ae&quot;,&quot;itemData&quot;:{&quot;type&quot;:&quot;article-journal&quot;,&quot;id&quot;:&quot;fc91cf16-460e-305c-8bdc-8c6058ee09ae&quot;,&quot;title&quot;:&quot;The oncogenic potential of salivary microRNA-93 and microRNA-412-3p in oral lichen planus: A case-control study&quot;,&quot;author&quot;:[{&quot;family&quot;:&quot;ELHefny&quot;,&quot;given&quot;:&quot;M M&quot;,&quot;parse-names&quot;:false,&quot;dropping-particle&quot;:&quot;&quot;,&quot;non-dropping-particle&quot;:&quot;&quot;},{&quot;family&quot;:&quot;Korien&quot;,&quot;given&quot;:&quot;I A&quot;,&quot;parse-names&quot;:false,&quot;dropping-particle&quot;:&quot;&quot;,&quot;non-dropping-particle&quot;:&quot;&quot;},{&quot;family&quot;:&quot;Rashwan&quot;,&quot;given&quot;:&quot;W A M&quot;,&quot;parse-names&quot;:false,&quot;dropping-particle&quot;:&quot;&quot;,&quot;non-dropping-particle&quot;:&quot;&quot;},{&quot;family&quot;:&quot;Shaker&quot;,&quot;given&quot;:&quot;O G&quot;,&quot;parse-names&quot;:false,&quot;dropping-particle&quot;:&quot;&quot;,&quot;non-dropping-particle&quot;:&quot;&quot;}],&quot;container-title&quot;:&quot;BDJ Open&quot;,&quot;container-title-short&quot;:&quot;BDJ Open&quot;,&quot;DOI&quot;:&quot;10.1038/s41405-024-00278-5&quot;,&quot;URL&quot;:&quot;https://doi.org/10.1038/s41405-024-00278-5&quot;,&quot;issued&quot;:{&quot;date-parts&quot;:[[2024]]},&quot;page&quot;:&quot;98&quot;,&quot;volume&quot;:&quot;10&quot;},&quot;isTemporary&quot;:false,&quot;suppress-author&quot;:false,&quot;composite&quot;:false,&quot;author-only&quot;:false}]},{&quot;citationID&quot;:&quot;MENDELEY_CITATION_928f057e-0d46-4341-98d1-65f79af8572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I4ZjA1N2UtMGQ0Ni00MzQxLTk4ZDEtNjVmNzlhZjg1NzJl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6680b51f-3e0d-4cb1-967e-3daa5609179a&quot;,&quot;properties&quot;:{&quot;noteIndex&quot;:0},&quot;isEdited&quot;:false,&quot;manualOverride&quot;:{&quot;isManuallyOverridden&quot;:false,&quot;citeprocText&quot;:&quot;&lt;sup&gt;10,12&lt;/sup&gt;&quot;,&quot;manualOverrideText&quot;:&quot;&quot;},&quot;citationTag&quot;:&quot;MENDELEY_CITATION_v3_eyJjaXRhdGlvbklEIjoiTUVOREVMRVlfQ0lUQVRJT05fNjY4MGI1MWYtM2UwZC00Y2IxLTk2N2UtM2RhYTU2MDkxNzlhIiwicHJvcGVydGllcyI6eyJub3RlSW5kZXgiOjB9LCJpc0VkaXRlZCI6ZmFsc2UsIm1hbnVhbE92ZXJyaWRlIjp7ImlzTWFudWFsbHlPdmVycmlkZGVuIjpmYWxzZSwiY2l0ZXByb2NUZXh0IjoiPHN1cD4xMCwxMjwvc3VwPiIsIm1hbnVhbE92ZXJyaWRlVGV4dCI6IiJ9LCJjaXRhdGlvbkl0ZW1zIjpbeyJpZCI6IjY5NmI2MThmLTgwNGQtMzFmNS05MTU1LWI4ZmJhNDRiZjcyZSIsIml0ZW1EYXRhIjp7InR5cGUiOiJhcnRpY2xlLWpvdXJuYWwiLCJpZCI6IjY5NmI2MThmLTgwNGQtMzFmNS05MTU1LWI4ZmJhNDRiZjcyZSIsInRpdGxlIjoiUHJlZGljdGluZyB0aGUgcHJlc2VuY2Ugb2Ygb3JhbCBzcXVhbW91cyBjZWxsIGNhcmNpbm9tYSB1c2luZyBjb21tb25seSBkeXNyZWd1bGF0ZWQgbWljcm9STkEgaW4gb3JhbCBzd2lybHMiLCJhdXRob3IiOlt7ImZhbWlseSI6IllhcCIsImdpdmVuIjoiVCIsInBhcnNlLW5hbWVzIjpmYWxzZSwiZHJvcHBpbmctcGFydGljbGUiOiIiLCJub24tZHJvcHBpbmctcGFydGljbGUiOiIifSx7ImZhbWlseSI6IktvbyIsImdpdmVuIjoiSyIsInBhcnNlLW5hbWVzIjpmYWxzZSwiZHJvcHBpbmctcGFydGljbGUiOiIiLCJub24tZHJvcHBpbmctcGFydGljbGUiOiIifSx7ImZhbWlseSI6IkNoZW5nIiwiZ2l2ZW4iOiJMIiwicGFyc2UtbmFtZXMiOmZhbHNlLCJkcm9wcGluZy1wYXJ0aWNsZSI6IiIsIm5vbi1kcm9wcGluZy1wYXJ0aWNsZSI6IiJ9LHsiZmFtaWx5IjoiVmVsbGEiLCJnaXZlbiI6IkwgSiIsInBhcnNlLW5hbWVzIjpmYWxzZSwiZHJvcHBpbmctcGFydGljbGUiOiIiLCJub24tZHJvcHBpbmctcGFydGljbGUiOiIifSx7ImZhbWlseSI6IkhpbGwiLCJnaXZlbiI6IkEgRiIsInBhcnNlLW5hbWVzIjpmYWxzZSwiZHJvcHBpbmctcGFydGljbGUiOiIiLCJub24tZHJvcHBpbmctcGFydGljbGUiOiIifSx7ImZhbWlseSI6IlJleW5vbGRzIiwiZ2l2ZW4iOiJFIiwicGFyc2UtbmFtZXMiOmZhbHNlLCJkcm9wcGluZy1wYXJ0aWNsZSI6IiIsIm5vbi1kcm9wcGluZy1wYXJ0aWNsZSI6IiJ9LHsiZmFtaWx5IjoiTmFzdHJpIiwiZ2l2ZW4iOiJBIiwicGFyc2UtbmFtZXMiOmZhbHNlLCJkcm9wcGluZy1wYXJ0aWNsZSI6IiIsIm5vbi1kcm9wcGluZy1wYXJ0aWNsZSI6IiJ9LHsiZmFtaWx5IjoiQ2lyaWxsbyIsImdpdmVuIjoiTiIsInBhcnNlLW5hbWVzIjpmYWxzZSwiZHJvcHBpbmctcGFydGljbGUiOiIiLCJub24tZHJvcHBpbmctcGFydGljbGUiOiIifSx7ImZhbWlseSI6IlNlZXJzIiwiZ2l2ZW4iOiJDIiwicGFyc2UtbmFtZXMiOmZhbHNlLCJkcm9wcGluZy1wYXJ0aWNsZSI6IiIsIm5vbi1kcm9wcGluZy1wYXJ0aWNsZSI6IiJ9LHsiZmFtaWx5IjoiTWNDdWxsb3VnaCIsImdpdmVuIjoiTSIsInBhcnNlLW5hbWVzIjpmYWxzZSwiZHJvcHBpbmctcGFydGljbGUiOiIiLCJub24tZHJvcHBpbmctcGFydGljbGUiOiIifV0sImNvbnRhaW5lci10aXRsZSI6IkNhbmNlciBQcmV2ZW50aW9uIFJlc2VhcmNoIiwiRE9JIjoiMTAuMTE1OC8xOTQwLTYyMDcuQ0FQUi0xNy0wNDA5IiwiVVJMIjoiaHR0cHM6Ly9kb2kub3JnLzEwLjExNTgvMTk0MC02MjA3LkNBUFItMTctMDQwOSIsImlzc3VlZCI6eyJkYXRlLXBhcnRzIjpbWzIwMThdXX0sInBhZ2UiOiI0OTEtNTAyIiwiaXNzdWUiOiI4Iiwidm9sdW1lIjoiMTEiLCJjb250YWluZXItdGl0bGUtc2hvcnQiOiIifSwiaXNUZW1wb3JhcnkiOmZhbHNlLCJzdXBwcmVzcy1hdXRob3IiOmZhbHNlLCJjb21wb3NpdGUiOmZhbHNlLCJhdXRob3Itb25seSI6ZmFsc2V9LHsiaWQiOiIwMTVhYzUxZS04YzE2LTM4MjYtOWMwMy0zOWJkMjQyMWU1NWYiLCJpdGVtRGF0YSI6eyJ0eXBlIjoiYXJ0aWNsZS1qb3VybmFsIiwiaWQiOiIwMTVhYzUxZS04YzE2LTM4MjYtOWMwMy0zOWJkMjQyMWU1NWYiLCJ0aXRsZSI6IlNhbGl2YXJ5IExJTkMwMDY1NyBhbmQgbWlSTkEtMTA2YSBhcyBkaWFnbm9zdGljIGJpb21hcmtlcnMgZm9yIG9yYWwgc3F1YW1vdXMgY2VsbCBjYXJjaW5vbWE6IEFuIG9ic2VydmF0aW9uYWwgZGlhZ25vc3RpYyBzdHVkeSIsImF1dGhvciI6W3siZmFtaWx5IjoiVGFycmFkIiwiZ2l2ZW4iOiJOIEEgRiIsInBhcnNlLW5hbWVzIjpmYWxzZSwiZHJvcHBpbmctcGFydGljbGUiOiIiLCJub24tZHJvcHBpbmctcGFydGljbGUiOiIifSx7ImZhbWlseSI6Ikhhc3NhbiIsImdpdmVuIjoiUyIsInBhcnNlLW5hbWVzIjpmYWxzZSwiZHJvcHBpbmctcGFydGljbGUiOiIiLCJub24tZHJvcHBpbmctcGFydGljbGUiOiIifSx7ImZhbWlseSI6IlNoYWtlciIsImdpdmVuIjoiTyBHIiwicGFyc2UtbmFtZXMiOmZhbHNlLCJkcm9wcGluZy1wYXJ0aWNsZSI6IiIsIm5vbi1kcm9wcGluZy1wYXJ0aWNsZSI6IiJ9LHsiZmFtaWx5IjoiQWJkZWxLYXd5IiwiZ2l2ZW4iOiJNIiwicGFyc2UtbmFtZXMiOmZhbHNlLCJkcm9wcGluZy1wYXJ0aWNsZSI6IiIsIm5vbi1kcm9wcGluZy1wYXJ0aWNsZSI6IiJ9XSwiY29udGFpbmVyLXRpdGxlIjoiQk1DIE9yYWwgSGVhbHRoIiwiY29udGFpbmVyLXRpdGxlLXNob3J0IjoiQk1DIE9yYWwgSGVhbHRoIiwiRE9JIjoiMTAuMTE4Ni9zMTI5MDMtMDIzLTAzNzI2LTAiLCJVUkwiOiJodHRwczovL2RvaS5vcmcvMTAuMTE4Ni9zMTI5MDMtMDIzLTAzNzI2LTAiLCJpc3N1ZWQiOnsiZGF0ZS1wYXJ0cyI6W1syMDIzXV19LCJwYWdlIjoiOTk0Iiwidm9sdW1lIjoiMjMifSwiaXNUZW1wb3JhcnkiOmZhbHNlfV19&quot;,&quot;citationItems&quot;:[{&quot;id&quot;:&quot;696b618f-804d-31f5-9155-b8fba44bf72e&quot;,&quot;itemData&quot;:{&quot;type&quot;:&quot;article-journal&quot;,&quot;id&quot;:&quot;696b618f-804d-31f5-9155-b8fba44bf72e&quot;,&quot;title&quot;:&quot;Predicting the presence of oral squamous cell carcinoma using commonly dysregulated microRNA in oral swirls&quot;,&quot;author&quot;:[{&quot;family&quot;:&quot;Yap&quot;,&quot;given&quot;:&quot;T&quot;,&quot;parse-names&quot;:false,&quot;dropping-particle&quot;:&quot;&quot;,&quot;non-dropping-particle&quot;:&quot;&quot;},{&quot;family&quot;:&quot;Koo&quot;,&quot;given&quot;:&quot;K&quot;,&quot;parse-names&quot;:false,&quot;dropping-particle&quot;:&quot;&quot;,&quot;non-dropping-particle&quot;:&quot;&quot;},{&quot;family&quot;:&quot;Cheng&quot;,&quot;given&quot;:&quot;L&quot;,&quot;parse-names&quot;:false,&quot;dropping-particle&quot;:&quot;&quot;,&quot;non-dropping-particle&quot;:&quot;&quot;},{&quot;family&quot;:&quot;Vella&quot;,&quot;given&quot;:&quot;L J&quot;,&quot;parse-names&quot;:false,&quot;dropping-particle&quot;:&quot;&quot;,&quot;non-dropping-particle&quot;:&quot;&quot;},{&quot;family&quot;:&quot;Hill&quot;,&quot;given&quot;:&quot;A F&quot;,&quot;parse-names&quot;:false,&quot;dropping-particle&quot;:&quot;&quot;,&quot;non-dropping-particle&quot;:&quot;&quot;},{&quot;family&quot;:&quot;Reynolds&quot;,&quot;given&quot;:&quot;E&quot;,&quot;parse-names&quot;:false,&quot;dropping-particle&quot;:&quot;&quot;,&quot;non-dropping-particle&quot;:&quot;&quot;},{&quot;family&quot;:&quot;Nastri&quot;,&quot;given&quot;:&quot;A&quot;,&quot;parse-names&quot;:false,&quot;dropping-particle&quot;:&quot;&quot;,&quot;non-dropping-particle&quot;:&quot;&quot;},{&quot;family&quot;:&quot;Cirillo&quot;,&quot;given&quot;:&quot;N&quot;,&quot;parse-names&quot;:false,&quot;dropping-particle&quot;:&quot;&quot;,&quot;non-dropping-particle&quot;:&quot;&quot;},{&quot;family&quot;:&quot;Seers&quot;,&quot;given&quot;:&quot;C&quot;,&quot;parse-names&quot;:false,&quot;dropping-particle&quot;:&quot;&quot;,&quot;non-dropping-particle&quot;:&quot;&quot;},{&quot;family&quot;:&quot;McCullough&quot;,&quot;given&quot;:&quot;M&quot;,&quot;parse-names&quot;:false,&quot;dropping-particle&quot;:&quot;&quot;,&quot;non-dropping-particle&quot;:&quot;&quot;}],&quot;container-title&quot;:&quot;Cancer Prevention Research&quot;,&quot;DOI&quot;:&quot;10.1158/1940-6207.CAPR-17-0409&quot;,&quot;URL&quot;:&quot;https://doi.org/10.1158/1940-6207.CAPR-17-0409&quot;,&quot;issued&quot;:{&quot;date-parts&quot;:[[2018]]},&quot;page&quot;:&quot;491-502&quot;,&quot;issue&quot;:&quot;8&quot;,&quot;volume&quot;:&quot;11&quot;,&quot;container-title-short&quot;:&quot;&quot;},&quot;isTemporary&quot;:false,&quot;suppress-author&quot;:false,&quot;composite&quot;:false,&quot;author-only&quot;:false},{&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1f2dd69b-861f-4f7a-9f83-18ab3eea7a5f&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WYyZGQ2OWItODYxZi00ZjdhLTlmODMtMThhYjNlZWE3YTVmIiwicHJvcGVydGllcyI6eyJub3RlSW5kZXgiOjB9LCJpc0VkaXRlZCI6ZmFsc2UsIm1hbnVhbE92ZXJyaWRlIjp7ImlzTWFudWFsbHlPdmVycmlkZGVuIjpmYWxzZSwiY2l0ZXByb2NUZXh0IjoiPHN1cD4xNjwvc3VwPiIsIm1hbnVhbE92ZXJyaWRlVGV4dCI6IiJ9LCJjaXRhdGlvbkl0ZW1zIjpbeyJpZCI6ImIwOWQ2ZTFlLWEwMDUtMzA3Yy05NDNiLWE3YjY5MTYyMTE2NiIsIml0ZW1EYXRhIjp7InR5cGUiOiJhcnRpY2xlLWpvdXJuYWwiLCJpZCI6ImIwOWQ2ZTFlLWEwMDUtMzA3Yy05NDNiLWE3YjY5MTYyMTE2NiIsInRpdGxlIjoiSWRlbnRpZmljYXRpb24gb2YgYSBub3ZlbCBzYWxpdmFyeSBmb3VyLW1pUk5BIHNpZ25hdHVyZSBmb3Igbm9uLWludmFzaXZlIGRpYWdub3NpcyBvZiBvcmFsIHNxdWFtb3VzIGNlbGwgY2FyY2lub21hIiwiYXV0aG9yIjpbeyJmYW1pbHkiOiJDaXJpbmdpb25lIiwiZ2l2ZW4iOiJBIiwicGFyc2UtbmFtZXMiOmZhbHNlLCJkcm9wcGluZy1wYXJ0aWNsZSI6IiIsIm5vbi1kcm9wcGluZy1wYXJ0aWNsZSI6IiJ9LHsiZmFtaWx5IjoiTGlsbG9uaSIsImdpdmVuIjoiRyIsInBhcnNlLW5hbWVzIjpmYWxzZSwiZHJvcHBpbmctcGFydGljbGUiOiIiLCJub24tZHJvcHBpbmctcGFydGljbGUiOiIifSx7ImZhbWlseSI6Ik1vcm9uIERhbGxhIFRvciIsImdpdmVuIjoiTCIsInBhcnNlLW5hbWVzIjpmYWxzZSwiZHJvcHBpbmctcGFydGljbGUiOiIiLCJub24tZHJvcHBpbmctcGFydGljbGUiOiIifSx7ImZhbWlseSI6IlBlcmxhbmdlbGkiLCJnaXZlbiI6IkciLCJwYXJzZS1uYW1lcyI6ZmFsc2UsImRyb3BwaW5nLXBhcnRpY2xlIjoiIiwibm9uLWRyb3BwaW5nLXBhcnRpY2xlIjoiIn0seyJmYW1pbHkiOiJSaXp6aSIsImdpdmVuIjoiRiIsInBhcnNlLW5hbWVzIjpmYWxzZSwiZHJvcHBpbmctcGFydGljbGUiOiIiLCJub24tZHJvcHBpbmctcGFydGljbGUiOiIifSx7ImZhbWlseSI6IlBvbGkiLCJnaXZlbiI6IlQiLCJwYXJzZS1uYW1lcyI6ZmFsc2UsImRyb3BwaW5nLXBhcnRpY2xlIjoiIiwibm9uLWRyb3BwaW5nLXBhcnRpY2xlIjoiIn1dLCJjb250YWluZXItdGl0bGUiOiJJbnRlcm5hdGlvbmFsIEpvdXJuYWwgb2YgTW9sZWN1bGFyIFNjaWVuY2VzIiwiY29udGFpbmVyLXRpdGxlLXNob3J0IjoiSW50LiBKLiBNb2wuIFNjaS4iLCJET0kiOiIxMC4zMzkwL2lqbXMyNjIzMTEzNzMiLCJVUkwiOiJodHRwczovL2RvaS5vcmcvMTAuMzM5MC9pam1zMjYyMzExMzczIiwiaXNzdWVkIjp7ImRhdGUtcGFydHMiOltbMjAyNV1dfSwicGFnZSI6IjExMzczIiwiaXNzdWUiOiIyMyIsInZvbHVtZSI6IjI2In0sImlzVGVtcG9yYXJ5IjpmYWxzZSwic3VwcHJlc3MtYXV0aG9yIjpmYWxzZSwiY29tcG9zaXRlIjpmYWxzZSwiYXV0aG9yLW9ubHkiOmZhbHNlfV19&quot;,&quot;citationItems&quot;:[{&quot;id&quot;:&quot;b09d6e1e-a005-307c-943b-a7b691621166&quot;,&quot;itemData&quot;:{&quot;type&quot;:&quot;article-journal&quot;,&quot;id&quot;:&quot;b09d6e1e-a005-307c-943b-a7b691621166&quot;,&quot;title&quot;:&quot;Identification of a novel salivary four-miRNA signature for non-invasive diagnosis of oral squamous cell carcinoma&quot;,&quot;author&quot;:[{&quot;family&quot;:&quot;Ciringione&quot;,&quot;given&quot;:&quot;A&quot;,&quot;parse-names&quot;:false,&quot;dropping-particle&quot;:&quot;&quot;,&quot;non-dropping-particle&quot;:&quot;&quot;},{&quot;family&quot;:&quot;Lilloni&quot;,&quot;given&quot;:&quot;G&quot;,&quot;parse-names&quot;:false,&quot;dropping-particle&quot;:&quot;&quot;,&quot;non-dropping-particle&quot;:&quot;&quot;},{&quot;family&quot;:&quot;Moron Dalla Tor&quot;,&quot;given&quot;:&quot;L&quot;,&quot;parse-names&quot;:false,&quot;dropping-particle&quot;:&quot;&quot;,&quot;non-dropping-particle&quot;:&quot;&quot;},{&quot;family&quot;:&quot;Perlangeli&quot;,&quot;given&quot;:&quot;G&quot;,&quot;parse-names&quot;:false,&quot;dropping-particle&quot;:&quot;&quot;,&quot;non-dropping-particle&quot;:&quot;&quot;},{&quot;family&quot;:&quot;Rizzi&quot;,&quot;given&quot;:&quot;F&quot;,&quot;parse-names&quot;:false,&quot;dropping-particle&quot;:&quot;&quot;,&quot;non-dropping-particle&quot;:&quot;&quot;},{&quot;family&quot;:&quot;Poli&quot;,&quot;given&quot;:&quot;T&quot;,&quot;parse-names&quot;:false,&quot;dropping-particle&quot;:&quot;&quot;,&quot;non-dropping-particle&quot;:&quot;&quot;}],&quot;container-title&quot;:&quot;International Journal of Molecular Sciences&quot;,&quot;container-title-short&quot;:&quot;Int. J. Mol. Sci.&quot;,&quot;DOI&quot;:&quot;10.3390/ijms262311373&quot;,&quot;URL&quot;:&quot;https://doi.org/10.3390/ijms262311373&quot;,&quot;issued&quot;:{&quot;date-parts&quot;:[[2025]]},&quot;page&quot;:&quot;11373&quot;,&quot;issue&quot;:&quot;23&quot;,&quot;volume&quot;:&quot;26&quot;},&quot;isTemporary&quot;:false,&quot;suppress-author&quot;:false,&quot;composite&quot;:false,&quot;author-only&quot;:false}]},{&quot;citationID&quot;:&quot;MENDELEY_CITATION_0bc19a90-8725-4baf-bf38-734215a89a6c&quot;,&quot;properties&quot;:{&quot;noteIndex&quot;:0},&quot;isEdited&quot;:false,&quot;manualOverride&quot;:{&quot;isManuallyOverridden&quot;:false,&quot;citeprocText&quot;:&quot;&lt;sup&gt;7,17&lt;/sup&gt;&quot;,&quot;manualOverrideText&quot;:&quot;&quot;},&quot;citationTag&quot;:&quot;MENDELEY_CITATION_v3_eyJjaXRhdGlvbklEIjoiTUVOREVMRVlfQ0lUQVRJT05fMGJjMTlhOTAtODcyNS00YmFmLWJmMzgtNzM0MjE1YTg5YTZjIiwicHJvcGVydGllcyI6eyJub3RlSW5kZXgiOjB9LCJpc0VkaXRlZCI6ZmFsc2UsIm1hbnVhbE92ZXJyaWRlIjp7ImlzTWFudWFsbHlPdmVycmlkZGVuIjpmYWxzZSwiY2l0ZXByb2NUZXh0IjoiPHN1cD43LDE3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LCJzdXBwcmVzcy1hdXRob3IiOmZhbHNlLCJjb21wb3NpdGUiOmZhbHNlLCJhdXRob3Itb25seSI6ZmFsc2V9LHsiaWQiOiIzZTFiZTNkMS0yYTI5LTM1MmMtODMyZi1hMmZlNzc0OWQzZGQiLCJpdGVtRGF0YSI6eyJ0eXBlIjoiYXJ0aWNsZS1qb3VybmFsIiwiaWQiOiIzZTFiZTNkMS0yYTI5LTM1MmMtODMyZi1hMmZlNzc0OWQzZGQiLCJ0aXRsZSI6IlNhbGl2YXJ5IGJpb21hcmtlcnMgZm9yIGVhcmx5IGRldGVjdGlvbiBvZiBvcmFsIHNxdWFtb3VzIGNlbGwgY2FyY2lub21hIGFuZCBoZWFkIGFuZCBuZWNrIHNxdWFtb3VzIGNlbGwgY2FyY2lub21hOiBBIHN5c3RlbWF0aWMgcmV2aWV3IGFuZCBuZXR3b3JrIG1ldGEtYW5hbHlzaXMiLCJhdXRob3IiOlt7ImZhbWlseSI6IktoaWptYXRnYXIiLCJnaXZlbiI6IlMiLCJwYXJzZS1uYW1lcyI6ZmFsc2UsImRyb3BwaW5nLXBhcnRpY2xlIjoiIiwibm9uLWRyb3BwaW5nLXBhcnRpY2xlIjoiIn0seyJmYW1pbHkiOiJZb25nIiwiZ2l2ZW4iOiJKIiwicGFyc2UtbmFtZXMiOmZhbHNlLCJkcm9wcGluZy1wYXJ0aWNsZSI6IiIsIm5vbi1kcm9wcGluZy1wYXJ0aWNsZSI6IiJ9LHsiZmFtaWx5IjoiUsO8YnNhbWVuIiwiZ2l2ZW4iOiJOIiwicGFyc2UtbmFtZXMiOmZhbHNlLCJkcm9wcGluZy1wYXJ0aWNsZSI6IiIsIm5vbi1kcm9wcGluZy1wYXJ0aWNsZSI6IiJ9LHsiZmFtaWx5IjoiTG9ydXNzbyIsImdpdmVuIjoiRiIsInBhcnNlLW5hbWVzIjpmYWxzZSwiZHJvcHBpbmctcGFydGljbGUiOiIiLCJub24tZHJvcHBpbmctcGFydGljbGUiOiIifSx7ImZhbWlseSI6IlJhaSIsImdpdmVuIjoiUCIsInBhcnNlLW5hbWVzIjpmYWxzZSwiZHJvcHBpbmctcGFydGljbGUiOiIiLCJub24tZHJvcHBpbmctcGFydGljbGUiOiIifSx7ImZhbWlseSI6IkNlbnphdG8iLCJnaXZlbiI6Ik4iLCJwYXJzZS1uYW1lcyI6ZmFsc2UsImRyb3BwaW5nLXBhcnRpY2xlIjoiIiwibm9uLWRyb3BwaW5nLXBhcnRpY2xlIjoiIn0seyJmYW1pbHkiOiJHYWZmdXJpIiwiZ2l2ZW4iOiJGIiwicGFyc2UtbmFtZXMiOmZhbHNlLCJkcm9wcGluZy1wYXJ0aWNsZSI6IiIsIm5vbi1kcm9wcGluZy1wYXJ0aWNsZSI6IiJ9LHsiZmFtaWx5IjoiRmFiYnJvIiwiZ2l2ZW4iOiJNIiwicGFyc2UtbmFtZXMiOmZhbHNlLCJkcm9wcGluZy1wYXJ0aWNsZSI6IiIsIm5vbi1kcm9wcGluZy1wYXJ0aWNsZSI6IkRlbCJ9LHsiZmFtaWx5IjoiVGFydGFnbGlhIiwiZ2l2ZW4iOiJHIE0iLCJwYXJzZS1uYW1lcyI6ZmFsc2UsImRyb3BwaW5nLXBhcnRpY2xlIjoiIiwibm9uLWRyb3BwaW5nLXBhcnRpY2xlIjoiIn1dLCJjb250YWluZXItdGl0bGUiOiJKYXBhbmVzZSBEZW50YWwgU2NpZW5jZSBSZXZpZXciLCJET0kiOiIxMC4xMDE2L2ouamRzci4yMDIzLjEwLjAwMyIsIlVSTCI6Imh0dHBzOi8vZG9pLm9yZy8xMC4xMDE2L2ouamRzci4yMDIzLjEwLjAwMyIsImlzc3VlZCI6eyJkYXRlLXBhcnRzIjpbWzIwMjRdXX0sInBhZ2UiOiIzMi0zOSIsInZvbHVtZSI6IjYwIiwiY29udGFpbmVyLXRpdGxlLXNob3J0IjoiIn0sImlzVGVtcG9yYXJ5IjpmYWxzZX1dfQ==&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suppress-author&quot;:false,&quot;composite&quot;:false,&quot;author-only&quot;:false},{&quot;id&quot;:&quot;3e1be3d1-2a29-352c-832f-a2fe7749d3dd&quot;,&quot;itemData&quot;:{&quot;type&quot;:&quot;article-journal&quot;,&quot;id&quot;:&quot;3e1be3d1-2a29-352c-832f-a2fe7749d3dd&quot;,&quot;title&quot;:&quot;Salivary biomarkers for early detection of oral squamous cell carcinoma and head and neck squamous cell carcinoma: A systematic review and network meta-analysis&quot;,&quot;author&quot;:[{&quot;family&quot;:&quot;Khijmatgar&quot;,&quot;given&quot;:&quot;S&quot;,&quot;parse-names&quot;:false,&quot;dropping-particle&quot;:&quot;&quot;,&quot;non-dropping-particle&quot;:&quot;&quot;},{&quot;family&quot;:&quot;Yong&quot;,&quot;given&quot;:&quot;J&quot;,&quot;parse-names&quot;:false,&quot;dropping-particle&quot;:&quot;&quot;,&quot;non-dropping-particle&quot;:&quot;&quot;},{&quot;family&quot;:&quot;Rübsamen&quot;,&quot;given&quot;:&quot;N&quot;,&quot;parse-names&quot;:false,&quot;dropping-particle&quot;:&quot;&quot;,&quot;non-dropping-particle&quot;:&quot;&quot;},{&quot;family&quot;:&quot;Lorusso&quot;,&quot;given&quot;:&quot;F&quot;,&quot;parse-names&quot;:false,&quot;dropping-particle&quot;:&quot;&quot;,&quot;non-dropping-particle&quot;:&quot;&quot;},{&quot;family&quot;:&quot;Rai&quot;,&quot;given&quot;:&quot;P&quot;,&quot;parse-names&quot;:false,&quot;dropping-particle&quot;:&quot;&quot;,&quot;non-dropping-particle&quot;:&quot;&quot;},{&quot;family&quot;:&quot;Cenzato&quot;,&quot;given&quot;:&quot;N&quot;,&quot;parse-names&quot;:false,&quot;dropping-particle&quot;:&quot;&quot;,&quot;non-dropping-particle&quot;:&quot;&quot;},{&quot;family&quot;:&quot;Gaffuri&quot;,&quot;given&quot;:&quot;F&quot;,&quot;parse-names&quot;:false,&quot;dropping-particle&quot;:&quot;&quot;,&quot;non-dropping-particle&quot;:&quot;&quot;},{&quot;family&quot;:&quot;Fabbro&quot;,&quot;given&quot;:&quot;M&quot;,&quot;parse-names&quot;:false,&quot;dropping-particle&quot;:&quot;&quot;,&quot;non-dropping-particle&quot;:&quot;Del&quot;},{&quot;family&quot;:&quot;Tartaglia&quot;,&quot;given&quot;:&quot;G M&quot;,&quot;parse-names&quot;:false,&quot;dropping-particle&quot;:&quot;&quot;,&quot;non-dropping-particle&quot;:&quot;&quot;}],&quot;container-title&quot;:&quot;Japanese Dental Science Review&quot;,&quot;DOI&quot;:&quot;10.1016/j.jdsr.2023.10.003&quot;,&quot;URL&quot;:&quot;https://doi.org/10.1016/j.jdsr.2023.10.003&quot;,&quot;issued&quot;:{&quot;date-parts&quot;:[[2024]]},&quot;page&quot;:&quot;32-39&quot;,&quot;volume&quot;:&quot;60&quot;,&quot;container-title-short&quot;:&quot;&quot;},&quot;isTemporary&quot;:false}]},{&quot;citationID&quot;:&quot;MENDELEY_CITATION_f06dcb21-89a0-4f8d-ae33-c6e2f1fd0981&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jA2ZGNiMjEtODlhMC00ZjhkLWFlMzMtYzZlMmYxZmQwOTgx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e47253da-3d35-4e95-be13-906ea4fe191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Q3MjUzZGEtM2QzNS00ZTk1LWJlMTMtOTA2ZWE0ZmUxOTFlIiwicHJvcGVydGllcyI6eyJub3RlSW5kZXgiOjB9LCJpc0VkaXRlZCI6ZmFsc2UsIm1hbnVhbE92ZXJyaWRlIjp7ImlzTWFudWFsbHlPdmVycmlkZGVuIjpmYWxzZSwiY2l0ZXByb2NUZXh0IjoiPHN1cD4zPC9zdXA+IiwibWFudWFsT3ZlcnJpZGVUZXh0IjoiIn0sImNpdGF0aW9uSXRlbXMiOlt7ImlkIjoiNWZjOGNhODktMzRmZC0zZTZmLThkMTUtOTIwNzU0MmRiYjVkIiwiaXRlbURhdGEiOnsidHlwZSI6ImFydGljbGUtam91cm5hbCIsImlkIjoiNWZjOGNhODktMzRmZC0zZTZmLThkMTUtOTIwNzU0MmRiYjVkIiwidGl0bGUiOiJBIG5vdmVsIHNhbGl2YS1iYXNlZCBtaVJOQSBwcm9maWxlIHRvIGRpYWdub3NlIGFuZCBwcmVkaWN0IG9yYWwgY2FuY2VyIiwiYXV0aG9yIjpbeyJmYW1pbHkiOiJCYWxha2l0dG5lbiIsImdpdmVuIjoiSiIsInBhcnNlLW5hbWVzIjpmYWxzZSwiZHJvcHBpbmctcGFydGljbGUiOiIiLCJub24tZHJvcHBpbmctcGFydGljbGUiOiIifSx7ImZhbWlseSI6IkVrYW5heWFrZSBXZWVyYW1hbmdlIiwiZ2l2ZW4iOiJDIiwicGFyc2UtbmFtZXMiOmZhbHNlLCJkcm9wcGluZy1wYXJ0aWNsZSI6IiIsIm5vbi1kcm9wcGluZy1wYXJ0aWNsZSI6IiJ9LHsiZmFtaWx5IjoiV2FsbGFjZSIsImdpdmVuIjoiRCBGIiwicGFyc2UtbmFtZXMiOmZhbHNlLCJkcm9wcGluZy1wYXJ0aWNsZSI6IiIsIm5vbi1kcm9wcGluZy1wYXJ0aWNsZSI6IiJ9LHsiZmFtaWx5IjoiRHVpamYiLCJnaXZlbiI6IlAgSCBHIiwicGFyc2UtbmFtZXMiOmZhbHNlLCJkcm9wcGluZy1wYXJ0aWNsZSI6IiIsIm5vbi1kcm9wcGluZy1wYXJ0aWNsZSI6IiJ9LHsiZmFtaWx5IjoiQ3Jpc3Rpbm8iLCJnaXZlbiI6IkEgUyIsInBhcnNlLW5hbWVzIjpmYWxzZSwiZHJvcHBpbmctcGFydGljbGUiOiIiLCJub24tZHJvcHBpbmctcGFydGljbGUiOiIifSx7ImZhbWlseSI6IkhhcnRlbCIsImdpdmVuIjoiRyIsInBhcnNlLW5hbWVzIjpmYWxzZSwiZHJvcHBpbmctcGFydGljbGUiOiIiLCJub24tZHJvcHBpbmctcGFydGljbGUiOiIifSx7ImZhbWlseSI6IkJhcnJlcm8iLCJnaXZlbiI6IlIgQSIsInBhcnNlLW5hbWVzIjpmYWxzZSwiZHJvcHBpbmctcGFydGljbGUiOiIiLCJub24tZHJvcHBpbmctcGFydGljbGUiOiIifSx7ImZhbWlseSI6IlRhaGVyaSIsImdpdmVuIjoiVCIsInBhcnNlLW5hbWVzIjpmYWxzZSwiZHJvcHBpbmctcGFydGljbGUiOiIiLCJub24tZHJvcHBpbmctcGFydGljbGUiOiIifSx7ImZhbWlseSI6Iktlbm55IiwiZ2l2ZW4iOiJMIiwicGFyc2UtbmFtZXMiOmZhbHNlLCJkcm9wcGluZy1wYXJ0aWNsZSI6IiIsIm5vbi1kcm9wcGluZy1wYXJ0aWNsZSI6IiJ9LHsiZmFtaWx5IjoiVmFzYW5pIiwiZ2l2ZW4iOiJTIiwicGFyc2UtbmFtZXMiOmZhbHNlLCJkcm9wcGluZy1wYXJ0aWNsZSI6IiIsIm5vbi1kcm9wcGluZy1wYXJ0aWNsZSI6IiJ9LHsiZmFtaWx5IjoiQmF0c3RvbmUiLCJnaXZlbiI6Ik0iLCJwYXJzZS1uYW1lcyI6ZmFsc2UsImRyb3BwaW5nLXBhcnRpY2xlIjoiIiwibm9uLWRyb3BwaW5nLXBhcnRpY2xlIjoiIn0seyJmYW1pbHkiOiJCcmVpayIsImdpdmVuIjoiTyIsInBhcnNlLW5hbWVzIjpmYWxzZSwiZHJvcHBpbmctcGFydGljbGUiOiIiLCJub24tZHJvcHBpbmctcGFydGljbGUiOiIifSx7ImZhbWlseSI6IlB1bnlhZGVlcmEiLCJnaXZlbiI6IkMiLCJwYXJzZS1uYW1lcyI6ZmFsc2UsImRyb3BwaW5nLXBhcnRpY2xlIjoiIiwibm9uLWRyb3BwaW5nLXBhcnRpY2xlIjoiIn1dLCJjb250YWluZXItdGl0bGUiOiJJbnRlcm5hdGlvbmFsIEpvdXJuYWwgb2YgT3JhbCBTY2llbmNlIiwiY29udGFpbmVyLXRpdGxlLXNob3J0IjoiSW50LiBKLiBPcmFsIFNjaS4iLCJET0kiOiIxMC4xMDM4L3M0MTM2OC0wMjMtMDAyNzMtdyIsIlVSTCI6Imh0dHBzOi8vZG9pLm9yZy8xMC4xMDM4L3M0MTM2OC0wMjMtMDAyNzMtdyIsImlzc3VlZCI6eyJkYXRlLXBhcnRzIjpbWzIwMjRdXX0sInBhZ2UiOiIxNCIsInZvbHVtZSI6IjE2In0sImlzVGVtcG9yYXJ5IjpmYWxzZSwic3VwcHJlc3MtYXV0aG9yIjpmYWxzZSwiY29tcG9zaXRlIjpmYWxzZSwiYXV0aG9yLW9ubHkiOmZhbHNlfV19&quot;,&quot;citationItems&quot;:[{&quot;id&quot;:&quot;5fc8ca89-34fd-3e6f-8d15-9207542dbb5d&quot;,&quot;itemData&quot;:{&quot;type&quot;:&quot;article-journal&quot;,&quot;id&quot;:&quot;5fc8ca89-34fd-3e6f-8d15-9207542dbb5d&quot;,&quot;title&quot;:&quot;A novel saliva-based miRNA profile to diagnose and predict oral cancer&quot;,&quot;author&quot;:[{&quot;family&quot;:&quot;Balakittnen&quot;,&quot;given&quot;:&quot;J&quot;,&quot;parse-names&quot;:false,&quot;dropping-particle&quot;:&quot;&quot;,&quot;non-dropping-particle&quot;:&quot;&quot;},{&quot;family&quot;:&quot;Ekanayake Weeramange&quot;,&quot;given&quot;:&quot;C&quot;,&quot;parse-names&quot;:false,&quot;dropping-particle&quot;:&quot;&quot;,&quot;non-dropping-particle&quot;:&quot;&quot;},{&quot;family&quot;:&quot;Wallace&quot;,&quot;given&quot;:&quot;D F&quot;,&quot;parse-names&quot;:false,&quot;dropping-particle&quot;:&quot;&quot;,&quot;non-dropping-particle&quot;:&quot;&quot;},{&quot;family&quot;:&quot;Duijf&quot;,&quot;given&quot;:&quot;P H G&quot;,&quot;parse-names&quot;:false,&quot;dropping-particle&quot;:&quot;&quot;,&quot;non-dropping-particle&quot;:&quot;&quot;},{&quot;family&quot;:&quot;Cristino&quot;,&quot;given&quot;:&quot;A S&quot;,&quot;parse-names&quot;:false,&quot;dropping-particle&quot;:&quot;&quot;,&quot;non-dropping-particle&quot;:&quot;&quot;},{&quot;family&quot;:&quot;Hartel&quot;,&quot;given&quot;:&quot;G&quot;,&quot;parse-names&quot;:false,&quot;dropping-particle&quot;:&quot;&quot;,&quot;non-dropping-particle&quot;:&quot;&quot;},{&quot;family&quot;:&quot;Barrero&quot;,&quot;given&quot;:&quot;R A&quot;,&quot;parse-names&quot;:false,&quot;dropping-particle&quot;:&quot;&quot;,&quot;non-dropping-particle&quot;:&quot;&quot;},{&quot;family&quot;:&quot;Taheri&quot;,&quot;given&quot;:&quot;T&quot;,&quot;parse-names&quot;:false,&quot;dropping-particle&quot;:&quot;&quot;,&quot;non-dropping-particle&quot;:&quot;&quot;},{&quot;family&quot;:&quot;Kenny&quot;,&quot;given&quot;:&quot;L&quot;,&quot;parse-names&quot;:false,&quot;dropping-particle&quot;:&quot;&quot;,&quot;non-dropping-particle&quot;:&quot;&quot;},{&quot;family&quot;:&quot;Vasani&quot;,&quot;given&quot;:&quot;S&quot;,&quot;parse-names&quot;:false,&quot;dropping-particle&quot;:&quot;&quot;,&quot;non-dropping-particle&quot;:&quot;&quot;},{&quot;family&quot;:&quot;Batstone&quot;,&quot;given&quot;:&quot;M&quot;,&quot;parse-names&quot;:false,&quot;dropping-particle&quot;:&quot;&quot;,&quot;non-dropping-particle&quot;:&quot;&quot;},{&quot;family&quot;:&quot;Breik&quot;,&quot;given&quot;:&quot;O&quot;,&quot;parse-names&quot;:false,&quot;dropping-particle&quot;:&quot;&quot;,&quot;non-dropping-particle&quot;:&quot;&quot;},{&quot;family&quot;:&quot;Punyadeera&quot;,&quot;given&quot;:&quot;C&quot;,&quot;parse-names&quot;:false,&quot;dropping-particle&quot;:&quot;&quot;,&quot;non-dropping-particle&quot;:&quot;&quot;}],&quot;container-title&quot;:&quot;International Journal of Oral Science&quot;,&quot;container-title-short&quot;:&quot;Int. J. Oral Sci.&quot;,&quot;DOI&quot;:&quot;10.1038/s41368-023-00273-w&quot;,&quot;URL&quot;:&quot;https://doi.org/10.1038/s41368-023-00273-w&quot;,&quot;issued&quot;:{&quot;date-parts&quot;:[[2024]]},&quot;page&quot;:&quot;14&quot;,&quot;volume&quot;:&quot;16&quot;},&quot;isTemporary&quot;:false,&quot;suppress-author&quot;:false,&quot;composite&quot;:false,&quot;author-only&quot;:false}]},{&quot;citationID&quot;:&quot;MENDELEY_CITATION_e65b09d4-ca85-46dc-9c53-a68826b2085c&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Y1YjA5ZDQtY2E4NS00NmRjLTljNTMtYTY4ODI2YjIwODVjIiwicHJvcGVydGllcyI6eyJub3RlSW5kZXgiOjB9LCJpc0VkaXRlZCI6ZmFsc2UsIm1hbnVhbE92ZXJyaWRlIjp7ImlzTWFudWFsbHlPdmVycmlkZGVuIjpmYWxzZSwiY2l0ZXByb2NUZXh0IjoiPHN1cD4xMDwvc3VwPiIsIm1hbnVhbE92ZXJyaWRlVGV4dCI6IiJ9LCJjaXRhdGlvbkl0ZW1zIjpbeyJpZCI6IjAxNWFjNTFlLThjMTYtMzgyNi05YzAzLTM5YmQyNDIxZTU1ZiIsIml0ZW1EYXRhIjp7InR5cGUiOiJhcnRpY2xlLWpvdXJuYWwiLCJpZCI6IjAxNWFjNTFlLThjMTYtMzgyNi05YzAzLTM5YmQyNDIxZTU1ZiIsInRpdGxlIjoiU2FsaXZhcnkgTElOQzAwNjU3IGFuZCBtaVJOQS0xMDZhIGFzIGRpYWdub3N0aWMgYmlvbWFya2VycyBmb3Igb3JhbCBzcXVhbW91cyBjZWxsIGNhcmNpbm9tYTogQW4gb2JzZXJ2YXRpb25hbCBkaWFnbm9zdGljIHN0dWR5IiwiYXV0aG9yIjpbeyJmYW1pbHkiOiJUYXJyYWQiLCJnaXZlbiI6Ik4gQSBGIiwicGFyc2UtbmFtZXMiOmZhbHNlLCJkcm9wcGluZy1wYXJ0aWNsZSI6IiIsIm5vbi1kcm9wcGluZy1wYXJ0aWNsZSI6IiJ9LHsiZmFtaWx5IjoiSGFzc2FuIiwiZ2l2ZW4iOiJTIiwicGFyc2UtbmFtZXMiOmZhbHNlLCJkcm9wcGluZy1wYXJ0aWNsZSI6IiIsIm5vbi1kcm9wcGluZy1wYXJ0aWNsZSI6IiJ9LHsiZmFtaWx5IjoiU2hha2VyIiwiZ2l2ZW4iOiJPIEciLCJwYXJzZS1uYW1lcyI6ZmFsc2UsImRyb3BwaW5nLXBhcnRpY2xlIjoiIiwibm9uLWRyb3BwaW5nLXBhcnRpY2xlIjoiIn0seyJmYW1pbHkiOiJBYmRlbEthd3kiLCJnaXZlbiI6Ik0iLCJwYXJzZS1uYW1lcyI6ZmFsc2UsImRyb3BwaW5nLXBhcnRpY2xlIjoiIiwibm9uLWRyb3BwaW5nLXBhcnRpY2xlIjoiIn1dLCJjb250YWluZXItdGl0bGUiOiJCTUMgT3JhbCBIZWFsdGgiLCJjb250YWluZXItdGl0bGUtc2hvcnQiOiJCTUMgT3JhbCBIZWFsdGgiLCJET0kiOiIxMC4xMTg2L3MxMjkwMy0wMjMtMDM3MjYtMCIsIlVSTCI6Imh0dHBzOi8vZG9pLm9yZy8xMC4xMTg2L3MxMjkwMy0wMjMtMDM3MjYtMCIsImlzc3VlZCI6eyJkYXRlLXBhcnRzIjpbWzIwMjNdXX0sInBhZ2UiOiI5OTQiLCJ2b2x1bWUiOiIyMyJ9LCJpc1RlbXBvcmFyeSI6ZmFsc2V9XX0=&quot;,&quot;citationItems&quot;:[{&quot;id&quot;:&quot;015ac51e-8c16-3826-9c03-39bd2421e55f&quot;,&quot;itemData&quot;:{&quot;type&quot;:&quot;article-journal&quot;,&quot;id&quot;:&quot;015ac51e-8c16-3826-9c03-39bd2421e55f&quot;,&quot;title&quot;:&quot;Salivary LINC00657 and miRNA-106a as diagnostic biomarkers for oral squamous cell carcinoma: An observational diagnostic study&quot;,&quot;author&quot;:[{&quot;family&quot;:&quot;Tarrad&quot;,&quot;given&quot;:&quot;N A F&quot;,&quot;parse-names&quot;:false,&quot;dropping-particle&quot;:&quot;&quot;,&quot;non-dropping-particle&quot;:&quot;&quot;},{&quot;family&quot;:&quot;Hassan&quot;,&quot;given&quot;:&quot;S&quot;,&quot;parse-names&quot;:false,&quot;dropping-particle&quot;:&quot;&quot;,&quot;non-dropping-particle&quot;:&quot;&quot;},{&quot;family&quot;:&quot;Shaker&quot;,&quot;given&quot;:&quot;O G&quot;,&quot;parse-names&quot;:false,&quot;dropping-particle&quot;:&quot;&quot;,&quot;non-dropping-particle&quot;:&quot;&quot;},{&quot;family&quot;:&quot;AbdelKawy&quot;,&quot;given&quot;:&quot;M&quot;,&quot;parse-names&quot;:false,&quot;dropping-particle&quot;:&quot;&quot;,&quot;non-dropping-particle&quot;:&quot;&quot;}],&quot;container-title&quot;:&quot;BMC Oral Health&quot;,&quot;container-title-short&quot;:&quot;BMC Oral Health&quot;,&quot;DOI&quot;:&quot;10.1186/s12903-023-03726-0&quot;,&quot;URL&quot;:&quot;https://doi.org/10.1186/s12903-023-03726-0&quot;,&quot;issued&quot;:{&quot;date-parts&quot;:[[2023]]},&quot;page&quot;:&quot;994&quot;,&quot;volume&quot;:&quot;23&quot;},&quot;isTemporary&quot;:false}]},{&quot;citationID&quot;:&quot;MENDELEY_CITATION_cb0ca210-9925-4fa4-ad84-23fb461cbc9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IwY2EyMTAtOTkyNS00ZmE0LWFkODQtMjNmYjQ2MWNiYzllIiwicHJvcGVydGllcyI6eyJub3RlSW5kZXgiOjB9LCJpc0VkaXRlZCI6ZmFsc2UsIm1hbnVhbE92ZXJyaWRlIjp7ImlzTWFudWFsbHlPdmVycmlkZGVuIjpmYWxzZSwiY2l0ZXByb2NUZXh0IjoiPHN1cD4xMTwvc3VwPiIsIm1hbnVhbE92ZXJyaWRlVGV4dCI6IiJ9LCJjaXRhdGlvbkl0ZW1zIjpbeyJpZCI6IjI0MGQxYjA2LTA3OGYtM2M1MC04OTA4LTgyMzUyZDJmM2Y2NiIsIml0ZW1EYXRhIjp7InR5cGUiOiJhcnRpY2xlLWpvdXJuYWwiLCJpZCI6IjI0MGQxYjA2LTA3OGYtM2M1MC04OTA4LTgyMzUyZDJmM2Y2NiIsInRpdGxlIjoiRXZhbHVhdGlvbiBvZiBkaWFnbm9zdGljIHNpZ25pZmljYW5jZSBvZiBzYWxpdmFyeSBtaVJOQS0xODQgYW5kIG1pUk5BLTIxIGluIG9yYWwgc3F1YW1vdXMgY2VsbCBjYXJjaW5vbWEgYW5kIG9yYWwgcG90ZW50aWFsbHkgbWFsaWduYW50IGRpc29yZGVycyIsImF1dGhvciI6W3siZmFtaWx5IjoiR2FyZyIsImdpdmVuIjoiQSIsInBhcnNlLW5hbWVzIjpmYWxzZSwiZHJvcHBpbmctcGFydGljbGUiOiIiLCJub24tZHJvcHBpbmctcGFydGljbGUiOiIifSx7ImZhbWlseSI6IlVycyIsImdpdmVuIjoiQSBCIiwicGFyc2UtbmFtZXMiOmZhbHNlLCJkcm9wcGluZy1wYXJ0aWNsZSI6IiIsIm5vbi1kcm9wcGluZy1wYXJ0aWNsZSI6IiJ9LHsiZmFtaWx5IjoiS29uZXIiLCJnaXZlbiI6IkIgQyIsInBhcnNlLW5hbWVzIjpmYWxzZSwiZHJvcHBpbmctcGFydGljbGUiOiIiLCJub24tZHJvcHBpbmctcGFydGljbGUiOiIifSx7ImZhbWlseSI6IkF1Z3VzdGluZSIsImdpdmVuIjoiSiIsInBhcnNlLW5hbWVzIjpmYWxzZSwiZHJvcHBpbmctcGFydGljbGUiOiIiLCJub24tZHJvcHBpbmctcGFydGljbGUiOiIifSx7ImZhbWlseSI6Ikd1cnUiLCJnaXZlbiI6IlMgQSIsInBhcnNlLW5hbWVzIjpmYWxzZSwiZHJvcHBpbmctcGFydGljbGUiOiIiLCJub24tZHJvcHBpbmctcGFydGljbGUiOiIifV0sImNvbnRhaW5lci10aXRsZSI6IkhlYWQgYW5kIE5lY2sgUGF0aG9sb2d5IiwiY29udGFpbmVyLXRpdGxlLXNob3J0IjoiSGVhZCBOZWNrIFBhdGhvbC4iLCJET0kiOiIxMC4xMDA3L3MxMjEwNS0wMjMtMDE2MDAtNyIsIlVSTCI6Imh0dHBzOi8vZG9pLm9yZy8xMC4xMDA3L3MxMjEwNS0wMjMtMDE2MDAtNyIsImlzc3VlZCI6eyJkYXRlLXBhcnRzIjpbWzIwMjNdXX0sInBhZ2UiOiI5NjEtOTY4IiwiaXNzdWUiOiI0Iiwidm9sdW1lIjoiMTcifSwiaXNUZW1wb3JhcnkiOmZhbHNlLCJzdXBwcmVzcy1hdXRob3IiOmZhbHNlLCJjb21wb3NpdGUiOmZhbHNlLCJhdXRob3Itb25seSI6ZmFsc2V9XX0=&quot;,&quot;citationItems&quot;:[{&quot;id&quot;:&quot;240d1b06-078f-3c50-8908-82352d2f3f66&quot;,&quot;itemData&quot;:{&quot;type&quot;:&quot;article-journal&quot;,&quot;id&quot;:&quot;240d1b06-078f-3c50-8908-82352d2f3f66&quot;,&quot;title&quot;:&quot;Evaluation of diagnostic significance of salivary miRNA-184 and miRNA-21 in oral squamous cell carcinoma and oral potentially malignant disorders&quot;,&quot;author&quot;:[{&quot;family&quot;:&quot;Garg&quot;,&quot;given&quot;:&quot;A&quot;,&quot;parse-names&quot;:false,&quot;dropping-particle&quot;:&quot;&quot;,&quot;non-dropping-particle&quot;:&quot;&quot;},{&quot;family&quot;:&quot;Urs&quot;,&quot;given&quot;:&quot;A B&quot;,&quot;parse-names&quot;:false,&quot;dropping-particle&quot;:&quot;&quot;,&quot;non-dropping-particle&quot;:&quot;&quot;},{&quot;family&quot;:&quot;Koner&quot;,&quot;given&quot;:&quot;B C&quot;,&quot;parse-names&quot;:false,&quot;dropping-particle&quot;:&quot;&quot;,&quot;non-dropping-particle&quot;:&quot;&quot;},{&quot;family&quot;:&quot;Augustine&quot;,&quot;given&quot;:&quot;J&quot;,&quot;parse-names&quot;:false,&quot;dropping-particle&quot;:&quot;&quot;,&quot;non-dropping-particle&quot;:&quot;&quot;},{&quot;family&quot;:&quot;Guru&quot;,&quot;given&quot;:&quot;S A&quot;,&quot;parse-names&quot;:false,&quot;dropping-particle&quot;:&quot;&quot;,&quot;non-dropping-particle&quot;:&quot;&quot;}],&quot;container-title&quot;:&quot;Head and Neck Pathology&quot;,&quot;container-title-short&quot;:&quot;Head Neck Pathol.&quot;,&quot;DOI&quot;:&quot;10.1007/s12105-023-01600-7&quot;,&quot;URL&quot;:&quot;https://doi.org/10.1007/s12105-023-01600-7&quot;,&quot;issued&quot;:{&quot;date-parts&quot;:[[2023]]},&quot;page&quot;:&quot;961-968&quot;,&quot;issue&quot;:&quot;4&quot;,&quot;volume&quot;:&quot;17&quot;},&quot;isTemporary&quot;:false,&quot;suppress-author&quot;:false,&quot;composite&quot;:false,&quot;author-only&quot;:false}]},{&quot;citationID&quot;:&quot;MENDELEY_CITATION_36ef9e71-0b36-4e49-8d76-d53a0e0dd08f&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zZlZjllNzEtMGIzNi00ZTQ5LThkNzYtZDUzYTBlMGRkMDhmIiwicHJvcGVydGllcyI6eyJub3RlSW5kZXgiOjB9LCJpc0VkaXRlZCI6ZmFsc2UsIm1hbnVhbE92ZXJyaWRlIjp7ImlzTWFudWFsbHlPdmVycmlkZGVuIjpmYWxzZSwiY2l0ZXByb2NUZXh0IjoiPHN1cD4xOTwvc3VwPiIsIm1hbnVhbE92ZXJyaWRlVGV4dCI6IiJ9LCJjaXRhdGlvbkl0ZW1zIjpbeyJpZCI6ImFkMTcxOWM4LTg2ZWUtM2FiNC1iMmQ3LTgzMzIxMWM2MTA5ZCIsIml0ZW1EYXRhIjp7InR5cGUiOiJhcnRpY2xlLWpvdXJuYWwiLCJpZCI6ImFkMTcxOWM4LTg2ZWUtM2FiNC1iMmQ3LTgzMzIxMWM2MTA5ZCIsInRpdGxlIjoiRGlhZ25vc3RpYyBzYWxpdmFyeSBiaW9tYXJrZXJzIGluIG9yYWwgY2FuY2VyIGFuZCBvcmFsIHBvdGVudGlhbGx5IG1hbGlnbmFudCBkaXNvcmRlcnMgYW5kIHRoZWlyIHJlbGF0aW9uc2hpcHMgdG8gcmlzayBmYWN0b3JzOiBBIHN5c3RlbWF0aWMgcmV2aWV3IiwiYXV0aG9yIjpbeyJmYW1pbHkiOiJQaXlhcmF0aG5lIiwiZ2l2ZW4iOiJOIFMiLCJwYXJzZS1uYW1lcyI6ZmFsc2UsImRyb3BwaW5nLXBhcnRpY2xlIjoiIiwibm9uLWRyb3BwaW5nLXBhcnRpY2xlIjoiIn0seyJmYW1pbHkiOiJSYXNuYXlha2UiLCJnaXZlbiI6IlIgTSBTIEcgSyIsInBhcnNlLW5hbWVzIjpmYWxzZSwiZHJvcHBpbmctcGFydGljbGUiOiIiLCJub24tZHJvcHBpbmctcGFydGljbGUiOiIifSx7ImZhbWlseSI6IkFuZ2FtbWFuYSIsImdpdmVuIjoiUiIsInBhcnNlLW5hbWVzIjpmYWxzZSwiZHJvcHBpbmctcGFydGljbGUiOiIiLCJub24tZHJvcHBpbmctcGFydGljbGUiOiIifSx7ImZhbWlseSI6IkNoYW5kcmFzZWtlcmEiLCJnaXZlbiI6IlAiLCJwYXJzZS1uYW1lcyI6ZmFsc2UsImRyb3BwaW5nLXBhcnRpY2xlIjoiIiwibm9uLWRyb3BwaW5nLXBhcnRpY2xlIjoiIn0seyJmYW1pbHkiOiJSYW1hY2hhbmRyYSIsImdpdmVuIjoiUyIsInBhcnNlLW5hbWVzIjpmYWxzZSwiZHJvcHBpbmctcGFydGljbGUiOiIiLCJub24tZHJvcHBpbmctcGFydGljbGUiOiIifSx7ImZhbWlseSI6IldlZXJhc2VrZXJhIiwiZ2l2ZW4iOiJNIiwicGFyc2UtbmFtZXMiOmZhbHNlLCJkcm9wcGluZy1wYXJ0aWNsZSI6IiIsIm5vbi1kcm9wcGluZy1wYXJ0aWNsZSI6IiJ9LHsiZmFtaWx5IjoiWWFzYXdhcmRlbmUiLCJnaXZlbiI6IlMiLCJwYXJzZS1uYW1lcyI6ZmFsc2UsImRyb3BwaW5nLXBhcnRpY2xlIjoiIiwibm9uLWRyb3BwaW5nLXBhcnRpY2xlIjoiIn0seyJmYW1pbHkiOiJBYnUtRWlkIiwiZ2l2ZW4iOiJSIiwicGFyc2UtbmFtZXMiOmZhbHNlLCJkcm9wcGluZy1wYXJ0aWNsZSI6IiIsIm5vbi1kcm9wcGluZy1wYXJ0aWNsZSI6IiJ9LHsiZmFtaWx5IjoiSmF5YXNpbmdoZSIsImdpdmVuIjoiSiBBIFAiLCJwYXJzZS1uYW1lcyI6ZmFsc2UsImRyb3BwaW5nLXBhcnRpY2xlIjoiIiwibm9uLWRyb3BwaW5nLXBhcnRpY2xlIjoiIn0seyJmYW1pbHkiOiJHdXB0YSIsImdpdmVuIjoiRSIsInBhcnNlLW5hbWVzIjpmYWxzZSwiZHJvcHBpbmctcGFydGljbGUiOiIiLCJub24tZHJvcHBpbmctcGFydGljbGUiOiIifV0sImNvbnRhaW5lci10aXRsZSI6IkV4cGVydCBSZXZpZXcgb2YgTW9sZWN1bGFyIERpYWdub3N0aWNzIiwiY29udGFpbmVyLXRpdGxlLXNob3J0IjoiRXhwZXJ0IFJldi4gTW9sLiBEaWFnbi4iLCJET0kiOiIxMC4xMDgwLzE0NzM3MTU5LjIwMjEuMTk0NDEwNiIsIlVSTCI6Imh0dHBzOi8vZG9pLm9yZy8xMC4xMDgwLzE0NzM3MTU5LjIwMjEuMTk0NDEwNiIsImlzc3VlZCI6eyJkYXRlLXBhcnRzIjpbWzIwMjFdXX0sInBhZ2UiOiI3ODktODA3IiwiaXNzdWUiOiI4Iiwidm9sdW1lIjoiMjEifSwiaXNUZW1wb3JhcnkiOmZhbHNlLCJzdXBwcmVzcy1hdXRob3IiOmZhbHNlLCJjb21wb3NpdGUiOmZhbHNlLCJhdXRob3Itb25seSI6ZmFsc2V9XX0=&quot;,&quot;citationItems&quot;:[{&quot;id&quot;:&quot;ad1719c8-86ee-3ab4-b2d7-833211c6109d&quot;,&quot;itemData&quot;:{&quot;type&quot;:&quot;article-journal&quot;,&quot;id&quot;:&quot;ad1719c8-86ee-3ab4-b2d7-833211c6109d&quot;,&quot;title&quot;:&quot;Diagnostic salivary biomarkers in oral cancer and oral potentially malignant disorders and their relationships to risk factors: A systematic review&quot;,&quot;author&quot;:[{&quot;family&quot;:&quot;Piyarathne&quot;,&quot;given&quot;:&quot;N S&quot;,&quot;parse-names&quot;:false,&quot;dropping-particle&quot;:&quot;&quot;,&quot;non-dropping-particle&quot;:&quot;&quot;},{&quot;family&quot;:&quot;Rasnayake&quot;,&quot;given&quot;:&quot;R M S G K&quot;,&quot;parse-names&quot;:false,&quot;dropping-particle&quot;:&quot;&quot;,&quot;non-dropping-particle&quot;:&quot;&quot;},{&quot;family&quot;:&quot;Angammana&quot;,&quot;given&quot;:&quot;R&quot;,&quot;parse-names&quot;:false,&quot;dropping-particle&quot;:&quot;&quot;,&quot;non-dropping-particle&quot;:&quot;&quot;},{&quot;family&quot;:&quot;Chandrasekera&quot;,&quot;given&quot;:&quot;P&quot;,&quot;parse-names&quot;:false,&quot;dropping-particle&quot;:&quot;&quot;,&quot;non-dropping-particle&quot;:&quot;&quot;},{&quot;family&quot;:&quot;Ramachandra&quot;,&quot;given&quot;:&quot;S&quot;,&quot;parse-names&quot;:false,&quot;dropping-particle&quot;:&quot;&quot;,&quot;non-dropping-particle&quot;:&quot;&quot;},{&quot;family&quot;:&quot;Weerasekera&quot;,&quot;given&quot;:&quot;M&quot;,&quot;parse-names&quot;:false,&quot;dropping-particle&quot;:&quot;&quot;,&quot;non-dropping-particle&quot;:&quot;&quot;},{&quot;family&quot;:&quot;Yasawardene&quot;,&quot;given&quot;:&quot;S&quot;,&quot;parse-names&quot;:false,&quot;dropping-particle&quot;:&quot;&quot;,&quot;non-dropping-particle&quot;:&quot;&quot;},{&quot;family&quot;:&quot;Abu-Eid&quot;,&quot;given&quot;:&quot;R&quot;,&quot;parse-names&quot;:false,&quot;dropping-particle&quot;:&quot;&quot;,&quot;non-dropping-particle&quot;:&quot;&quot;},{&quot;family&quot;:&quot;Jayasinghe&quot;,&quot;given&quot;:&quot;J A P&quot;,&quot;parse-names&quot;:false,&quot;dropping-particle&quot;:&quot;&quot;,&quot;non-dropping-particle&quot;:&quot;&quot;},{&quot;family&quot;:&quot;Gupta&quot;,&quot;given&quot;:&quot;E&quot;,&quot;parse-names&quot;:false,&quot;dropping-particle&quot;:&quot;&quot;,&quot;non-dropping-particle&quot;:&quot;&quot;}],&quot;container-title&quot;:&quot;Expert Review of Molecular Diagnostics&quot;,&quot;container-title-short&quot;:&quot;Expert Rev. Mol. Diagn.&quot;,&quot;DOI&quot;:&quot;10.1080/14737159.2021.1944106&quot;,&quot;URL&quot;:&quot;https://doi.org/10.1080/14737159.2021.1944106&quot;,&quot;issued&quot;:{&quot;date-parts&quot;:[[2021]]},&quot;page&quot;:&quot;789-807&quot;,&quot;issue&quot;:&quot;8&quot;,&quot;volume&quot;:&quot;21&quot;},&quot;isTemporary&quot;:false,&quot;suppress-author&quot;:false,&quot;composite&quot;:false,&quot;author-only&quot;:false}]},{&quot;citationID&quot;:&quot;MENDELEY_CITATION_f18fab05-99a6-4f76-bc18-c3d9ee45ef69&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ZjE4ZmFiMDUtOTlhNi00Zjc2LWJjMTgtYzNkOWVlNDVlZjY5IiwicHJvcGVydGllcyI6eyJub3RlSW5kZXgiOjB9LCJpc0VkaXRlZCI6ZmFsc2UsIm1hbnVhbE92ZXJyaWRlIjp7ImlzTWFudWFsbHlPdmVycmlkZGVuIjpmYWxzZSwiY2l0ZXByb2NUZXh0IjoiPHN1cD4yMDwvc3VwPiIsIm1hbnVhbE92ZXJyaWRlVGV4dCI6IiJ9LCJjaXRhdGlvbkl0ZW1zIjpbeyJpZCI6ImEwOTBhYzVmLWJiNDUtM2ZhZC04YWU3LWJiOTA2ODhkNTIyNiIsIml0ZW1EYXRhIjp7InR5cGUiOiJhcnRpY2xlLWpvdXJuYWwiLCJpZCI6ImEwOTBhYzVmLWJiNDUtM2ZhZC04YWU3LWJiOTA2ODhkNTIyNiIsInRpdGxlIjoiRGlhZ25vc3RpYyBwb3RlbnRpYWwgb2Ygc2FsaXZhcnkgSUwtMc6yLCBJTC04LCBTQVQsIFMxMDBQLCBhbmQgT0FaMSBpbiBvcmFsIHNxdWFtb3VzIGNlbGwgY2FyY2lub21hLCBvcmFsIHN1Ym11Y291cyBmaWJyb3NpcywgYW5kIG9yYWwgbGljaGVuIHBsYW51cyBiYXNlZCBvbiBmaW5kaW5ncyBmcm9tIGEgU3JpIExhbmthbiBjb2hvcnQiLCJhdXRob3IiOlt7ImZhbWlseSI6IlNlbmV2aXJhdGhuYSIsImdpdmVuIjoiSyIsInBhcnNlLW5hbWVzIjpmYWxzZSwiZHJvcHBpbmctcGFydGljbGUiOiIiLCJub24tZHJvcHBpbmctcGFydGljbGUiOiIifSx7ImZhbWlseSI6Ik1haGFrYXB1Z2UiLCJnaXZlbiI6IlQgQSBOIiwicGFyc2UtbmFtZXMiOmZhbHNlLCJkcm9wcGluZy1wYXJ0aWNsZSI6IiIsIm5vbi1kcm9wcGluZy1wYXJ0aWNsZSI6IiJ9LHsiZmFtaWx5IjoiSmF5YXdhcmRhbmEiLCJnaXZlbiI6Ik4gVSIsInBhcnNlLW5hbWVzIjpmYWxzZSwiZHJvcHBpbmctcGFydGljbGUiOiIiLCJub24tZHJvcHBpbmctcGFydGljbGUiOiIifSx7ImZhbWlseSI6IlJhamFwYWtzZSIsImdpdmVuIjoiSiIsInBhcnNlLW5hbWVzIjpmYWxzZSwiZHJvcHBpbmctcGFydGljbGUiOiIiLCJub24tZHJvcHBpbmctcGFydGljbGUiOiIifSx7ImZhbWlseSI6IkdhbWFnZSIsImdpdmVuIjoiQyBVIiwicGFyc2UtbmFtZXMiOmZhbHNlLCJkcm9wcGluZy1wYXJ0aWNsZSI6IiIsIm5vbi1kcm9wcGluZy1wYXJ0aWNsZSI6IiJ9LHsiZmFtaWx5IjoiU2VuZXZpcmF0bmUiLCJnaXZlbiI6IkIiLCJwYXJzZS1uYW1lcyI6ZmFsc2UsImRyb3BwaW5nLXBhcnRpY2xlIjoiIiwibm9uLWRyb3BwaW5nLXBhcnRpY2xlIjoiIn0seyJmYW1pbHkiOiJQZXJlcmEiLCJnaXZlbiI6IlUiLCJwYXJzZS1uYW1lcyI6ZmFsc2UsImRyb3BwaW5nLXBhcnRpY2xlIjoiIiwibm9uLWRyb3BwaW5nLXBhcnRpY2xlIjoiIn0seyJmYW1pbHkiOiJLYW5tb2RpIiwiZ2l2ZW4iOiJLIEsiLCJwYXJzZS1uYW1lcyI6ZmFsc2UsImRyb3BwaW5nLXBhcnRpY2xlIjoiIiwibm9uLWRyb3BwaW5nLXBhcnRpY2xlIjoiIn0seyJmYW1pbHkiOiJKYXlhc2luZ2hlIiwiZ2l2ZW4iOiJSIEQiLCJwYXJzZS1uYW1lcyI6ZmFsc2UsImRyb3BwaW5nLXBhcnRpY2xlIjoiIiwibm9uLWRyb3BwaW5nLXBhcnRpY2xlIjoiIn1dLCJjb250YWluZXItdGl0bGUiOiJTY2llbnRpZmljIFJlcG9ydHMiLCJjb250YWluZXItdGl0bGUtc2hvcnQiOiJTY2kuIFJlcC4iLCJET0kiOiIxMC4xMDM4L3M0MTU5OC0wMjQtNzU3MzUtMCIsIlVSTCI6Imh0dHBzOi8vZG9pLm9yZy8xMC4xMDM4L3M0MTU5OC0wMjQtNzU3MzUtMCIsImlzc3VlZCI6eyJkYXRlLXBhcnRzIjpbWzIwMjRdXX0sInBhZ2UiOiIyNzIyNiIsInZvbHVtZSI6IjE0In0sImlzVGVtcG9yYXJ5IjpmYWxzZSwic3VwcHJlc3MtYXV0aG9yIjpmYWxzZSwiY29tcG9zaXRlIjpmYWxzZSwiYXV0aG9yLW9ubHkiOmZhbHNlfV19&quot;,&quot;citationItems&quot;:[{&quot;id&quot;:&quot;a090ac5f-bb45-3fad-8ae7-bb90688d5226&quot;,&quot;itemData&quot;:{&quot;type&quot;:&quot;article-journal&quot;,&quot;id&quot;:&quot;a090ac5f-bb45-3fad-8ae7-bb90688d5226&quot;,&quot;title&quot;:&quot;Diagnostic potential of salivary IL-1β, IL-8, SAT, S100P, and OAZ1 in oral squamous cell carcinoma, oral submucous fibrosis, and oral lichen planus based on findings from a Sri Lankan cohort&quot;,&quot;author&quot;:[{&quot;family&quot;:&quot;Senevirathna&quot;,&quot;given&quot;:&quot;K&quot;,&quot;parse-names&quot;:false,&quot;dropping-particle&quot;:&quot;&quot;,&quot;non-dropping-particle&quot;:&quot;&quot;},{&quot;family&quot;:&quot;Mahakapuge&quot;,&quot;given&quot;:&quot;T A N&quot;,&quot;parse-names&quot;:false,&quot;dropping-particle&quot;:&quot;&quot;,&quot;non-dropping-particle&quot;:&quot;&quot;},{&quot;family&quot;:&quot;Jayawardana&quot;,&quot;given&quot;:&quot;N U&quot;,&quot;parse-names&quot;:false,&quot;dropping-particle&quot;:&quot;&quot;,&quot;non-dropping-particle&quot;:&quot;&quot;},{&quot;family&quot;:&quot;Rajapakse&quot;,&quot;given&quot;:&quot;J&quot;,&quot;parse-names&quot;:false,&quot;dropping-particle&quot;:&quot;&quot;,&quot;non-dropping-particle&quot;:&quot;&quot;},{&quot;family&quot;:&quot;Gamage&quot;,&quot;given&quot;:&quot;C U&quot;,&quot;parse-names&quot;:false,&quot;dropping-particle&quot;:&quot;&quot;,&quot;non-dropping-particle&quot;:&quot;&quot;},{&quot;family&quot;:&quot;Seneviratne&quot;,&quot;given&quot;:&quot;B&quot;,&quot;parse-names&quot;:false,&quot;dropping-particle&quot;:&quot;&quot;,&quot;non-dropping-particle&quot;:&quot;&quot;},{&quot;family&quot;:&quot;Perera&quot;,&quot;given&quot;:&quot;U&quot;,&quot;parse-names&quot;:false,&quot;dropping-particle&quot;:&quot;&quot;,&quot;non-dropping-particle&quot;:&quot;&quot;},{&quot;family&quot;:&quot;Kanmodi&quot;,&quot;given&quot;:&quot;K K&quot;,&quot;parse-names&quot;:false,&quot;dropping-particle&quot;:&quot;&quot;,&quot;non-dropping-particle&quot;:&quot;&quot;},{&quot;family&quot;:&quot;Jayasinghe&quot;,&quot;given&quot;:&quot;R D&quot;,&quot;parse-names&quot;:false,&quot;dropping-particle&quot;:&quot;&quot;,&quot;non-dropping-particle&quot;:&quot;&quot;}],&quot;container-title&quot;:&quot;Scientific Reports&quot;,&quot;container-title-short&quot;:&quot;Sci. Rep.&quot;,&quot;DOI&quot;:&quot;10.1038/s41598-024-75735-0&quot;,&quot;URL&quot;:&quot;https://doi.org/10.1038/s41598-024-75735-0&quot;,&quot;issued&quot;:{&quot;date-parts&quot;:[[2024]]},&quot;page&quot;:&quot;27226&quot;,&quot;volume&quot;:&quot;14&quot;},&quot;isTemporary&quot;:false,&quot;suppress-author&quot;:false,&quot;composite&quot;:false,&quot;author-only&quot;:false}]},{&quot;citationID&quot;:&quot;MENDELEY_CITATION_9d7be850-6f30-4266-b50e-c34b9e11fca9&quot;,&quot;properties&quot;:{&quot;noteIndex&quot;:0},&quot;isEdited&quot;:false,&quot;manualOverride&quot;:{&quot;isManuallyOverridden&quot;:false,&quot;citeprocText&quot;:&quot;&lt;sup&gt;4,21&lt;/sup&gt;&quot;,&quot;manualOverrideText&quot;:&quot;&quot;},&quot;citationTag&quot;:&quot;MENDELEY_CITATION_v3_eyJjaXRhdGlvbklEIjoiTUVOREVMRVlfQ0lUQVRJT05fOWQ3YmU4NTAtNmYzMC00MjY2LWI1MGUtYzM0YjllMTFmY2E5IiwicHJvcGVydGllcyI6eyJub3RlSW5kZXgiOjB9LCJpc0VkaXRlZCI6ZmFsc2UsIm1hbnVhbE92ZXJyaWRlIjp7ImlzTWFudWFsbHlPdmVycmlkZGVuIjpmYWxzZSwiY2l0ZXByb2NUZXh0IjoiPHN1cD40LDIxPC9zdXA+IiwibWFudWFsT3ZlcnJpZGVUZXh0IjoiIn0sImNpdGF0aW9uSXRlbXMiOlt7ImlkIjoiZWZkZGZlN2YtYTdjMi0zMjllLWJmNWItZjA0ZDc5NGNkMmRmIiwiaXRlbURhdGEiOnsidHlwZSI6ImFydGljbGUtam91cm5hbCIsImlkIjoiZWZkZGZlN2YtYTdjMi0zMjllLWJmNWItZjA0ZDc5NGNkMmRmIiwidGl0bGUiOiJTYWxpdmFyeSBtaWNyb1JOQXMgYXMgaW5ub3ZhdGl2ZSBiaW9tYXJrZXJzIGZvciBkaWFnbm9zaXMgYW5kIHByZWRpY3Rpb24gb2YgdGhlIG9yYWwgcG90ZW50aWFsbHkgbWFsaWduYW50IGRpc29yZGVycyB0cmFuc2l0aW9uIHRvd2FyZHMgb3JhbCBjYW5jZXI6IEEgc3lzdGVtYXRpYyByZXZpZXciLCJhdXRob3IiOlt7ImZhbWlseSI6Ik9zYW4iLCJnaXZlbiI6IkMiLCJwYXJzZS1uYW1lcyI6ZmFsc2UsImRyb3BwaW5nLXBhcnRpY2xlIjoiIiwibm9uLWRyb3BwaW5nLXBhcnRpY2xlIjoiIn0seyJmYW1pbHkiOiJCZXJpbmRhbi1OZWFnb2UiLCJnaXZlbiI6IkkiLCJwYXJzZS1uYW1lcyI6ZmFsc2UsImRyb3BwaW5nLXBhcnRpY2xlIjoiIiwibm9uLWRyb3BwaW5nLXBhcnRpY2xlIjoiIn0seyJmYW1pbHkiOiJEaW51IiwiZ2l2ZW4iOiJDIiwicGFyc2UtbmFtZXMiOmZhbHNlLCJkcm9wcGluZy1wYXJ0aWNsZSI6IiIsIm5vbi1kcm9wcGluZy1wYXJ0aWNsZSI6IiJ9LHsiZmFtaWx5IjoiQXJtZW5jZWEiLCJnaXZlbiI6IkciLCJwYXJzZS1uYW1lcyI6ZmFsc2UsImRyb3BwaW5nLXBhcnRpY2xlIjoiIiwibm9uLWRyb3BwaW5nLXBhcnRpY2xlIjoiIn0seyJmYW1pbHkiOiJCcmFuIiwiZ2l2ZW4iOiJTIiwicGFyc2UtbmFtZXMiOmZhbHNlLCJkcm9wcGluZy1wYXJ0aWNsZSI6IiIsIm5vbi1kcm9wcGluZy1wYXJ0aWNsZSI6IiJ9LHsiZmFtaWx5IjoiS3JldHNjaG1lciIsImdpdmVuIjoiVyIsInBhcnNlLW5hbWVzIjpmYWxzZSwiZHJvcHBpbmctcGFydGljbGUiOiIiLCJub24tZHJvcHBpbmctcGFydGljbGUiOiIifSx7ImZhbWlseSI6IkJhY2l1dCIsImdpdmVuIjoiRyIsInBhcnNlLW5hbWVzIjpmYWxzZSwiZHJvcHBpbmctcGFydGljbGUiOiIiLCJub24tZHJvcHBpbmctcGFydGljbGUiOiIifSx7ImZhbWlseSI6Ik9uaXNvciIsImdpdmVuIjoiRiIsInBhcnNlLW5hbWVzIjpmYWxzZSwiZHJvcHBpbmctcGFydGljbGUiOiIiLCJub24tZHJvcHBpbmctcGFydGljbGUiOiIifSx7ImZhbWlseSI6IkJhY2l1dCIsImdpdmVuIjoiTSIsInBhcnNlLW5hbWVzIjpmYWxzZSwiZHJvcHBpbmctcGFydGljbGUiOiIiLCJub24tZHJvcHBpbmctcGFydGljbGUiOiIifV0sImNvbnRhaW5lci10aXRsZSI6IkpvdXJuYWwgb2YgQ2xpbmljYWwgTWVkaWNpbmUiLCJjb250YWluZXItdGl0bGUtc2hvcnQiOiJKLiBDbGluLiBNZWQuIiwiRE9JIjoiMTAuMzM5MC9qY20xNDIyODEyOCIsIlVSTCI6Imh0dHBzOi8vZG9pLm9yZy8xMC4zMzkwL2pjbTE0MjI4MTI4IiwiaXNzdWVkIjp7ImRhdGUtcGFydHMiOltbMjAyNV1dfSwicGFnZSI6IjgxMjgiLCJpc3N1ZSI6IjIyIiwidm9sdW1lIjoiMTQifSwiaXNUZW1wb3JhcnkiOmZhbHNlLCJzdXBwcmVzcy1hdXRob3IiOmZhbHNlLCJjb21wb3NpdGUiOmZhbHNlLCJhdXRob3Itb25seSI6ZmFsc2V9LHsiaWQiOiIxM2U1MzNlYS1jYmFlLTNjY2YtOTkzNC1jZjI2ZDQxOGUxNmQiLCJpdGVtRGF0YSI6eyJ0eXBlIjoiYXJ0aWNsZS1qb3VybmFsIiwiaWQiOiIxM2U1MzNlYS1jYmFlLTNjY2YtOTkzNC1jZjI2ZDQxOGUxNmQiLCJ0aXRsZSI6IlNhbGl2YXJ5IG1pUk5BcyBhbmQgY3l0b2tpbmVzIGFzc29jaWF0ZWQgd2l0aCBkaWFnbm9zaXMgYW5kIHByb2dub3NpcyBvZiBvcmFsIHNxdWFtb3VzIGNlbGwgY2FyY2lub21hIiwiYXV0aG9yIjpbeyJmYW1pbHkiOiJRaW4iLCJnaXZlbiI6IlkiLCJwYXJzZS1uYW1lcyI6ZmFsc2UsImRyb3BwaW5nLXBhcnRpY2xlIjoiIiwibm9uLWRyb3BwaW5nLXBhcnRpY2xlIjoiIn0seyJmYW1pbHkiOiJEb25nIiwiZ2l2ZW4iOiJYIiwicGFyc2UtbmFtZXMiOmZhbHNlLCJkcm9wcGluZy1wYXJ0aWNsZSI6IiIsIm5vbi1kcm9wcGluZy1wYXJ0aWNsZSI6IiJ9LHsiZmFtaWx5IjoiTGkiLCJnaXZlbiI6IkIiLCJwYXJzZS1uYW1lcyI6ZmFsc2UsImRyb3BwaW5nLXBhcnRpY2xlIjoiIiwibm9uLWRyb3BwaW5nLXBhcnRpY2xlIjoiIn1dLCJjb250YWluZXItdGl0bGUiOiJGcm9udGllcnMgaW4gQ2VsbCBhbmQgRGV2ZWxvcG1lbnRhbCBCaW9sb2d5IiwiY29udGFpbmVyLXRpdGxlLXNob3J0IjoiRnJvbnQuIENlbGwgRGV2LiBCaW9sLiIsIkRPSSI6IjEwLjMzODkvZmNlbGwuMjAyNS4xNTMxMDE2IiwiVVJMIjoiaHR0cHM6Ly9kb2kub3JnLzEwLjMzODkvZmNlbGwuMjAyNS4xNTMxMDE2IiwiaXNzdWVkIjp7ImRhdGUtcGFydHMiOltbMjAyNV1dfSwicGFnZSI6IjE1MzEwMTYiLCJ2b2x1bWUiOiIxMyJ9LCJpc1RlbXBvcmFyeSI6ZmFsc2V9XX0=&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citationID&quot;:&quot;MENDELEY_CITATION_cbe84b5f-2093-4b31-94b1-3f5baaad358f&quot;,&quot;properties&quot;:{&quot;noteIndex&quot;:0},&quot;isEdited&quot;:false,&quot;manualOverride&quot;:{&quot;isManuallyOverridden&quot;:false,&quot;citeprocText&quot;:&quot;&lt;sup&gt;7,22&lt;/sup&gt;&quot;,&quot;manualOverrideText&quot;:&quot;&quot;},&quot;citationTag&quot;:&quot;MENDELEY_CITATION_v3_eyJjaXRhdGlvbklEIjoiTUVOREVMRVlfQ0lUQVRJT05fY2JlODRiNWYtMjA5My00YjMxLTk0YjEtM2Y1YmFhYWQzNThmIiwicHJvcGVydGllcyI6eyJub3RlSW5kZXgiOjB9LCJpc0VkaXRlZCI6ZmFsc2UsIm1hbnVhbE92ZXJyaWRlIjp7ImlzTWFudWFsbHlPdmVycmlkZGVuIjpmYWxzZSwiY2l0ZXByb2NUZXh0IjoiPHN1cD43LDIyPC9zdXA+IiwibWFudWFsT3ZlcnJpZGVUZXh0IjoiIn0sImNpdGF0aW9uSXRlbXMiOlt7ImlkIjoiM2Q3YTFiMmUtZWNjYi0zOTQ4LWJiN2ItYThkN2JhODI3MzdiIiwiaXRlbURhdGEiOnsidHlwZSI6ImFydGljbGUtam91cm5hbCIsImlkIjoiM2Q3YTFiMmUtZWNjYi0zOTQ4LWJiN2ItYThkN2JhODI3MzdiIiwidGl0bGUiOiJTYWxpdmFyeSBiaW9tYXJrZXJzIGZvciBvcmFsIGNhbmNlciBkZXRlY3Rpb246IEFuIGV4cGxvcmF0b3J5IHN5c3RlbWF0aWMgcmV2aWV3IiwiYXV0aG9yIjpbeyJmYW1pbHkiOiJCYXN0w61hcyIsImdpdmVuIjoiRCIsInBhcnNlLW5hbWVzIjpmYWxzZSwiZHJvcHBpbmctcGFydGljbGUiOiIiLCJub24tZHJvcHBpbmctcGFydGljbGUiOiIifSx7ImZhbWlseSI6Ik1hdHVyYW5hIiwiZ2l2ZW4iOiJBIiwicGFyc2UtbmFtZXMiOmZhbHNlLCJkcm9wcGluZy1wYXJ0aWNsZSI6IiIsIm5vbi1kcm9wcGluZy1wYXJ0aWNsZSI6IiJ9LHsiZmFtaWx5IjoiTWFyw61uIiwiZ2l2ZW4iOiJDIiwicGFyc2UtbmFtZXMiOmZhbHNlLCJkcm9wcGluZy1wYXJ0aWNsZSI6IiIsIm5vbi1kcm9wcGluZy1wYXJ0aWNsZSI6IiJ9LHsiZmFtaWx5IjoiTWFydMOtbmV6IiwiZ2l2ZW4iOiJSIiwicGFyc2UtbmFtZXMiOmZhbHNlLCJkcm9wcGluZy1wYXJ0aWNsZSI6IiIsIm5vbi1kcm9wcGluZy1wYXJ0aWNsZSI6IiJ9LHsiZmFtaWx5IjoiTmlrbGFuZGVyIiwiZ2l2ZW4iOiJTIEUiLCJwYXJzZS1uYW1lcyI6ZmFsc2UsImRyb3BwaW5nLXBhcnRpY2xlIjoiIiwibm9uLWRyb3BwaW5nLXBhcnRpY2xlIjoiIn1dLCJjb250YWluZXItdGl0bGUiOiJJbnRlcm5hdGlvbmFsIEpvdXJuYWwgb2YgTW9sZWN1bGFyIFNjaWVuY2VzIiwiY29udGFpbmVyLXRpdGxlLXNob3J0IjoiSW50LiBKLiBNb2wuIFNjaS4iLCJET0kiOiIxMC4zMzkwL2lqbXMyNTA1MjYzNCIsIlVSTCI6Imh0dHBzOi8vZG9pLm9yZy8xMC4zMzkwL2lqbXMyNTA1MjYzNCIsImlzc3VlZCI6eyJkYXRlLXBhcnRzIjpbWzIwMjRdXX0sInBhZ2UiOiIyNjM0IiwiaXNzdWUiOiI1Iiwidm9sdW1lIjoiMjUifSwiaXNUZW1wb3JhcnkiOmZhbHNlfSx7ImlkIjoiOWYwYTA1Y2YtMjEwYi0zNDE3LWIzNmMtNjc4YjU1YmVhMjFiIiwiaXRlbURhdGEiOnsidHlwZSI6ImFydGljbGUtam91cm5hbCIsImlkIjoiOWYwYTA1Y2YtMjEwYi0zNDE3LWIzNmMtNjc4YjU1YmVhMjFiIiwidGl0bGUiOiJTYWxpdmFyeSBtaVJOQXMgYXMgYXV4aWxpYXJ5IGxpcXVpZCBiaW9wc3kgYmlvbWFya2VycyBmb3IgZGlhZ25vc2lzIGluIHBhdGllbnRzIHdpdGggb3JvcGhhcnluZ2VhbCBzcXVhbW91cyBjZWxsIGNhcmNpbm9tYTogQSBzeXN0ZW1hdGljIHJldmlldyBhbmQgbWV0YS1hbmFseXNpcyIsImF1dGhvciI6W3siZmFtaWx5IjoiTmd1eWVuIiwiZ2l2ZW4iOiJIIiwicGFyc2UtbmFtZXMiOmZhbHNlLCJkcm9wcGluZy1wYXJ0aWNsZSI6IiIsIm5vbi1kcm9wcGluZy1wYXJ0aWNsZSI6IiJ9LHsiZmFtaWx5IjoiTm9uYWthIiwiZ2l2ZW4iOiJUIiwicGFyc2UtbmFtZXMiOmZhbHNlLCJkcm9wcGluZy1wYXJ0aWNsZSI6IiIsIm5vbi1kcm9wcGluZy1wYXJ0aWNsZSI6IiJ9XSwiY29udGFpbmVyLXRpdGxlIjoiRnJvbnRpZXJzIGluIEdlbmV0aWNzIiwiY29udGFpbmVyLXRpdGxlLXNob3J0IjoiRnJvbnQuIEdlbmV0LiIsIkRPSSI6IjEwLjMzODkvZmdlbmUuMjAyNC4xMzUyODM4IiwiVVJMIjoiaHR0cHM6Ly9kb2kub3JnLzEwLjMzODkvZmdlbmUuMjAyNC4xMzUyODM4IiwiaXNzdWVkIjp7ImRhdGUtcGFydHMiOltbMjAyNF1dfSwicGFnZSI6IjEzNTI4MzgiLCJ2b2x1bWUiOiIxNSJ9LCJpc1RlbXBvcmFyeSI6ZmFsc2V9XX0=&quot;,&quot;citationItems&quot;:[{&quot;id&quot;:&quot;3d7a1b2e-eccb-3948-bb7b-a8d7ba82737b&quot;,&quot;itemData&quot;:{&quot;type&quot;:&quot;article-journal&quot;,&quot;id&quot;:&quot;3d7a1b2e-eccb-3948-bb7b-a8d7ba82737b&quot;,&quot;title&quot;:&quot;Salivary biomarkers for oral cancer detection: An exploratory systematic review&quot;,&quot;author&quot;:[{&quot;family&quot;:&quot;Bastías&quot;,&quot;given&quot;:&quot;D&quot;,&quot;parse-names&quot;:false,&quot;dropping-particle&quot;:&quot;&quot;,&quot;non-dropping-particle&quot;:&quot;&quot;},{&quot;family&quot;:&quot;Maturana&quot;,&quot;given&quot;:&quot;A&quot;,&quot;parse-names&quot;:false,&quot;dropping-particle&quot;:&quot;&quot;,&quot;non-dropping-particle&quot;:&quot;&quot;},{&quot;family&quot;:&quot;Marín&quot;,&quot;given&quot;:&quot;C&quot;,&quot;parse-names&quot;:false,&quot;dropping-particle&quot;:&quot;&quot;,&quot;non-dropping-particle&quot;:&quot;&quot;},{&quot;family&quot;:&quot;Martínez&quot;,&quot;given&quot;:&quot;R&quot;,&quot;parse-names&quot;:false,&quot;dropping-particle&quot;:&quot;&quot;,&quot;non-dropping-particle&quot;:&quot;&quot;},{&quot;family&quot;:&quot;Niklander&quot;,&quot;given&quot;:&quot;S E&quot;,&quot;parse-names&quot;:false,&quot;dropping-particle&quot;:&quot;&quot;,&quot;non-dropping-particle&quot;:&quot;&quot;}],&quot;container-title&quot;:&quot;International Journal of Molecular Sciences&quot;,&quot;container-title-short&quot;:&quot;Int. J. Mol. Sci.&quot;,&quot;DOI&quot;:&quot;10.3390/ijms25052634&quot;,&quot;URL&quot;:&quot;https://doi.org/10.3390/ijms25052634&quot;,&quot;issued&quot;:{&quot;date-parts&quot;:[[2024]]},&quot;page&quot;:&quot;2634&quot;,&quot;issue&quot;:&quot;5&quot;,&quot;volume&quot;:&quot;25&quot;},&quot;isTemporary&quot;:false},{&quot;id&quot;:&quot;9f0a05cf-210b-3417-b36c-678b55bea21b&quot;,&quot;itemData&quot;:{&quot;type&quot;:&quot;article-journal&quot;,&quot;id&quot;:&quot;9f0a05cf-210b-3417-b36c-678b55bea21b&quot;,&quot;title&quot;:&quot;Salivary miRNAs as auxiliary liquid biopsy biomarkers for diagnosis in patients with oropharyngeal squamous cell carcinoma: A systematic review and meta-analysis&quot;,&quot;author&quot;:[{&quot;family&quot;:&quot;Nguyen&quot;,&quot;given&quot;:&quot;H&quot;,&quot;parse-names&quot;:false,&quot;dropping-particle&quot;:&quot;&quot;,&quot;non-dropping-particle&quot;:&quot;&quot;},{&quot;family&quot;:&quot;Nonaka&quot;,&quot;given&quot;:&quot;T&quot;,&quot;parse-names&quot;:false,&quot;dropping-particle&quot;:&quot;&quot;,&quot;non-dropping-particle&quot;:&quot;&quot;}],&quot;container-title&quot;:&quot;Frontiers in Genetics&quot;,&quot;container-title-short&quot;:&quot;Front. Genet.&quot;,&quot;DOI&quot;:&quot;10.3389/fgene.2024.1352838&quot;,&quot;URL&quot;:&quot;https://doi.org/10.3389/fgene.2024.1352838&quot;,&quot;issued&quot;:{&quot;date-parts&quot;:[[2024]]},&quot;page&quot;:&quot;1352838&quot;,&quot;volume&quot;:&quot;15&quot;},&quot;isTemporary&quot;:false}]},{&quot;citationID&quot;:&quot;MENDELEY_CITATION_c6ec3b1f-929f-48fa-8ee9-79e55b35c249&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zZlYzNiMWYtOTI5Zi00OGZhLThlZTktNzllNTViMzVjMjQ5IiwicHJvcGVydGllcyI6eyJub3RlSW5kZXgiOjB9LCJpc0VkaXRlZCI6ZmFsc2UsIm1hbnVhbE92ZXJyaWRlIjp7ImlzTWFudWFsbHlPdmVycmlkZGVuIjpmYWxzZSwiY2l0ZXByb2NUZXh0IjoiPHN1cD4yMzwvc3VwPiIsIm1hbnVhbE92ZXJyaWRlVGV4dCI6IiJ9LCJjaXRhdGlvbkl0ZW1zIjpbeyJpZCI6IjY4YjhjMDk1LTMyNmYtMzIxNC04M2Q1LTc5OWUxOTQ0NjMyZCIsIml0ZW1EYXRhIjp7InR5cGUiOiJhcnRpY2xlLWpvdXJuYWwiLCJpZCI6IjY4YjhjMDk1LTMyNmYtMzIxNC04M2Q1LTc5OWUxOTQ0NjMyZCIsInRpdGxlIjoiUHJlYW5hbHl0aWNhbCwgYW5hbHl0aWNhbCBhbmQgcG9zdGFuYWx5dGljYWwgY29uc2lkZXJhdGlvbnMgaW4gY2lyY3VsYXRpbmcgbWljcm9STkFzIG1lYXN1cmVtZW50IiwiYXV0aG9yIjpbeyJmYW1pbHkiOiJaZW5kamFiaWwiLCJnaXZlbiI6Ik0iLCJwYXJzZS1uYW1lcyI6ZmFsc2UsImRyb3BwaW5nLXBhcnRpY2xlIjoiIiwibm9uLWRyb3BwaW5nLXBhcnRpY2xlIjoiIn1dLCJjb250YWluZXItdGl0bGUiOiJCaW9jaGVtaWEgTWVkaWNhIiwiY29udGFpbmVyLXRpdGxlLXNob3J0IjoiQmlvY2hlbS4gTWVkLiAoWmFncmViKS4iLCJET0kiOiIxMC4xMTYxMy9CTS4yMDI0LjAyMDUwMSIsIlVSTCI6Imh0dHBzOi8vZG9pLm9yZy8xMC4xMTYxMy9CTS4yMDI0LjAyMDUwMSIsImlzc3VlZCI6eyJkYXRlLXBhcnRzIjpbWzIwMjRdXX0sInBhZ2UiOiIwMjA1MDEiLCJpc3N1ZSI6IjIiLCJ2b2x1bWUiOiIzNCJ9LCJpc1RlbXBvcmFyeSI6ZmFsc2UsInN1cHByZXNzLWF1dGhvciI6ZmFsc2UsImNvbXBvc2l0ZSI6ZmFsc2UsImF1dGhvci1vbmx5IjpmYWxzZX1dfQ==&quot;,&quot;citationItems&quot;:[{&quot;id&quot;:&quot;68b8c095-326f-3214-83d5-799e1944632d&quot;,&quot;itemData&quot;:{&quot;type&quot;:&quot;article-journal&quot;,&quot;id&quot;:&quot;68b8c095-326f-3214-83d5-799e1944632d&quot;,&quot;title&quot;:&quot;Preanalytical, analytical and postanalytical considerations in circulating microRNAs measurement&quot;,&quot;author&quot;:[{&quot;family&quot;:&quot;Zendjabil&quot;,&quot;given&quot;:&quot;M&quot;,&quot;parse-names&quot;:false,&quot;dropping-particle&quot;:&quot;&quot;,&quot;non-dropping-particle&quot;:&quot;&quot;}],&quot;container-title&quot;:&quot;Biochemia Medica&quot;,&quot;container-title-short&quot;:&quot;Biochem. Med. (Zagreb).&quot;,&quot;DOI&quot;:&quot;10.11613/BM.2024.020501&quot;,&quot;URL&quot;:&quot;https://doi.org/10.11613/BM.2024.020501&quot;,&quot;issued&quot;:{&quot;date-parts&quot;:[[2024]]},&quot;page&quot;:&quot;020501&quot;,&quot;issue&quot;:&quot;2&quot;,&quot;volume&quot;:&quot;34&quot;},&quot;isTemporary&quot;:false,&quot;suppress-author&quot;:false,&quot;composite&quot;:false,&quot;author-only&quot;:false}]},{&quot;citationID&quot;:&quot;MENDELEY_CITATION_662df266-98af-4bdc-b360-d45a48fc1ead&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YyZGYyNjYtOThhZi00YmRjLWIzNjAtZDQ1YTQ4ZmMxZWFk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quot;citationID&quot;:&quot;MENDELEY_CITATION_0643f89a-3fd9-45dc-ae97-b125dcfb2d8f&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DY0M2Y4OWEtM2ZkOS00NWRjLWFlOTctYjEyNWRjZmIyZDhmIiwicHJvcGVydGllcyI6eyJub3RlSW5kZXgiOjB9LCJpc0VkaXRlZCI6ZmFsc2UsIm1hbnVhbE92ZXJyaWRlIjp7ImlzTWFudWFsbHlPdmVycmlkZGVuIjpmYWxzZSwiY2l0ZXByb2NUZXh0IjoiPHN1cD4yNTwvc3VwPiIsIm1hbnVhbE92ZXJyaWRlVGV4dCI6IiJ9LCJjaXRhdGlvbkl0ZW1zIjpbeyJpZCI6ImZlZGFiY2QzLWE4N2EtMzNkZi04ODJmLTM3ZTMyNTNjZDUxNSIsIml0ZW1EYXRhIjp7InR5cGUiOiJhcnRpY2xlLWpvdXJuYWwiLCJpZCI6ImZlZGFiY2QzLWE4N2EtMzNkZi04ODJmLTM3ZTMyNTNjZDUxNSIsInRpdGxlIjoiUVVBREFTLTM6IEEgcmV2aXNlZCB0b29sIGZvciB0aGUgcXVhbGl0eSBhc3Nlc3NtZW50IG9mIGRpYWdub3N0aWMgdGVzdCBhY2N1cmFjeSBzdHVkaWVzIiwiYXV0aG9yIjpbeyJmYW1pbHkiOiJXaGl0aW5nIiwiZ2l2ZW4iOiJQIEYiLCJwYXJzZS1uYW1lcyI6ZmFsc2UsImRyb3BwaW5nLXBhcnRpY2xlIjoiIiwibm9uLWRyb3BwaW5nLXBhcnRpY2xlIjoiIn0seyJmYW1pbHkiOiJUb21saW5zb24iLCJnaXZlbiI6IkUiLCJwYXJzZS1uYW1lcyI6ZmFsc2UsImRyb3BwaW5nLXBhcnRpY2xlIjoiIiwibm9uLWRyb3BwaW5nLXBhcnRpY2xlIjoiIn0seyJmYW1pbHkiOiJSdXRqZXMiLCJnaXZlbiI6IkEgVyBTIiwicGFyc2UtbmFtZXMiOmZhbHNlLCJkcm9wcGluZy1wYXJ0aWNsZSI6IiIsIm5vbi1kcm9wcGluZy1wYXJ0aWNsZSI6IiJ9XSwiY29udGFpbmVyLXRpdGxlIjoiQW5uYWxzIG9mIEludGVybmFsIE1lZGljaW5lIiwiY29udGFpbmVyLXRpdGxlLXNob3J0IjoiQW5uLiBJbnRlcm4uIE1lZC4iLCJET0kiOiIxMC43MzI2L0FOTkFMUy0yNS0wMjEwNCIsIlVSTCI6Imh0dHBzOi8vZG9pLm9yZy8xMC43MzI2L0FOTkFMUy0yNS0wMjEwNCIsImlzc3VlZCI6eyJkYXRlLXBhcnRzIjpbWzIwMjZdXX0sInBhZ2UiOiI1NDgtNTU1IiwiaXNzdWUiOiI0Iiwidm9sdW1lIjoiMTc5In0sImlzVGVtcG9yYXJ5IjpmYWxzZSwic3VwcHJlc3MtYXV0aG9yIjpmYWxzZSwiY29tcG9zaXRlIjpmYWxzZSwiYXV0aG9yLW9ubHkiOmZhbHNlfV19&quot;,&quot;citationItems&quot;:[{&quot;id&quot;:&quot;fedabcd3-a87a-33df-882f-37e3253cd515&quot;,&quot;itemData&quot;:{&quot;type&quot;:&quot;article-journal&quot;,&quot;id&quot;:&quot;fedabcd3-a87a-33df-882f-37e3253cd515&quot;,&quot;title&quot;:&quot;QUADAS-3: A revised tool for the quality assessment of diagnostic test accuracy studies&quot;,&quot;author&quot;:[{&quot;family&quot;:&quot;Whiting&quot;,&quot;given&quot;:&quot;P F&quot;,&quot;parse-names&quot;:false,&quot;dropping-particle&quot;:&quot;&quot;,&quot;non-dropping-particle&quot;:&quot;&quot;},{&quot;family&quot;:&quot;Tomlinson&quot;,&quot;given&quot;:&quot;E&quot;,&quot;parse-names&quot;:false,&quot;dropping-particle&quot;:&quot;&quot;,&quot;non-dropping-particle&quot;:&quot;&quot;},{&quot;family&quot;:&quot;Rutjes&quot;,&quot;given&quot;:&quot;A W S&quot;,&quot;parse-names&quot;:false,&quot;dropping-particle&quot;:&quot;&quot;,&quot;non-dropping-particle&quot;:&quot;&quot;}],&quot;container-title&quot;:&quot;Annals of Internal Medicine&quot;,&quot;container-title-short&quot;:&quot;Ann. Intern. Med.&quot;,&quot;DOI&quot;:&quot;10.7326/ANNALS-25-02104&quot;,&quot;URL&quot;:&quot;https://doi.org/10.7326/ANNALS-25-02104&quot;,&quot;issued&quot;:{&quot;date-parts&quot;:[[2026]]},&quot;page&quot;:&quot;548-555&quot;,&quot;issue&quot;:&quot;4&quot;,&quot;volume&quot;:&quot;179&quot;},&quot;isTemporary&quot;:false,&quot;suppress-author&quot;:false,&quot;composite&quot;:false,&quot;author-only&quot;:false}]},{&quot;citationID&quot;:&quot;MENDELEY_CITATION_b40f241d-1e6b-4a44-a954-c5eb5a3aa692&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YjQwZjI0MWQtMWU2Yi00YTQ0LWE5NTQtYzVlYjVhM2FhNjkyIiwicHJvcGVydGllcyI6eyJub3RlSW5kZXgiOjB9LCJpc0VkaXRlZCI6ZmFsc2UsIm1hbnVhbE92ZXJyaWRlIjp7ImlzTWFudWFsbHlPdmVycmlkZGVuIjpmYWxzZSwiY2l0ZXByb2NUZXh0IjoiPHN1cD44LDk8L3N1cD4iLCJtYW51YWxPdmVycmlkZVRleHQiOiIifSwiY2l0YXRpb25JdGVtcyI6W3siaWQiOiI3ODFhMGM1ZC1mY2QyLTNmYmYtYjkyZi05MDIxZjg1MGY4YTMiLCJpdGVtRGF0YSI6eyJ0eXBlIjoiYXJ0aWNsZS1qb3VybmFsIiwiaWQiOiI3ODFhMGM1ZC1mY2QyLTNmYmYtYjkyZi05MDIxZjg1MGY4YTMiLCJ0aXRsZSI6IlNhbGl2YXJ5IG1pUi0zMGMtNXAgYXMgcG90ZW50aWFsIGJpb21hcmtlciBmb3IgZGV0ZWN0aW9uIG9mIG9yYWwgc3F1YW1vdXMgY2VsbCBjYXJjaW5vbWEiLCJhdXRob3IiOlt7ImZhbWlseSI6Ik1laHRlcm92IiwiZ2l2ZW4iOiJOIiwicGFyc2UtbmFtZXMiOmZhbHNlLCJkcm9wcGluZy1wYXJ0aWNsZSI6IiIsIm5vbi1kcm9wcGluZy1wYXJ0aWNsZSI6IiJ9LHsiZmFtaWx5IjoiVmxhZGltaXJvdiIsImdpdmVuIjoiQiIsInBhcnNlLW5hbWVzIjpmYWxzZSwiZHJvcHBpbmctcGFydGljbGUiOiIiLCJub24tZHJvcHBpbmctcGFydGljbGUiOiIifSx7ImZhbWlseSI6IlNhY2NvbmkiLCJnaXZlbiI6IkEiLCJwYXJzZS1uYW1lcyI6ZmFsc2UsImRyb3BwaW5nLXBhcnRpY2xlIjoiIiwibm9uLWRyb3BwaW5nLXBhcnRpY2xlIjoiIn0seyJmYW1pbHkiOiJQdWxpdG8iLCJnaXZlbiI6IkMiLCJwYXJzZS1uYW1lcyI6ZmFsc2UsImRyb3BwaW5nLXBhcnRpY2xlIjoiIiwibm9uLWRyb3BwaW5nLXBhcnRpY2xlIjoiIn0seyJmYW1pbHkiOiJSdWNpbnNraSIsImdpdmVuIjoiTSIsInBhcnNlLW5hbWVzIjpmYWxzZSwiZHJvcHBpbmctcGFydGljbGUiOiIiLCJub24tZHJvcHBpbmctcGFydGljbGUiOiIifSx7ImZhbWlseSI6IkJsYW5kaW5vIiwiZ2l2ZW4iOiJHIiwicGFyc2UtbmFtZXMiOmZhbHNlLCJkcm9wcGluZy1wYXJ0aWNsZSI6IiIsIm5vbi1kcm9wcGluZy1wYXJ0aWNsZSI6IiJ9LHsiZmFtaWx5IjoiU2FyYWZpYW4iLCJnaXZlbiI6IlYiLCJwYXJzZS1uYW1lcyI6ZmFsc2UsImRyb3BwaW5nLXBhcnRpY2xlIjoiIiwibm9uLWRyb3BwaW5nLXBhcnRpY2xlIjoiIn1dLCJjb250YWluZXItdGl0bGUiOiJCaW9tZWRpY2luZXMiLCJjb250YWluZXItdGl0bGUtc2hvcnQiOiJCaW9tZWRpY2luZXMiLCJET0kiOiIxMC4zMzkwL2Jpb21lZGljaW5lczkwOTEwNzkiLCJVUkwiOiJodHRwczovL2RvaS5vcmcvMTAuMzM5MC9iaW9tZWRpY2luZXM5MDkxMDc5IiwiaXNzdWVkIjp7ImRhdGUtcGFydHMiOltbMjAyMV1dfSwicGFnZSI6IjEwNzkiLCJpc3N1ZSI6IjkiLCJ2b2x1bWUiOiI5In0sImlzVGVtcG9yYXJ5IjpmYWxzZSwic3VwcHJlc3MtYXV0aG9yIjpmYWxzZSwiY29tcG9zaXRlIjpmYWxzZSwiYXV0aG9yLW9ubHkiOmZhbHNlfSx7ImlkIjoiYjRlNDQ4ZWYtMjE3Yy0zZjliLWE3ZjYtNGViNWQxNTQ2ZTJkIiwiaXRlbURhdGEiOnsidHlwZSI6ImFydGljbGUtam91cm5hbCIsImlkIjoiYjRlNDQ4ZWYtMjE3Yy0zZjliLWE3ZjYtNGViNWQxNTQ2ZTJkIiwidGl0bGUiOiJHZW5vbWUtd2lkZSBzdHVkeSBvZiBzYWxpdmFyeSBtaVJOQXMgaWRlbnRpZmllcyBtaVItNDIzLTVwIGFzIHByb21pc2luZyBkaWFnbm9zdGljIGFuZCBwcm9nbm9zdGljIGJpb21hcmtlciBpbiBvcmFsIHNxdWFtb3VzIGNlbGwgY2FyY2lub21hIiwiYXV0aG9yIjpbeyJmYW1pbHkiOiJSb21hbmkiLCJnaXZlbiI6IkMiLCJwYXJzZS1uYW1lcyI6ZmFsc2UsImRyb3BwaW5nLXBhcnRpY2xlIjoiIiwibm9uLWRyb3BwaW5nLXBhcnRpY2xlIjoiIn0seyJmYW1pbHkiOiJTYWx2aWF0byIsImdpdmVuIjoiRSIsInBhcnNlLW5hbWVzIjpmYWxzZSwiZHJvcHBpbmctcGFydGljbGUiOiIiLCJub24tZHJvcHBpbmctcGFydGljbGUiOiIifSx7ImZhbWlseSI6IlBhZGVybm8iLCJnaXZlbiI6IkEiLCJwYXJzZS1uYW1lcyI6ZmFsc2UsImRyb3BwaW5nLXBhcnRpY2xlIjoiIiwibm9uLWRyb3BwaW5nLXBhcnRpY2xlIjoiIn0seyJmYW1pbHkiOiJaYW5vdHRpIiwiZ2l2ZW4iOiJMIiwicGFyc2UtbmFtZXMiOmZhbHNlLCJkcm9wcGluZy1wYXJ0aWNsZSI6IiIsIm5vbi1kcm9wcGluZy1wYXJ0aWNsZSI6IiJ9LHsiZmFtaWx5IjoiUmF2YWdnaSIsImdpdmVuIjoiQSIsInBhcnNlLW5hbWVzIjpmYWxzZSwiZHJvcHBpbmctcGFydGljbGUiOiIiLCJub24tZHJvcHBpbmctcGFydGljbGUiOiIifSx7ImZhbWlseSI6IkRlZ2FuZWxsbyIsImdpdmVuIjoiQSIsInBhcnNlLW5hbWVzIjpmYWxzZSwiZHJvcHBpbmctcGFydGljbGUiOiIiLCJub24tZHJvcHBpbmctcGFydGljbGUiOiIifSx7ImZhbWlseSI6IkJlcnJldHRpIiwiZ2l2ZW4iOiJHIiwicGFyc2UtbmFtZXMiOmZhbHNlLCJkcm9wcGluZy1wYXJ0aWNsZSI6IiIsIm5vbi1kcm9wcGluZy1wYXJ0aWNsZSI6IiJ9LHsiZmFtaWx5IjoiR3VhbHRpZXJpIiwiZ2l2ZW4iOiJUIiwicGFyc2UtbmFtZXMiOmZhbHNlLCJkcm9wcGluZy1wYXJ0aWNsZSI6IiIsIm5vbi1kcm9wcGluZy1wYXJ0aWNsZSI6IiJ9LHsiZmFtaWx5IjoiTWFyY2hpbmkiLCJnaXZlbiI6IlMiLCJwYXJzZS1uYW1lcyI6ZmFsc2UsImRyb3BwaW5nLXBhcnRpY2xlIjoiIiwibm9uLWRyb3BwaW5nLXBhcnRpY2xlIjoiIn0seyJmYW1pbHkiOiJE4oCZSW5jYWxjaSIsImdpdmVuIjoiTSIsInBhcnNlLW5hbWVzIjpmYWxzZSwiZHJvcHBpbmctcGFydGljbGUiOiIiLCJub24tZHJvcHBpbmctcGFydGljbGUiOiIifSx7ImZhbWlseSI6Ik1hdHRhdmVsbGkiLCJnaXZlbiI6IkQiLCJwYXJzZS1uYW1lcyI6ZmFsc2UsImRyb3BwaW5nLXBhcnRpY2xlIjoiIiwibm9uLWRyb3BwaW5nLXBhcnRpY2xlIjoiIn0seyJmYW1pbHkiOiJQaWF6emEiLCJnaXZlbiI6IkMiLCJwYXJzZS1uYW1lcyI6ZmFsc2UsImRyb3BwaW5nLXBhcnRpY2xlIjoiIiwibm9uLWRyb3BwaW5nLXBhcnRpY2xlIjoiIn0seyJmYW1pbHkiOiJCb3NzaSIsImdpdmVuIjoiUCIsInBhcnNlLW5hbWVzIjpmYWxzZSwiZHJvcHBpbmctcGFydGljbGUiOiIiLCJub24tZHJvcHBpbmctcGFydGljbGUiOiIifSx7ImZhbWlseSI6IlJvbXVhbGRpIiwiZ2l2ZW4iOiJDIiwicGFyc2UtbmFtZXMiOmZhbHNlLCJkcm9wcGluZy1wYXJ0aWNsZSI6IiIsIm5vbi1kcm9wcGluZy1wYXJ0aWNsZSI6IiJ9LHsiZmFtaWx5IjoiTmljb2xhaSIsImdpdmVuIjoiUCIsInBhcnNlLW5hbWVzIjpmYWxzZSwiZHJvcHBpbmctcGFydGljbGUiOiIiLCJub24tZHJvcHBpbmctcGFydGljbGUiOiIifSx7ImZhbWlseSI6IkJpZ25vdHRpIiwiZ2l2ZW4iOiJFIiwicGFyc2UtbmFtZXMiOmZhbHNlLCJkcm9wcGluZy1wYXJ0aWNsZSI6IiIsIm5vbi1kcm9wcGluZy1wYXJ0aWNsZSI6IiJ9XSwiY29udGFpbmVyLXRpdGxlIjoiVGhlcmFub3N0aWNzIiwiY29udGFpbmVyLXRpdGxlLXNob3J0IjoiVGhlcmFub3N0aWNzIiwiRE9JIjoiMTAuNzE1MC90aG5vLjQ1MTU3IiwiVVJMIjoiaHR0cHM6Ly9kb2kub3JnLzEwLjcxNTAvdGhuby40NTE1NyIsImlzc3VlZCI6eyJkYXRlLXBhcnRzIjpbWzIwMjFdXX0sInBhZ2UiOiIyOTg3LTI5OTkiLCJpc3N1ZSI6IjYiLCJ2b2x1bWUiOiIxMSJ9LCJpc1RlbXBvcmFyeSI6ZmFsc2V9XX0=&quot;,&quot;citationItems&quot;:[{&quot;id&quot;:&quot;781a0c5d-fcd2-3fbf-b92f-9021f850f8a3&quot;,&quot;itemData&quot;:{&quot;type&quot;:&quot;article-journal&quot;,&quot;id&quot;:&quot;781a0c5d-fcd2-3fbf-b92f-9021f850f8a3&quot;,&quot;title&quot;:&quot;Salivary miR-30c-5p as potential biomarker for detection of oral squamous cell carcinoma&quot;,&quot;author&quot;:[{&quot;family&quot;:&quot;Mehterov&quot;,&quot;given&quot;:&quot;N&quot;,&quot;parse-names&quot;:false,&quot;dropping-particle&quot;:&quot;&quot;,&quot;non-dropping-particle&quot;:&quot;&quot;},{&quot;family&quot;:&quot;Vladimirov&quot;,&quot;given&quot;:&quot;B&quot;,&quot;parse-names&quot;:false,&quot;dropping-particle&quot;:&quot;&quot;,&quot;non-dropping-particle&quot;:&quot;&quot;},{&quot;family&quot;:&quot;Sacconi&quot;,&quot;given&quot;:&quot;A&quot;,&quot;parse-names&quot;:false,&quot;dropping-particle&quot;:&quot;&quot;,&quot;non-dropping-particle&quot;:&quot;&quot;},{&quot;family&quot;:&quot;Pulito&quot;,&quot;given&quot;:&quot;C&quot;,&quot;parse-names&quot;:false,&quot;dropping-particle&quot;:&quot;&quot;,&quot;non-dropping-particle&quot;:&quot;&quot;},{&quot;family&quot;:&quot;Rucinski&quot;,&quot;given&quot;:&quot;M&quot;,&quot;parse-names&quot;:false,&quot;dropping-particle&quot;:&quot;&quot;,&quot;non-dropping-particle&quot;:&quot;&quot;},{&quot;family&quot;:&quot;Blandino&quot;,&quot;given&quot;:&quot;G&quot;,&quot;parse-names&quot;:false,&quot;dropping-particle&quot;:&quot;&quot;,&quot;non-dropping-particle&quot;:&quot;&quot;},{&quot;family&quot;:&quot;Sarafian&quot;,&quot;given&quot;:&quot;V&quot;,&quot;parse-names&quot;:false,&quot;dropping-particle&quot;:&quot;&quot;,&quot;non-dropping-particle&quot;:&quot;&quot;}],&quot;container-title&quot;:&quot;Biomedicines&quot;,&quot;container-title-short&quot;:&quot;Biomedicines&quot;,&quot;DOI&quot;:&quot;10.3390/biomedicines9091079&quot;,&quot;URL&quot;:&quot;https://doi.org/10.3390/biomedicines9091079&quot;,&quot;issued&quot;:{&quot;date-parts&quot;:[[2021]]},&quot;page&quot;:&quot;1079&quot;,&quot;issue&quot;:&quot;9&quot;,&quot;volume&quot;:&quot;9&quot;},&quot;isTemporary&quot;:false,&quot;suppress-author&quot;:false,&quot;composite&quot;:false,&quot;author-only&quot;:false},{&quot;id&quot;:&quot;b4e448ef-217c-3f9b-a7f6-4eb5d1546e2d&quot;,&quot;itemData&quot;:{&quot;type&quot;:&quot;article-journal&quot;,&quot;id&quot;:&quot;b4e448ef-217c-3f9b-a7f6-4eb5d1546e2d&quot;,&quot;title&quot;:&quot;Genome-wide study of salivary miRNAs identifies miR-423-5p as promising diagnostic and prognostic biomarker in oral squamous cell carcinoma&quot;,&quot;author&quot;:[{&quot;family&quot;:&quot;Romani&quot;,&quot;given&quot;:&quot;C&quot;,&quot;parse-names&quot;:false,&quot;dropping-particle&quot;:&quot;&quot;,&quot;non-dropping-particle&quot;:&quot;&quot;},{&quot;family&quot;:&quot;Salviato&quot;,&quot;given&quot;:&quot;E&quot;,&quot;parse-names&quot;:false,&quot;dropping-particle&quot;:&quot;&quot;,&quot;non-dropping-particle&quot;:&quot;&quot;},{&quot;family&quot;:&quot;Paderno&quot;,&quot;given&quot;:&quot;A&quot;,&quot;parse-names&quot;:false,&quot;dropping-particle&quot;:&quot;&quot;,&quot;non-dropping-particle&quot;:&quot;&quot;},{&quot;family&quot;:&quot;Zanotti&quot;,&quot;given&quot;:&quot;L&quot;,&quot;parse-names&quot;:false,&quot;dropping-particle&quot;:&quot;&quot;,&quot;non-dropping-particle&quot;:&quot;&quot;},{&quot;family&quot;:&quot;Ravaggi&quot;,&quot;given&quot;:&quot;A&quot;,&quot;parse-names&quot;:false,&quot;dropping-particle&quot;:&quot;&quot;,&quot;non-dropping-particle&quot;:&quot;&quot;},{&quot;family&quot;:&quot;Deganello&quot;,&quot;given&quot;:&quot;A&quot;,&quot;parse-names&quot;:false,&quot;dropping-particle&quot;:&quot;&quot;,&quot;non-dropping-particle&quot;:&quot;&quot;},{&quot;family&quot;:&quot;Berretti&quot;,&quot;given&quot;:&quot;G&quot;,&quot;parse-names&quot;:false,&quot;dropping-particle&quot;:&quot;&quot;,&quot;non-dropping-particle&quot;:&quot;&quot;},{&quot;family&quot;:&quot;Gualtieri&quot;,&quot;given&quot;:&quot;T&quot;,&quot;parse-names&quot;:false,&quot;dropping-particle&quot;:&quot;&quot;,&quot;non-dropping-particle&quot;:&quot;&quot;},{&quot;family&quot;:&quot;Marchini&quot;,&quot;given&quot;:&quot;S&quot;,&quot;parse-names&quot;:false,&quot;dropping-particle&quot;:&quot;&quot;,&quot;non-dropping-particle&quot;:&quot;&quot;},{&quot;family&quot;:&quot;D’Incalci&quot;,&quot;given&quot;:&quot;M&quot;,&quot;parse-names&quot;:false,&quot;dropping-particle&quot;:&quot;&quot;,&quot;non-dropping-particle&quot;:&quot;&quot;},{&quot;family&quot;:&quot;Mattavelli&quot;,&quot;given&quot;:&quot;D&quot;,&quot;parse-names&quot;:false,&quot;dropping-particle&quot;:&quot;&quot;,&quot;non-dropping-particle&quot;:&quot;&quot;},{&quot;family&quot;:&quot;Piazza&quot;,&quot;given&quot;:&quot;C&quot;,&quot;parse-names&quot;:false,&quot;dropping-particle&quot;:&quot;&quot;,&quot;non-dropping-particle&quot;:&quot;&quot;},{&quot;family&quot;:&quot;Bossi&quot;,&quot;given&quot;:&quot;P&quot;,&quot;parse-names&quot;:false,&quot;dropping-particle&quot;:&quot;&quot;,&quot;non-dropping-particle&quot;:&quot;&quot;},{&quot;family&quot;:&quot;Romualdi&quot;,&quot;given&quot;:&quot;C&quot;,&quot;parse-names&quot;:false,&quot;dropping-particle&quot;:&quot;&quot;,&quot;non-dropping-particle&quot;:&quot;&quot;},{&quot;family&quot;:&quot;Nicolai&quot;,&quot;given&quot;:&quot;P&quot;,&quot;parse-names&quot;:false,&quot;dropping-particle&quot;:&quot;&quot;,&quot;non-dropping-particle&quot;:&quot;&quot;},{&quot;family&quot;:&quot;Bignotti&quot;,&quot;given&quot;:&quot;E&quot;,&quot;parse-names&quot;:false,&quot;dropping-particle&quot;:&quot;&quot;,&quot;non-dropping-particle&quot;:&quot;&quot;}],&quot;container-title&quot;:&quot;Theranostics&quot;,&quot;container-title-short&quot;:&quot;Theranostics&quot;,&quot;DOI&quot;:&quot;10.7150/thno.45157&quot;,&quot;URL&quot;:&quot;https://doi.org/10.7150/thno.45157&quot;,&quot;issued&quot;:{&quot;date-parts&quot;:[[2021]]},&quot;page&quot;:&quot;2987-2999&quot;,&quot;issue&quot;:&quot;6&quot;,&quot;volume&quot;:&quot;11&quot;},&quot;isTemporary&quot;:false}]},{&quot;citationID&quot;:&quot;MENDELEY_CITATION_44464b6d-6947-4631-bb7f-c67614fa35e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NDQ0NjRiNmQtNjk0Ny00NjMxLWJiN2YtYzY3NjE0ZmEzNWU3IiwicHJvcGVydGllcyI6eyJub3RlSW5kZXgiOjB9LCJpc0VkaXRlZCI6ZmFsc2UsIm1hbnVhbE92ZXJyaWRlIjp7ImlzTWFudWFsbHlPdmVycmlkZGVuIjpmYWxzZSwiY2l0ZXByb2NUZXh0IjoiPHN1cD4yNjwvc3VwPiIsIm1hbnVhbE92ZXJyaWRlVGV4dCI6IiJ9LCJjaXRhdGlvbkl0ZW1zIjpbeyJpZCI6IjVmYzU2ZjMwLTg5ZjYtMzA5Ny05OGU1LTUwOTU1MWVjZWYyOCIsIml0ZW1EYXRhIjp7InR5cGUiOiJhcnRpY2xlLWpvdXJuYWwiLCJpZCI6IjVmYzU2ZjMwLTg5ZjYtMzA5Ny05OGU1LTUwOTU1MWVjZWYyOCIsInRpdGxlIjoiR1JBREUgZ3VpZGFuY2UgMzE6IEFzc2Vzc2luZyB0aGUgY2VydGFpbnR5IGFjcm9zcyBhIGJvZHkgb2YgZXZpZGVuY2UgZm9yIGNvbXBhcmF0aXZlIHRlc3QgYWNjdXJhY3kiLCJhdXRob3IiOlt7ImZhbWlseSI6IllhbmciLCJnaXZlbiI6IkIiLCJwYXJzZS1uYW1lcyI6ZmFsc2UsImRyb3BwaW5nLXBhcnRpY2xlIjoiIiwibm9uLWRyb3BwaW5nLXBhcnRpY2xlIjoiIn0seyJmYW1pbHkiOiJNdXN0YWZhIiwiZ2l2ZW4iOiJSIEEiLCJwYXJzZS1uYW1lcyI6ZmFsc2UsImRyb3BwaW5nLXBhcnRpY2xlIjoiIiwibm9uLWRyb3BwaW5nLXBhcnRpY2xlIjoiIn0seyJmYW1pbHkiOiJCb3NzdXl0IiwiZ2l2ZW4iOiJQIE0iLCJwYXJzZS1uYW1lcyI6ZmFsc2UsImRyb3BwaW5nLXBhcnRpY2xlIjoiIiwibm9uLWRyb3BwaW5nLXBhcnRpY2xlIjoiIn0seyJmYW1pbHkiOiJCcm96ZWsiLCJnaXZlbiI6IkoiLCJwYXJzZS1uYW1lcyI6ZmFsc2UsImRyb3BwaW5nLXBhcnRpY2xlIjoiIiwibm9uLWRyb3BwaW5nLXBhcnRpY2xlIjoiIn0seyJmYW1pbHkiOiJIdWx0Y3JhbnR6IiwiZ2l2ZW4iOiJNIiwicGFyc2UtbmFtZXMiOmZhbHNlLCJkcm9wcGluZy1wYXJ0aWNsZSI6IiIsIm5vbi1kcm9wcGluZy1wYXJ0aWNsZSI6IiJ9LHsiZmFtaWx5IjoiTGVlZmxhbmciLCJnaXZlbiI6Ik0gTSBHIiwicGFyc2UtbmFtZXMiOmZhbHNlLCJkcm9wcGluZy1wYXJ0aWNsZSI6IiIsIm5vbi1kcm9wcGluZy1wYXJ0aWNsZSI6IiJ9LHsiZmFtaWx5IjoiU2Now7xuZW1hbm4iLCJnaXZlbiI6IkggSiIsInBhcnNlLW5hbWVzIjpmYWxzZSwiZHJvcHBpbmctcGFydGljbGUiOiIiLCJub24tZHJvcHBpbmctcGFydGljbGUiOiIifSx7ImZhbWlseSI6IkxhbmdlbmRhbSIsImdpdmVuIjoiTSBXIiwicGFyc2UtbmFtZXMiOmZhbHNlLCJkcm9wcGluZy1wYXJ0aWNsZSI6IiIsIm5vbi1kcm9wcGluZy1wYXJ0aWNsZSI6IiJ9XSwiY29udGFpbmVyLXRpdGxlIjoiSm91cm5hbCBvZiBDbGluaWNhbCBFcGlkZW1pb2xvZ3kiLCJjb250YWluZXItdGl0bGUtc2hvcnQiOiJKLiBDbGluLiBFcGlkZW1pb2wuIiwiRE9JIjoiMTAuMTAxNi9qLmpjbGluZXBpLjIwMjEuMDQuMDAxIiwiVVJMIjoiaHR0cHM6Ly9kb2kub3JnLzEwLjEwMTYvai5qY2xpbmVwaS4yMDIxLjA0LjAwMSIsImlzc3VlZCI6eyJkYXRlLXBhcnRzIjpbWzIwMjFdXX0sInBhZ2UiOiIxNDYtMTU2Iiwidm9sdW1lIjoiMTM2In0sImlzVGVtcG9yYXJ5IjpmYWxzZSwic3VwcHJlc3MtYXV0aG9yIjpmYWxzZSwiY29tcG9zaXRlIjpmYWxzZSwiYXV0aG9yLW9ubHkiOmZhbHNlfV19&quot;,&quot;citationItems&quot;:[{&quot;id&quot;:&quot;5fc56f30-89f6-3097-98e5-509551ecef28&quot;,&quot;itemData&quot;:{&quot;type&quot;:&quot;article-journal&quot;,&quot;id&quot;:&quot;5fc56f30-89f6-3097-98e5-509551ecef28&quot;,&quot;title&quot;:&quot;GRADE guidance 31: Assessing the certainty across a body of evidence for comparative test accuracy&quot;,&quot;author&quot;:[{&quot;family&quot;:&quot;Yang&quot;,&quot;given&quot;:&quot;B&quot;,&quot;parse-names&quot;:false,&quot;dropping-particle&quot;:&quot;&quot;,&quot;non-dropping-particle&quot;:&quot;&quot;},{&quot;family&quot;:&quot;Mustafa&quot;,&quot;given&quot;:&quot;R A&quot;,&quot;parse-names&quot;:false,&quot;dropping-particle&quot;:&quot;&quot;,&quot;non-dropping-particle&quot;:&quot;&quot;},{&quot;family&quot;:&quot;Bossuyt&quot;,&quot;given&quot;:&quot;P M&quot;,&quot;parse-names&quot;:false,&quot;dropping-particle&quot;:&quot;&quot;,&quot;non-dropping-particle&quot;:&quot;&quot;},{&quot;family&quot;:&quot;Brozek&quot;,&quot;given&quot;:&quot;J&quot;,&quot;parse-names&quot;:false,&quot;dropping-particle&quot;:&quot;&quot;,&quot;non-dropping-particle&quot;:&quot;&quot;},{&quot;family&quot;:&quot;Hultcrantz&quot;,&quot;given&quot;:&quot;M&quot;,&quot;parse-names&quot;:false,&quot;dropping-particle&quot;:&quot;&quot;,&quot;non-dropping-particle&quot;:&quot;&quot;},{&quot;family&quot;:&quot;Leeflang&quot;,&quot;given&quot;:&quot;M M G&quot;,&quot;parse-names&quot;:false,&quot;dropping-particle&quot;:&quot;&quot;,&quot;non-dropping-particle&quot;:&quot;&quot;},{&quot;family&quot;:&quot;Schünemann&quot;,&quot;given&quot;:&quot;H J&quot;,&quot;parse-names&quot;:false,&quot;dropping-particle&quot;:&quot;&quot;,&quot;non-dropping-particle&quot;:&quot;&quot;},{&quot;family&quot;:&quot;Langendam&quot;,&quot;given&quot;:&quot;M W&quot;,&quot;parse-names&quot;:false,&quot;dropping-particle&quot;:&quot;&quot;,&quot;non-dropping-particle&quot;:&quot;&quot;}],&quot;container-title&quot;:&quot;Journal of Clinical Epidemiology&quot;,&quot;container-title-short&quot;:&quot;J. Clin. Epidemiol.&quot;,&quot;DOI&quot;:&quot;10.1016/j.jclinepi.2021.04.001&quot;,&quot;URL&quot;:&quot;https://doi.org/10.1016/j.jclinepi.2021.04.001&quot;,&quot;issued&quot;:{&quot;date-parts&quot;:[[2021]]},&quot;page&quot;:&quot;146-156&quot;,&quot;volume&quot;:&quot;136&quot;},&quot;isTemporary&quot;:false,&quot;suppress-author&quot;:false,&quot;composite&quot;:false,&quot;author-only&quot;:false}]},{&quot;citationID&quot;:&quot;MENDELEY_CITATION_dff803c4-f96f-4aa0-b1b6-2aeffc07aabf&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GZmODAzYzQtZjk2Zi00YWEwLWIxYjYtMmFlZmZjMDdhYWJmIiwicHJvcGVydGllcyI6eyJub3RlSW5kZXgiOjB9LCJpc0VkaXRlZCI6ZmFsc2UsIm1hbnVhbE92ZXJyaWRlIjp7ImlzTWFudWFsbHlPdmVycmlkZGVuIjpmYWxzZSwiY2l0ZXByb2NUZXh0IjoiPHN1cD4xODwvc3VwPiIsIm1hbnVhbE92ZXJyaWRlVGV4dCI6IiJ9LCJjaXRhdGlvbkl0ZW1zIjpbeyJpZCI6IjJkNTBmYmZkLWFkMDAtM2YxMC1hZDQxLTQzYWVkNzI1NzE1OSIsIml0ZW1EYXRhIjp7InR5cGUiOiJhcnRpY2xlLWpvdXJuYWwiLCJpZCI6IjJkNTBmYmZkLWFkMDAtM2YxMC1hZDQxLTQzYWVkNzI1NzE1OSIsInRpdGxlIjoiRGlhZ25vc3RpYyBhY2N1cmFjeSBhbmQgY2xpbmljYWwgdXRpbGl0eSBvZiBzYWxpdmFyeSBiaW9tYXJrZXJzIGluIG9yYWwgc3F1YW1vdXMgY2VsbCBjYXJjaW5vbWE6IEEgbWV0YS1hbmFseXNpcyIsImF1dGhvciI6W3siZmFtaWx5IjoiV2lqYXlhIiwiZ2l2ZW4iOiJBIiwicGFyc2UtbmFtZXMiOmZhbHNlLCJkcm9wcGluZy1wYXJ0aWNsZSI6IiIsIm5vbi1kcm9wcGluZy1wYXJ0aWNsZSI6IiJ9LHsiZmFtaWx5IjoiSnVsaWEiLCJnaXZlbiI6IlYiLCJwYXJzZS1uYW1lcyI6ZmFsc2UsImRyb3BwaW5nLXBhcnRpY2xlIjoiIiwibm9uLWRyb3BwaW5nLXBhcnRpY2xlIjoiIn0seyJmYW1pbHkiOiJTb2VkYXJzb25vIiwiZ2l2ZW4iOiJOIiwicGFyc2UtbmFtZXMiOmZhbHNlLCJkcm9wcGluZy1wYXJ0aWNsZSI6IiIsIm5vbi1kcm9wcGluZy1wYXJ0aWNsZSI6IiJ9LHsiZmFtaWx5IjoiU3VsaXN0eWFuaSIsImdpdmVuIjoiTCBEIiwicGFyc2UtbmFtZXMiOmZhbHNlLCJkcm9wcGluZy1wYXJ0aWNsZSI6IiIsIm5vbi1kcm9wcGluZy1wYXJ0aWNsZSI6IiJ9LHsiZmFtaWx5IjoiTGF0aWVmIiwiZ2l2ZW4iOiJNIEEiLCJwYXJzZS1uYW1lcyI6ZmFsc2UsImRyb3BwaW5nLXBhcnRpY2xlIjoiIiwibm9uLWRyb3BwaW5nLXBhcnRpY2xlIjoiIn0seyJmYW1pbHkiOiJGYXRoIiwiZ2l2ZW4iOiJUIiwicGFyc2UtbmFtZXMiOmZhbHNlLCJkcm9wcGluZy1wYXJ0aWNsZSI6IiIsIm5vbi1kcm9wcGluZy1wYXJ0aWNsZSI6IiJ9LHsiZmFtaWx5IjoiQnJhaG1hIiwiZ2l2ZW4iOiJCIiwicGFyc2UtbmFtZXMiOmZhbHNlLCJkcm9wcGluZy1wYXJ0aWNsZSI6IiIsIm5vbi1kcm9wcGluZy1wYXJ0aWNsZSI6IiJ9LHsiZmFtaWx5IjoiU29lcmF0bWFuIiwiZ2l2ZW4iOiJBIFIiLCJwYXJzZS1uYW1lcyI6ZmFsc2UsImRyb3BwaW5nLXBhcnRpY2xlIjoiIiwibm9uLWRyb3BwaW5nLXBhcnRpY2xlIjoiIn0seyJmYW1pbHkiOiJQdXJ3YW50byIsImdpdmVuIjoiRCBKIiwicGFyc2UtbmFtZXMiOmZhbHNlLCJkcm9wcGluZy1wYXJ0aWNsZSI6IiIsIm5vbi1kcm9wcGluZy1wYXJ0aWNsZSI6IiJ9LHsiZmFtaWx5IjoiSGlnYXNoaSIsImdpdmVuIjoiWSIsInBhcnNlLW5hbWVzIjpmYWxzZSwiZHJvcHBpbmctcGFydGljbGUiOiIiLCJub24tZHJvcHBpbmctcGFydGljbGUiOiIifSx7ImZhbWlseSI6IlN1Z2l1cmEiLCJnaXZlbiI6IlQiLCJwYXJzZS1uYW1lcyI6ZmFsc2UsImRyb3BwaW5nLXBhcnRpY2xlIjoiIiwibm9uLWRyb3BwaW5nLXBhcnRpY2xlIjoiIn1dLCJjb250YWluZXItdGl0bGUiOiJDYW5jZXJzIiwiY29udGFpbmVyLXRpdGxlLXNob3J0IjoiQ2FuY2VycyAoQmFzZWwpLiIsIkRPSSI6IjEwLjMzOTAvY2FuY2VyczE4MDYwOTcwIiwiVVJMIjoiaHR0cHM6Ly9kb2kub3JnLzEwLjMzOTAvY2FuY2VyczE4MDYwOTcwIiwiaXNzdWVkIjp7ImRhdGUtcGFydHMiOltbMjAyNl1dfSwicGFnZSI6Ijk3MCIsImlzc3VlIjoiNiIsInZvbHVtZSI6IjE4In0sImlzVGVtcG9yYXJ5IjpmYWxzZX1dfQ==&quot;,&quot;citationItems&quot;:[{&quot;id&quot;:&quot;2d50fbfd-ad00-3f10-ad41-43aed7257159&quot;,&quot;itemData&quot;:{&quot;type&quot;:&quot;article-journal&quot;,&quot;id&quot;:&quot;2d50fbfd-ad00-3f10-ad41-43aed7257159&quot;,&quot;title&quot;:&quot;Diagnostic accuracy and clinical utility of salivary biomarkers in oral squamous cell carcinoma: A meta-analysis&quot;,&quot;author&quot;:[{&quot;family&quot;:&quot;Wijaya&quot;,&quot;given&quot;:&quot;A&quot;,&quot;parse-names&quot;:false,&quot;dropping-particle&quot;:&quot;&quot;,&quot;non-dropping-particle&quot;:&quot;&quot;},{&quot;family&quot;:&quot;Julia&quot;,&quot;given&quot;:&quot;V&quot;,&quot;parse-names&quot;:false,&quot;dropping-particle&quot;:&quot;&quot;,&quot;non-dropping-particle&quot;:&quot;&quot;},{&quot;family&quot;:&quot;Soedarsono&quot;,&quot;given&quot;:&quot;N&quot;,&quot;parse-names&quot;:false,&quot;dropping-particle&quot;:&quot;&quot;,&quot;non-dropping-particle&quot;:&quot;&quot;},{&quot;family&quot;:&quot;Sulistyani&quot;,&quot;given&quot;:&quot;L D&quot;,&quot;parse-names&quot;:false,&quot;dropping-particle&quot;:&quot;&quot;,&quot;non-dropping-particle&quot;:&quot;&quot;},{&quot;family&quot;:&quot;Latief&quot;,&quot;given&quot;:&quot;M A&quot;,&quot;parse-names&quot;:false,&quot;dropping-particle&quot;:&quot;&quot;,&quot;non-dropping-particle&quot;:&quot;&quot;},{&quot;family&quot;:&quot;Fath&quot;,&quot;given&quot;:&quot;T&quot;,&quot;parse-names&quot;:false,&quot;dropping-particle&quot;:&quot;&quot;,&quot;non-dropping-particle&quot;:&quot;&quot;},{&quot;family&quot;:&quot;Brahma&quot;,&quot;given&quot;:&quot;B&quot;,&quot;parse-names&quot;:false,&quot;dropping-particle&quot;:&quot;&quot;,&quot;non-dropping-particle&quot;:&quot;&quot;},{&quot;family&quot;:&quot;Soeratman&quot;,&quot;given&quot;:&quot;A R&quot;,&quot;parse-names&quot;:false,&quot;dropping-particle&quot;:&quot;&quot;,&quot;non-dropping-particle&quot;:&quot;&quot;},{&quot;family&quot;:&quot;Purwanto&quot;,&quot;given&quot;:&quot;D J&quot;,&quot;parse-names&quot;:false,&quot;dropping-particle&quot;:&quot;&quot;,&quot;non-dropping-particle&quot;:&quot;&quot;},{&quot;family&quot;:&quot;Higashi&quot;,&quot;given&quot;:&quot;Y&quot;,&quot;parse-names&quot;:false,&quot;dropping-particle&quot;:&quot;&quot;,&quot;non-dropping-particle&quot;:&quot;&quot;},{&quot;family&quot;:&quot;Sugiura&quot;,&quot;given&quot;:&quot;T&quot;,&quot;parse-names&quot;:false,&quot;dropping-particle&quot;:&quot;&quot;,&quot;non-dropping-particle&quot;:&quot;&quot;}],&quot;container-title&quot;:&quot;Cancers&quot;,&quot;container-title-short&quot;:&quot;Cancers (Basel).&quot;,&quot;DOI&quot;:&quot;10.3390/cancers18060970&quot;,&quot;URL&quot;:&quot;https://doi.org/10.3390/cancers18060970&quot;,&quot;issued&quot;:{&quot;date-parts&quot;:[[2026]]},&quot;page&quot;:&quot;970&quot;,&quot;issue&quot;:&quot;6&quot;,&quot;volume&quot;:&quot;18&quot;},&quot;isTemporary&quot;:false}]},{&quot;citationID&quot;:&quot;MENDELEY_CITATION_756408dd-ab87-4cd4-b575-f2099a9d52d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zU2NDA4ZGQtYWI4Ny00Y2Q0LWI1NzUtZjIwOTlhOWQ1MmQzIiwicHJvcGVydGllcyI6eyJub3RlSW5kZXgiOjB9LCJpc0VkaXRlZCI6ZmFsc2UsIm1hbnVhbE92ZXJyaWRlIjp7ImlzTWFudWFsbHlPdmVycmlkZGVuIjpmYWxzZSwiY2l0ZXByb2NUZXh0IjoiPHN1cD4yMTwvc3VwPiIsIm1hbnVhbE92ZXJyaWRlVGV4dCI6IiJ9LCJjaXRhdGlvbkl0ZW1zIjpbeyJpZCI6ImVmZGRmZTdmLWE3YzItMzI5ZS1iZjViLWYwNGQ3OTRjZDJkZiIsIml0ZW1EYXRhIjp7InR5cGUiOiJhcnRpY2xlLWpvdXJuYWwiLCJpZCI6ImVmZGRmZTdmLWE3YzItMzI5ZS1iZjViLWYwNGQ3OTRjZDJkZiIsInRpdGxlIjoiU2FsaXZhcnkgbWljcm9STkFzIGFzIGlubm92YXRpdmUgYmlvbWFya2VycyBmb3IgZGlhZ25vc2lzIGFuZCBwcmVkaWN0aW9uIG9mIHRoZSBvcmFsIHBvdGVudGlhbGx5IG1hbGlnbmFudCBkaXNvcmRlcnMgdHJhbnNpdGlvbiB0b3dhcmRzIG9yYWwgY2FuY2VyOiBBIHN5c3RlbWF0aWMgcmV2aWV3IiwiYXV0aG9yIjpbeyJmYW1pbHkiOiJPc2FuIiwiZ2l2ZW4iOiJDIiwicGFyc2UtbmFtZXMiOmZhbHNlLCJkcm9wcGluZy1wYXJ0aWNsZSI6IiIsIm5vbi1kcm9wcGluZy1wYXJ0aWNsZSI6IiJ9LHsiZmFtaWx5IjoiQmVyaW5kYW4tTmVhZ29lIiwiZ2l2ZW4iOiJJIiwicGFyc2UtbmFtZXMiOmZhbHNlLCJkcm9wcGluZy1wYXJ0aWNsZSI6IiIsIm5vbi1kcm9wcGluZy1wYXJ0aWNsZSI6IiJ9LHsiZmFtaWx5IjoiRGludSIsImdpdmVuIjoiQyIsInBhcnNlLW5hbWVzIjpmYWxzZSwiZHJvcHBpbmctcGFydGljbGUiOiIiLCJub24tZHJvcHBpbmctcGFydGljbGUiOiIifSx7ImZhbWlseSI6IkFybWVuY2VhIiwiZ2l2ZW4iOiJHIiwicGFyc2UtbmFtZXMiOmZhbHNlLCJkcm9wcGluZy1wYXJ0aWNsZSI6IiIsIm5vbi1kcm9wcGluZy1wYXJ0aWNsZSI6IiJ9LHsiZmFtaWx5IjoiQnJhbiIsImdpdmVuIjoiUyIsInBhcnNlLW5hbWVzIjpmYWxzZSwiZHJvcHBpbmctcGFydGljbGUiOiIiLCJub24tZHJvcHBpbmctcGFydGljbGUiOiIifSx7ImZhbWlseSI6IktyZXRzY2htZXIiLCJnaXZlbiI6IlciLCJwYXJzZS1uYW1lcyI6ZmFsc2UsImRyb3BwaW5nLXBhcnRpY2xlIjoiIiwibm9uLWRyb3BwaW5nLXBhcnRpY2xlIjoiIn0seyJmYW1pbHkiOiJCYWNpdXQiLCJnaXZlbiI6IkciLCJwYXJzZS1uYW1lcyI6ZmFsc2UsImRyb3BwaW5nLXBhcnRpY2xlIjoiIiwibm9uLWRyb3BwaW5nLXBhcnRpY2xlIjoiIn0seyJmYW1pbHkiOiJPbmlzb3IiLCJnaXZlbiI6IkYiLCJwYXJzZS1uYW1lcyI6ZmFsc2UsImRyb3BwaW5nLXBhcnRpY2xlIjoiIiwibm9uLWRyb3BwaW5nLXBhcnRpY2xlIjoiIn0seyJmYW1pbHkiOiJCYWNpdXQiLCJnaXZlbiI6Ik0iLCJwYXJzZS1uYW1lcyI6ZmFsc2UsImRyb3BwaW5nLXBhcnRpY2xlIjoiIiwibm9uLWRyb3BwaW5nLXBhcnRpY2xlIjoiIn1dLCJjb250YWluZXItdGl0bGUiOiJKb3VybmFsIG9mIENsaW5pY2FsIE1lZGljaW5lIiwiY29udGFpbmVyLXRpdGxlLXNob3J0IjoiSi4gQ2xpbi4gTWVkLiIsIkRPSSI6IjEwLjMzOTAvamNtMTQyMjgxMjgiLCJVUkwiOiJodHRwczovL2RvaS5vcmcvMTAuMzM5MC9qY20xNDIyODEyOCIsImlzc3VlZCI6eyJkYXRlLXBhcnRzIjpbWzIwMjVdXX0sInBhZ2UiOiI4MTI4IiwiaXNzdWUiOiIyMiIsInZvbHVtZSI6IjE0In0sImlzVGVtcG9yYXJ5IjpmYWxzZSwic3VwcHJlc3MtYXV0aG9yIjpmYWxzZSwiY29tcG9zaXRlIjpmYWxzZSwiYXV0aG9yLW9ubHkiOmZhbHNlfV19&quot;,&quot;citationItems&quot;:[{&quot;id&quot;:&quot;efddfe7f-a7c2-329e-bf5b-f04d794cd2df&quot;,&quot;itemData&quot;:{&quot;type&quot;:&quot;article-journal&quot;,&quot;id&quot;:&quot;efddfe7f-a7c2-329e-bf5b-f04d794cd2df&quot;,&quot;title&quot;:&quot;Salivary microRNAs as innovative biomarkers for diagnosis and prediction of the oral potentially malignant disorders transition towards oral cancer: A systematic review&quot;,&quot;author&quot;:[{&quot;family&quot;:&quot;Osan&quot;,&quot;given&quot;:&quot;C&quot;,&quot;parse-names&quot;:false,&quot;dropping-particle&quot;:&quot;&quot;,&quot;non-dropping-particle&quot;:&quot;&quot;},{&quot;family&quot;:&quot;Berindan-Neagoe&quot;,&quot;given&quot;:&quot;I&quot;,&quot;parse-names&quot;:false,&quot;dropping-particle&quot;:&quot;&quot;,&quot;non-dropping-particle&quot;:&quot;&quot;},{&quot;family&quot;:&quot;Dinu&quot;,&quot;given&quot;:&quot;C&quot;,&quot;parse-names&quot;:false,&quot;dropping-particle&quot;:&quot;&quot;,&quot;non-dropping-particle&quot;:&quot;&quot;},{&quot;family&quot;:&quot;Armencea&quot;,&quot;given&quot;:&quot;G&quot;,&quot;parse-names&quot;:false,&quot;dropping-particle&quot;:&quot;&quot;,&quot;non-dropping-particle&quot;:&quot;&quot;},{&quot;family&quot;:&quot;Bran&quot;,&quot;given&quot;:&quot;S&quot;,&quot;parse-names&quot;:false,&quot;dropping-particle&quot;:&quot;&quot;,&quot;non-dropping-particle&quot;:&quot;&quot;},{&quot;family&quot;:&quot;Kretschmer&quot;,&quot;given&quot;:&quot;W&quot;,&quot;parse-names&quot;:false,&quot;dropping-particle&quot;:&quot;&quot;,&quot;non-dropping-particle&quot;:&quot;&quot;},{&quot;family&quot;:&quot;Baciut&quot;,&quot;given&quot;:&quot;G&quot;,&quot;parse-names&quot;:false,&quot;dropping-particle&quot;:&quot;&quot;,&quot;non-dropping-particle&quot;:&quot;&quot;},{&quot;family&quot;:&quot;Onisor&quot;,&quot;given&quot;:&quot;F&quot;,&quot;parse-names&quot;:false,&quot;dropping-particle&quot;:&quot;&quot;,&quot;non-dropping-particle&quot;:&quot;&quot;},{&quot;family&quot;:&quot;Baciut&quot;,&quot;given&quot;:&quot;M&quot;,&quot;parse-names&quot;:false,&quot;dropping-particle&quot;:&quot;&quot;,&quot;non-dropping-particle&quot;:&quot;&quot;}],&quot;container-title&quot;:&quot;Journal of Clinical Medicine&quot;,&quot;container-title-short&quot;:&quot;J. Clin. Med.&quot;,&quot;DOI&quot;:&quot;10.3390/jcm14228128&quot;,&quot;URL&quot;:&quot;https://doi.org/10.3390/jcm14228128&quot;,&quot;issued&quot;:{&quot;date-parts&quot;:[[2025]]},&quot;page&quot;:&quot;8128&quot;,&quot;issue&quot;:&quot;22&quot;,&quot;volume&quot;:&quot;14&quot;},&quot;isTemporary&quot;:false,&quot;suppress-author&quot;:false,&quot;composite&quot;:false,&quot;author-only&quot;:false}]},{&quot;citationID&quot;:&quot;MENDELEY_CITATION_4029d671-c493-40cc-a387-c25b591b33fd&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DAyOWQ2NzEtYzQ5My00MGNjLWEzODctYzI1YjU5MWIzM2ZkIiwicHJvcGVydGllcyI6eyJub3RlSW5kZXgiOjB9LCJpc0VkaXRlZCI6ZmFsc2UsIm1hbnVhbE92ZXJyaWRlIjp7ImlzTWFudWFsbHlPdmVycmlkZGVuIjpmYWxzZSwiY2l0ZXByb2NUZXh0IjoiPHN1cD40PC9zdXA+IiwibWFudWFsT3ZlcnJpZGVUZXh0IjoiIn0sImNpdGF0aW9uSXRlbXMiOlt7ImlkIjoiMTNlNTMzZWEtY2JhZS0zY2NmLTk5MzQtY2YyNmQ0MThlMTZkIiwiaXRlbURhdGEiOnsidHlwZSI6ImFydGljbGUtam91cm5hbCIsImlkIjoiMTNlNTMzZWEtY2JhZS0zY2NmLTk5MzQtY2YyNmQ0MThlMTZkIiwidGl0bGUiOiJTYWxpdmFyeSBtaVJOQXMgYW5kIGN5dG9raW5lcyBhc3NvY2lhdGVkIHdpdGggZGlhZ25vc2lzIGFuZCBwcm9nbm9zaXMgb2Ygb3JhbCBzcXVhbW91cyBjZWxsIGNhcmNpbm9tYSIsImF1dGhvciI6W3siZmFtaWx5IjoiUWluIiwiZ2l2ZW4iOiJZIiwicGFyc2UtbmFtZXMiOmZhbHNlLCJkcm9wcGluZy1wYXJ0aWNsZSI6IiIsIm5vbi1kcm9wcGluZy1wYXJ0aWNsZSI6IiJ9LHsiZmFtaWx5IjoiRG9uZyIsImdpdmVuIjoiWCIsInBhcnNlLW5hbWVzIjpmYWxzZSwiZHJvcHBpbmctcGFydGljbGUiOiIiLCJub24tZHJvcHBpbmctcGFydGljbGUiOiIifSx7ImZhbWlseSI6IkxpIiwiZ2l2ZW4iOiJCIiwicGFyc2UtbmFtZXMiOmZhbHNlLCJkcm9wcGluZy1wYXJ0aWNsZSI6IiIsIm5vbi1kcm9wcGluZy1wYXJ0aWNsZSI6IiJ9XSwiY29udGFpbmVyLXRpdGxlIjoiRnJvbnRpZXJzIGluIENlbGwgYW5kIERldmVsb3BtZW50YWwgQmlvbG9neSIsImNvbnRhaW5lci10aXRsZS1zaG9ydCI6IkZyb250LiBDZWxsIERldi4gQmlvbC4iLCJET0kiOiIxMC4zMzg5L2ZjZWxsLjIwMjUuMTUzMTAxNiIsIlVSTCI6Imh0dHBzOi8vZG9pLm9yZy8xMC4zMzg5L2ZjZWxsLjIwMjUuMTUzMTAxNiIsImlzc3VlZCI6eyJkYXRlLXBhcnRzIjpbWzIwMjVdXX0sInBhZ2UiOiIxNTMxMDE2Iiwidm9sdW1lIjoiMTMifSwiaXNUZW1wb3JhcnkiOmZhbHNlLCJzdXBwcmVzcy1hdXRob3IiOmZhbHNlLCJjb21wb3NpdGUiOmZhbHNlLCJhdXRob3Itb25seSI6ZmFsc2V9XX0=&quot;,&quot;citationItems&quot;:[{&quot;id&quot;:&quot;13e533ea-cbae-3ccf-9934-cf26d418e16d&quot;,&quot;itemData&quot;:{&quot;type&quot;:&quot;article-journal&quot;,&quot;id&quot;:&quot;13e533ea-cbae-3ccf-9934-cf26d418e16d&quot;,&quot;title&quot;:&quot;Salivary miRNAs and cytokines associated with diagnosis and prognosis of oral squamous cell carcinoma&quot;,&quot;author&quot;:[{&quot;family&quot;:&quot;Qin&quot;,&quot;given&quot;:&quot;Y&quot;,&quot;parse-names&quot;:false,&quot;dropping-particle&quot;:&quot;&quot;,&quot;non-dropping-particle&quot;:&quot;&quot;},{&quot;family&quot;:&quot;Dong&quot;,&quot;given&quot;:&quot;X&quot;,&quot;parse-names&quot;:false,&quot;dropping-particle&quot;:&quot;&quot;,&quot;non-dropping-particle&quot;:&quot;&quot;},{&quot;family&quot;:&quot;Li&quot;,&quot;given&quot;:&quot;B&quot;,&quot;parse-names&quot;:false,&quot;dropping-particle&quot;:&quot;&quot;,&quot;non-dropping-particle&quot;:&quot;&quot;}],&quot;container-title&quot;:&quot;Frontiers in Cell and Developmental Biology&quot;,&quot;container-title-short&quot;:&quot;Front. Cell Dev. Biol.&quot;,&quot;DOI&quot;:&quot;10.3389/fcell.2025.1531016&quot;,&quot;URL&quot;:&quot;https://doi.org/10.3389/fcell.2025.1531016&quot;,&quot;issued&quot;:{&quot;date-parts&quot;:[[2025]]},&quot;page&quot;:&quot;1531016&quot;,&quot;volume&quot;:&quot;13&quot;},&quot;isTemporary&quot;:false,&quot;suppress-author&quot;:false,&quot;composite&quot;:false,&quot;author-only&quot;:false}]},{&quot;citationID&quot;:&quot;MENDELEY_CITATION_dea589ad-08bc-48e1-a1a4-cac649a534f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GVhNTg5YWQtMDhiYy00OGUxLWExYTQtY2FjNjQ5YTUzNGY0IiwicHJvcGVydGllcyI6eyJub3RlSW5kZXgiOjB9LCJpc0VkaXRlZCI6ZmFsc2UsIm1hbnVhbE92ZXJyaWRlIjp7ImlzTWFudWFsbHlPdmVycmlkZGVuIjpmYWxzZSwiY2l0ZXByb2NUZXh0IjoiPHN1cD4yNDwvc3VwPiIsIm1hbnVhbE92ZXJyaWRlVGV4dCI6IiJ9LCJjaXRhdGlvbkl0ZW1zIjpbeyJpZCI6IjFjMjA4NzE1LTA1YjMtMzE3NC05NTFhLTFiNWRkYmM0NDIwNiIsIml0ZW1EYXRhIjp7InR5cGUiOiJhcnRpY2xlLWpvdXJuYWwiLCJpZCI6IjFjMjA4NzE1LTA1YjMtMzE3NC05NTFhLTFiNWRkYmM0NDIwNiIsInRpdGxlIjoiTWluaW1hbCBpbmZvcm1hdGlvbiBmb3Igc3R1ZGllcyBvZiBleHRyYWNlbGx1bGFyIHZlc2ljbGVzIChNSVNFVjIwMjMpOiBGcm9tIGJhc2ljIHRvIGFkdmFuY2VkIGFwcHJvYWNoZXMiLCJhdXRob3IiOlt7ImZhbWlseSI6IldlbHNoIiwiZ2l2ZW4iOiJKIEEiLCJwYXJzZS1uYW1lcyI6ZmFsc2UsImRyb3BwaW5nLXBhcnRpY2xlIjoiIiwibm9uLWRyb3BwaW5nLXBhcnRpY2xlIjoiIn0seyJmYW1pbHkiOiJHb2JlcmRoYW4iLCJnaXZlbiI6IkQgQyBJIiwicGFyc2UtbmFtZXMiOmZhbHNlLCJkcm9wcGluZy1wYXJ0aWNsZSI6IiIsIm5vbi1kcm9wcGluZy1wYXJ0aWNsZSI6IiJ9LHsiZmFtaWx5IjoiT+KAmURyaXNjb2xsIiwiZ2l2ZW4iOiJMIiwicGFyc2UtbmFtZXMiOmZhbHNlLCJkcm9wcGluZy1wYXJ0aWNsZSI6IiIsIm5vbi1kcm9wcGluZy1wYXJ0aWNsZSI6IiJ9LHsiZmFtaWx5IjoiQnV6YXMiLCJnaXZlbiI6IkUgSSIsInBhcnNlLW5hbWVzIjpmYWxzZSwiZHJvcHBpbmctcGFydGljbGUiOiIiLCJub24tZHJvcHBpbmctcGFydGljbGUiOiIifSx7ImZhbWlseSI6IkJsZW5raXJvbiIsImdpdmVuIjoiQyIsInBhcnNlLW5hbWVzIjpmYWxzZSwiZHJvcHBpbmctcGFydGljbGUiOiIiLCJub24tZHJvcHBpbmctcGFydGljbGUiOiIifSx7ImZhbWlseSI6IkJ1c3NvbGF0aSIsImdpdmVuIjoiQiIsInBhcnNlLW5hbWVzIjpmYWxzZSwiZHJvcHBpbmctcGFydGljbGUiOiIiLCJub24tZHJvcHBpbmctcGFydGljbGUiOiIifSx7ImZhbWlseSI6IkNhaSIsImdpdmVuIjoiSCIsInBhcnNlLW5hbWVzIjpmYWxzZSwiZHJvcHBpbmctcGFydGljbGUiOiIiLCJub24tZHJvcHBpbmctcGFydGljbGUiOiIifSx7ImZhbWlseSI6IlZpemlvIiwiZ2l2ZW4iOiJEIiwicGFyc2UtbmFtZXMiOmZhbHNlLCJkcm9wcGluZy1wYXJ0aWNsZSI6IiIsIm5vbi1kcm9wcGluZy1wYXJ0aWNsZSI6IkRpIn0seyJmYW1pbHkiOiJEcmllZG9ua3MiLCJnaXZlbiI6IlQgQSBQIiwicGFyc2UtbmFtZXMiOmZhbHNlLCJkcm9wcGluZy1wYXJ0aWNsZSI6IiIsIm5vbi1kcm9wcGluZy1wYXJ0aWNsZSI6IiJ9LHsiZmFtaWx5IjoiRXJkYnLDvGdnZXIiLCJnaXZlbiI6IlUiLCJwYXJzZS1uYW1lcyI6ZmFsc2UsImRyb3BwaW5nLXBhcnRpY2xlIjoiIiwibm9uLWRyb3BwaW5nLXBhcnRpY2xlIjoiIn0seyJmYW1pbHkiOiJGYWxjb24tUGVyZXoiLCJnaXZlbiI6IkogTSIsInBhcnNlLW5hbWVzIjpmYWxzZSwiZHJvcHBpbmctcGFydGljbGUiOiIiLCJub24tZHJvcHBpbmctcGFydGljbGUiOiIifSx7ImZhbWlseSI6IkZ1IiwiZ2l2ZW4iOiJRLi1MLiIsInBhcnNlLW5hbWVzIjpmYWxzZSwiZHJvcHBpbmctcGFydGljbGUiOiIiLCJub24tZHJvcHBpbmctcGFydGljbGUiOiIifSx7ImZhbWlseSI6IkhpbGwiLCJnaXZlbiI6IkEgRiIsInBhcnNlLW5hbWVzIjpmYWxzZSwiZHJvcHBpbmctcGFydGljbGUiOiIiLCJub24tZHJvcHBpbmctcGFydGljbGUiOiIifSx7ImZhbWlseSI6IkxlbmFzc2kiLCJnaXZlbiI6Ik0iLCJwYXJzZS1uYW1lcyI6ZmFsc2UsImRyb3BwaW5nLXBhcnRpY2xlIjoiIiwibm9uLWRyb3BwaW5nLXBhcnRpY2xlIjoiIn0seyJmYW1pbHkiOiJMaW0iLCJnaXZlbiI6IlMgSyIsInBhcnNlLW5hbWVzIjpmYWxzZSwiZHJvcHBpbmctcGFydGljbGUiOiIiLCJub24tZHJvcHBpbmctcGFydGljbGUiOiIifSx7ImZhbWlseSI6Ik1haG9uZXkiLCJnaXZlbiI6Ik0gRyIsInBhcnNlLW5hbWVzIjpmYWxzZSwiZHJvcHBpbmctcGFydGljbGUiOiIiLCJub24tZHJvcHBpbmctcGFydGljbGUiOiIifSx7ImZhbWlseSI6Ik1vaGFudHkiLCJnaXZlbiI6IlMiLCJwYXJzZS1uYW1lcyI6ZmFsc2UsImRyb3BwaW5nLXBhcnRpY2xlIjoiIiwibm9uLWRyb3BwaW5nLXBhcnRpY2xlIjoiIn0seyJmYW1pbHkiOiJNw7ZsbGVyIiwiZ2l2ZW4iOiJBIiwicGFyc2UtbmFtZXMiOmZhbHNlLCJkcm9wcGluZy1wYXJ0aWNsZSI6IiIsIm5vbi1kcm9wcGluZy1wYXJ0aWNsZSI6IiJ9LHsiZmFtaWx5IjoiTmlldXdsYW5kIiwiZ2l2ZW4iOiJSIiwicGFyc2UtbmFtZXMiOmZhbHNlLCJkcm9wcGluZy1wYXJ0aWNsZSI6IiIsIm5vbi1kcm9wcGluZy1wYXJ0aWNsZSI6IiJ9XSwiY29udGFpbmVyLXRpdGxlIjoiSm91cm5hbCBvZiBFeHRyYWNlbGx1bGFyIFZlc2ljbGVzIiwiY29udGFpbmVyLXRpdGxlLXNob3J0IjoiSi4gRXh0cmFjZWxsLiBWZXNpY2xlcyIsIkRPSSI6IjEwLjEwMDIvamV2Mi4xMjQwNCIsIlVSTCI6Imh0dHBzOi8vZG9pLm9yZy8xMC4xMDAyL2pldjIuMTI0MDQiLCJpc3N1ZWQiOnsiZGF0ZS1wYXJ0cyI6W1syMDI0XV19LCJwYWdlIjoiZTEyNDA0IiwiaXNzdWUiOiIyIiwidm9sdW1lIjoiMTMifSwiaXNUZW1wb3JhcnkiOmZhbHNlLCJzdXBwcmVzcy1hdXRob3IiOmZhbHNlLCJjb21wb3NpdGUiOmZhbHNlLCJhdXRob3Itb25seSI6ZmFsc2V9XX0=&quot;,&quot;citationItems&quot;:[{&quot;id&quot;:&quot;1c208715-05b3-3174-951a-1b5ddbc44206&quot;,&quot;itemData&quot;:{&quot;type&quot;:&quot;article-journal&quot;,&quot;id&quot;:&quot;1c208715-05b3-3174-951a-1b5ddbc44206&quot;,&quot;title&quot;:&quot;Minimal information for studies of extracellular vesicles (MISEV2023): From basic to advanced approaches&quot;,&quot;author&quot;:[{&quot;family&quot;:&quot;Welsh&quot;,&quot;given&quot;:&quot;J A&quot;,&quot;parse-names&quot;:false,&quot;dropping-particle&quot;:&quot;&quot;,&quot;non-dropping-particle&quot;:&quot;&quot;},{&quot;family&quot;:&quot;Goberdhan&quot;,&quot;given&quot;:&quot;D C I&quot;,&quot;parse-names&quot;:false,&quot;dropping-particle&quot;:&quot;&quot;,&quot;non-dropping-particle&quot;:&quot;&quot;},{&quot;family&quot;:&quot;O’Driscoll&quot;,&quot;given&quot;:&quot;L&quot;,&quot;parse-names&quot;:false,&quot;dropping-particle&quot;:&quot;&quot;,&quot;non-dropping-particle&quot;:&quot;&quot;},{&quot;family&quot;:&quot;Buzas&quot;,&quot;given&quot;:&quot;E I&quot;,&quot;parse-names&quot;:false,&quot;dropping-particle&quot;:&quot;&quot;,&quot;non-dropping-particle&quot;:&quot;&quot;},{&quot;family&quot;:&quot;Blenkiron&quot;,&quot;given&quot;:&quot;C&quot;,&quot;parse-names&quot;:false,&quot;dropping-particle&quot;:&quot;&quot;,&quot;non-dropping-particle&quot;:&quot;&quot;},{&quot;family&quot;:&quot;Bussolati&quot;,&quot;given&quot;:&quot;B&quot;,&quot;parse-names&quot;:false,&quot;dropping-particle&quot;:&quot;&quot;,&quot;non-dropping-particle&quot;:&quot;&quot;},{&quot;family&quot;:&quot;Cai&quot;,&quot;given&quot;:&quot;H&quot;,&quot;parse-names&quot;:false,&quot;dropping-particle&quot;:&quot;&quot;,&quot;non-dropping-particle&quot;:&quot;&quot;},{&quot;family&quot;:&quot;Vizio&quot;,&quot;given&quot;:&quot;D&quot;,&quot;parse-names&quot;:false,&quot;dropping-particle&quot;:&quot;&quot;,&quot;non-dropping-particle&quot;:&quot;Di&quot;},{&quot;family&quot;:&quot;Driedonks&quot;,&quot;given&quot;:&quot;T A P&quot;,&quot;parse-names&quot;:false,&quot;dropping-particle&quot;:&quot;&quot;,&quot;non-dropping-particle&quot;:&quot;&quot;},{&quot;family&quot;:&quot;Erdbrügger&quot;,&quot;given&quot;:&quot;U&quot;,&quot;parse-names&quot;:false,&quot;dropping-particle&quot;:&quot;&quot;,&quot;non-dropping-particle&quot;:&quot;&quot;},{&quot;family&quot;:&quot;Falcon-Perez&quot;,&quot;given&quot;:&quot;J M&quot;,&quot;parse-names&quot;:false,&quot;dropping-particle&quot;:&quot;&quot;,&quot;non-dropping-particle&quot;:&quot;&quot;},{&quot;family&quot;:&quot;Fu&quot;,&quot;given&quot;:&quot;Q.-L.&quot;,&quot;parse-names&quot;:false,&quot;dropping-particle&quot;:&quot;&quot;,&quot;non-dropping-particle&quot;:&quot;&quot;},{&quot;family&quot;:&quot;Hill&quot;,&quot;given&quot;:&quot;A F&quot;,&quot;parse-names&quot;:false,&quot;dropping-particle&quot;:&quot;&quot;,&quot;non-dropping-particle&quot;:&quot;&quot;},{&quot;family&quot;:&quot;Lenassi&quot;,&quot;given&quot;:&quot;M&quot;,&quot;parse-names&quot;:false,&quot;dropping-particle&quot;:&quot;&quot;,&quot;non-dropping-particle&quot;:&quot;&quot;},{&quot;family&quot;:&quot;Lim&quot;,&quot;given&quot;:&quot;S K&quot;,&quot;parse-names&quot;:false,&quot;dropping-particle&quot;:&quot;&quot;,&quot;non-dropping-particle&quot;:&quot;&quot;},{&quot;family&quot;:&quot;Mahoney&quot;,&quot;given&quot;:&quot;M G&quot;,&quot;parse-names&quot;:false,&quot;dropping-particle&quot;:&quot;&quot;,&quot;non-dropping-particle&quot;:&quot;&quot;},{&quot;family&quot;:&quot;Mohanty&quot;,&quot;given&quot;:&quot;S&quot;,&quot;parse-names&quot;:false,&quot;dropping-particle&quot;:&quot;&quot;,&quot;non-dropping-particle&quot;:&quot;&quot;},{&quot;family&quot;:&quot;Möller&quot;,&quot;given&quot;:&quot;A&quot;,&quot;parse-names&quot;:false,&quot;dropping-particle&quot;:&quot;&quot;,&quot;non-dropping-particle&quot;:&quot;&quot;},{&quot;family&quot;:&quot;Nieuwland&quot;,&quot;given&quot;:&quot;R&quot;,&quot;parse-names&quot;:false,&quot;dropping-particle&quot;:&quot;&quot;,&quot;non-dropping-particle&quot;:&quot;&quot;}],&quot;container-title&quot;:&quot;Journal of Extracellular Vesicles&quot;,&quot;container-title-short&quot;:&quot;J. Extracell. Vesicles&quot;,&quot;DOI&quot;:&quot;10.1002/jev2.12404&quot;,&quot;URL&quot;:&quot;https://doi.org/10.1002/jev2.12404&quot;,&quot;issued&quot;:{&quot;date-parts&quot;:[[2024]]},&quot;page&quot;:&quot;e12404&quot;,&quot;issue&quot;:&quot;2&quot;,&quot;volume&quot;:&quot;13&quot;},&quot;isTemporary&quot;:false,&quot;suppress-author&quot;:false,&quot;composite&quot;:false,&quot;author-only&quot;:false}]}]"/>
    <we:property name="MENDELEY_CITATIONS_LOCALE_CODE" value="&quot;en-US&quot;"/>
    <we:property name="MENDELEY_CITATIONS_STYLE" value="{&quot;id&quot;:&quot;https://www.zotero.org/styles/vancouver-ama&quot;,&quot;title&quot;:&quot;Vancouver - AMA&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239446E0-E446-4460-9C25-1440C20D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37</Pages>
  <Words>11275</Words>
  <Characters>64268</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83</cp:revision>
  <dcterms:created xsi:type="dcterms:W3CDTF">2026-07-27T04:46:00Z</dcterms:created>
  <dcterms:modified xsi:type="dcterms:W3CDTF">2026-09-23T08:24:00Z</dcterms:modified>
</cp:coreProperties>
</file>