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F497F" w14:textId="77777777" w:rsidR="00575185" w:rsidRDefault="00000000">
      <w:pPr>
        <w:spacing w:before="60" w:after="120"/>
      </w:pPr>
      <w:r>
        <w:rPr>
          <w:b/>
          <w:color w:val="9F2323"/>
          <w:sz w:val="18"/>
        </w:rPr>
        <w:t>AUTHOR REVIEW COPY — DO NOT SUBMIT UNTIL STATISTICS AND ETHICS ITEMS ARE VERIFIED.</w:t>
      </w:r>
    </w:p>
    <w:p w14:paraId="5DD34F72" w14:textId="77777777" w:rsidR="00575185" w:rsidRDefault="00000000">
      <w:pPr>
        <w:pStyle w:val="Title"/>
        <w:jc w:val="center"/>
      </w:pPr>
      <w:r>
        <w:t>Topical virgin coconut oil and type I collagen expression in second-degree burn wounds: an experimental study in Rattus norvegicus</w:t>
      </w:r>
    </w:p>
    <w:p w14:paraId="0E9BBF1B" w14:textId="77777777" w:rsidR="00575185" w:rsidRDefault="00000000">
      <w:pPr>
        <w:pStyle w:val="Heading1"/>
      </w:pPr>
      <w:r>
        <w:t>ABSTRACT</w:t>
      </w:r>
    </w:p>
    <w:p w14:paraId="07FF1780" w14:textId="77777777" w:rsidR="00575185" w:rsidRDefault="00000000" w:rsidP="00947831">
      <w:pPr>
        <w:jc w:val="both"/>
      </w:pPr>
      <w:r>
        <w:rPr>
          <w:b/>
        </w:rPr>
        <w:t>Background:</w:t>
      </w:r>
      <w:r>
        <w:t xml:space="preserve"> Topical virgin coconut oil (VCO) has been investigated as a wound-care agent, but its effects on inflammatory-cell density and type I collagen-positive area in burn granulation tissue require further study.</w:t>
      </w:r>
    </w:p>
    <w:p w14:paraId="60352ED0" w14:textId="77777777" w:rsidR="00575185" w:rsidRDefault="00000000" w:rsidP="00947831">
      <w:pPr>
        <w:jc w:val="both"/>
      </w:pPr>
      <w:r>
        <w:rPr>
          <w:b/>
        </w:rPr>
        <w:t>Objective:</w:t>
      </w:r>
      <w:r>
        <w:t xml:space="preserve"> To describe the effects of topical VCO on inflammatory-cell density and type I collagen staining in second-degree burn wounds in rats, compared with untreated wounds and human amnion membrane.</w:t>
      </w:r>
    </w:p>
    <w:p w14:paraId="7351CCEF" w14:textId="77777777" w:rsidR="00575185" w:rsidRDefault="00000000" w:rsidP="00947831">
      <w:pPr>
        <w:jc w:val="both"/>
      </w:pPr>
      <w:r>
        <w:rPr>
          <w:b/>
        </w:rPr>
        <w:t>Methods:</w:t>
      </w:r>
      <w:r>
        <w:t xml:space="preserve"> In a randomised post-test-only experiment, 27 male Wistar rats (</w:t>
      </w:r>
      <w:r>
        <w:rPr>
          <w:i/>
        </w:rPr>
        <w:t>Rattus norvegicus</w:t>
      </w:r>
      <w:r>
        <w:t>; Berkenhout, 1769) were allocated to untreated control, VCO (0.5 mL twice daily), or human amnion membrane (nine animals per group). Day-14 wound biopsies were examined using haematoxylin-eosin staining and immunohistochemistry. Five microscopic fields per section were analysed using ImageJ.</w:t>
      </w:r>
    </w:p>
    <w:p w14:paraId="242FD1D4" w14:textId="77777777" w:rsidR="00575185" w:rsidRDefault="00000000" w:rsidP="00947831">
      <w:pPr>
        <w:jc w:val="both"/>
      </w:pPr>
      <w:r>
        <w:rPr>
          <w:b/>
        </w:rPr>
        <w:t>Results:</w:t>
      </w:r>
      <w:r>
        <w:t xml:space="preserve"> At day 14, the VCO, control and amnion groups had nine, seven and seven surviving animals, respectively. Mean (SD) inflammatory-cell counts per field were 103.63 (30.75), 131.57 (30.85) and 144.43 (26.41), respectively; type I collagen-positive areas were 44.42% (6.52%), 33.16% (9.35%) and 48.79% (9.52%). The reported inferential statistics require verification against the original animal-level data.</w:t>
      </w:r>
    </w:p>
    <w:p w14:paraId="59918629" w14:textId="77777777" w:rsidR="00575185" w:rsidRDefault="00000000" w:rsidP="00947831">
      <w:pPr>
        <w:jc w:val="both"/>
      </w:pPr>
      <w:r>
        <w:rPr>
          <w:b/>
        </w:rPr>
        <w:t>Conclusion:</w:t>
      </w:r>
      <w:r>
        <w:t xml:space="preserve"> In this experimental model, VCO-treated wounds showed a numerically lower inflammatory-cell count and an intermediate type I collagen-positive area at day 14. Further validated analyses and longer follow-up are required to establish the strength and clinical relevance of these findings.</w:t>
      </w:r>
    </w:p>
    <w:p w14:paraId="3ED4AC0F" w14:textId="77777777" w:rsidR="00575185" w:rsidRDefault="00000000" w:rsidP="00947831">
      <w:pPr>
        <w:jc w:val="both"/>
      </w:pPr>
      <w:r>
        <w:t xml:space="preserve">Key words: burn wound; collagen type I; immunohistochemistry; </w:t>
      </w:r>
      <w:r>
        <w:rPr>
          <w:i/>
        </w:rPr>
        <w:t>Rattus norvegicus</w:t>
      </w:r>
      <w:r>
        <w:t>; virgin coconut oil; wound healing</w:t>
      </w:r>
    </w:p>
    <w:p w14:paraId="7FD99B21" w14:textId="77777777" w:rsidR="00575185" w:rsidRDefault="00000000">
      <w:pPr>
        <w:pStyle w:val="Heading1"/>
      </w:pPr>
      <w:r>
        <w:t>INTRODUCTION</w:t>
      </w:r>
    </w:p>
    <w:p w14:paraId="5A213F77" w14:textId="77777777" w:rsidR="00575185" w:rsidRDefault="00000000">
      <w:r>
        <w:t>Burn injury remains one of the most serious causes of trauma-related morbidity and mortality worldwide, disproportionately affecting low- and middle-income countries (Ahuja &amp; Bhattacharya, 2004). The World Health Organization estimates that more than 11 million people seek medical care for burns each year, and burns account for roughly 180,000 deaths annually (Mock et al., 2008; World Health Organization, 2019). In Indonesia, the true national incidence is difficult to establish because not all hospitals maintain dedicated burn units; as an illustration, one tertiary referral hospital recorded 605 burn admissions between 2007 and 2011 (Hidayat et al., 2014).</w:t>
      </w:r>
    </w:p>
    <w:p w14:paraId="488CA972" w14:textId="77777777" w:rsidR="00575185" w:rsidRDefault="00000000">
      <w:r>
        <w:t xml:space="preserve">Cutaneous wound healing proceeds through three overlapping phases — haemostasis/inflammation, proliferation, and maturation (remodelling) (Cameron et al., 2010; Goldberg &amp; Diegelmann, 2012). From approximately day 7 to day 14 after injury, collagen synthesis intensifies in parallel with granulation tissue formation and neovascularisation (Häkkinen et al., 2014). Fibroblasts recruited to the wound bed deposit extracellular matrix, of which type I collagen is the predominant structural component, marking the transition of the wound from a provisional, cell-rich granulation tissue toward a more organised, tensile </w:t>
      </w:r>
      <w:r>
        <w:lastRenderedPageBreak/>
        <w:t>dermal matrix (Deonarine et al., 2007; Clark, 2011; Häkkinen et al., 2014). Adequate but not excessive type I collagen deposition is therefore a key histological indicator of favourable wound maturation; insufficient collagen delays wound closure, whereas excessive or prolonged deposition promotes hypertrophic scarring (Gelse et al., 2003; Singh et al., 2017).</w:t>
      </w:r>
    </w:p>
    <w:p w14:paraId="574D65DC" w14:textId="77777777" w:rsidR="00575185" w:rsidRDefault="00000000">
      <w:r>
        <w:t>Superficial second-degree (partial-thickness) burns are conventionally managed with topical antimicrobial agents such as silver sulfadiazine, silver nitrate, or mafenide acetate (Rowan et al., 2015; ISBI Practice Guidelines Committee, 2016). These agents have well-documented limitations, including cytotoxicity to keratinocytes and fibroblasts, painful and frequent dressing changes, and the formation of thick scar tissue that complicates wound assessment (Rowan et al., 2015; Vowden, 2017). An ideal burn dressing should be antimicrobial, non-painful, easy to apply, and able to stimulate rapid granulation and epithelialisation without provoking excessive scarring (Vowden, 2017); to date, no single, low-cost topical agent fully satisfies these criteria (ISBI Practice Guidelines Committee, 2016).</w:t>
      </w:r>
    </w:p>
    <w:p w14:paraId="4F4994E5" w14:textId="77777777" w:rsidR="00575185" w:rsidRDefault="00000000">
      <w:r>
        <w:t>Virgin coconut oil (VCO), a minimally processed oil derived from fresh coconut meat, has attracted interest as a candidate topical burn agent. Its medium-chain saturated fatty acids — lauric, capric and caprylic acid — confer broad antimicrobial activity against common burn-wound pathogens such as Pseudomonas aeruginosa, Escherichia coli, and Candida albicans(Kappally et al., 2015; Nitbani et al., 2016), while its unsaturated fatty acids, including oleic and palmitoleic acid, have been reported to exert anti-inflammatory, antioxidant and pro-collagenic effects in experimental wound models (Nevin &amp; Rajamohan, 2010; Cardoso et al., 2011; Weimann et al., 2018). Earlier animal studies have shown that VCO, alone or combined with silver sulfadiazine, accelerates partial-thickness wound healing (Durgaprasad &amp; Srivastava, 2008; Silalahi &amp; Surbakti, 2015), and topical VCO has been reported to increase dermal collagen and hydroxyproline content and improve antioxidant status during normal dermal wound healing in rats (Nevin &amp; Rajamohan, 2010). However, its dose-independent effect on type I collagen expression specifically within a burn-injury granulation tissue model, benchmarked directly against an established biological dressing, has not been well characterised.</w:t>
      </w:r>
    </w:p>
    <w:p w14:paraId="54E1E537" w14:textId="77777777" w:rsidR="00575185" w:rsidRDefault="00000000">
      <w:r>
        <w:t>Human amnion membrane, first introduced for burn treatment by Pigeon in 1960, is a biological dressing rich in growth factors and cytokines that has demonstrated favourable outcomes in burn management and is widely regarded as a positive-control comparator for candidate topical burn agents (Pigeon, 1960; Koob et al., 2013; Koob et al., 2014). Because amnion application requires specialised handling, sterile processing and trained supervision, it is not universally accessible, which reinforces the rationale for evaluating a low-cost, easily applied alternative such as VCO against this established benchmark (Koob et al., 2013)</w:t>
      </w:r>
    </w:p>
    <w:p w14:paraId="79234884" w14:textId="77777777" w:rsidR="00575185" w:rsidRDefault="00000000">
      <w:r>
        <w:t xml:space="preserve">The present study forms part of a broader experimental programme examining the effect of topical VCO on second-degree burn wound healing in </w:t>
      </w:r>
      <w:r>
        <w:rPr>
          <w:i/>
        </w:rPr>
        <w:t>Rattus norvegicus</w:t>
      </w:r>
      <w:r>
        <w:t>; findings on the systemic mRNA expression of vascular endothelial growth factor-A (VEGF-A) and epidermal growth factor (EGF) from the same experimental series are reported separately. The specific aim of the present manuscript was to analyse the effect of topical VCO, relative to an untreated control and human amnion membrane, on the density of inflammatory cells and the deposition of type I collagen in the granulation tissue of second-degree burn wounds at day 14 post-injury.</w:t>
      </w:r>
    </w:p>
    <w:p w14:paraId="59A1F27A" w14:textId="77777777" w:rsidR="00575185" w:rsidRDefault="00000000">
      <w:pPr>
        <w:pStyle w:val="Heading1"/>
      </w:pPr>
      <w:r>
        <w:lastRenderedPageBreak/>
        <w:t>MATERIALS AND METHODS</w:t>
      </w:r>
    </w:p>
    <w:p w14:paraId="34E01C58" w14:textId="77777777" w:rsidR="00575185" w:rsidRDefault="00000000">
      <w:pPr>
        <w:pStyle w:val="Heading2"/>
      </w:pPr>
      <w:r>
        <w:t>Ethical Approval</w:t>
      </w:r>
    </w:p>
    <w:p w14:paraId="14AC36A3" w14:textId="77777777" w:rsidR="00575185" w:rsidRDefault="00000000">
      <w:r>
        <w:t>This experimental study was approved by the the institutional health research ethics committee [COMMITTEE NAME IN TITLE PAGE; APPROVAL NUMBER AND DATE REQUIRED]. Animal handling followed the five freedoms principle (freedom from hunger and thirst, discomfort, pain and disease, fear and distress, and freedom to express normal behaviour), and all procedures were performed under general anaesthesia with appropriate analgesia.</w:t>
      </w:r>
    </w:p>
    <w:p w14:paraId="2DB8B673" w14:textId="77777777" w:rsidR="00575185" w:rsidRDefault="00000000">
      <w:pPr>
        <w:pStyle w:val="Heading2"/>
      </w:pPr>
      <w:r>
        <w:t>Animals and Sample Size</w:t>
      </w:r>
    </w:p>
    <w:p w14:paraId="223C2C33" w14:textId="77777777" w:rsidR="00575185" w:rsidRDefault="00000000">
      <w:r>
        <w:t>Healthy male Wistar rats (</w:t>
      </w:r>
      <w:r>
        <w:rPr>
          <w:i/>
        </w:rPr>
        <w:t>Rattus norvegicus</w:t>
      </w:r>
      <w:r>
        <w:t>), aged 2–3 months and weighing 150–200 g, were obtained from the [BLINDED animal facility; full details retained in Title Page]. Inclusion criteria were active movement and body-weight gain of less than 10% of baseline during the observation period; animals showing signs of illness (inactivity, anorexia) or weight gain exceeding 10% were excluded. The minimum sample size per group was calculated using Federer's formula, (n − 1)(t − 1) ≥ 15, where t is the number of treatment groups (t = 3), giving a minimum of 8 animals per group; after adjusting for an anticipated 10% attrition, 9 animals were allocated to each of the three groups (total n = 27).(Federer, 1963; Pereira et al., 2012)</w:t>
      </w:r>
    </w:p>
    <w:p w14:paraId="797872DF" w14:textId="77777777" w:rsidR="00575185" w:rsidRDefault="00000000">
      <w:pPr>
        <w:pStyle w:val="Heading2"/>
      </w:pPr>
      <w:r>
        <w:t>Burn Wound Induction and Study Groups</w:t>
      </w:r>
    </w:p>
    <w:p w14:paraId="1CDBC6C1" w14:textId="77777777" w:rsidR="00575185" w:rsidRDefault="00000000">
      <w:r>
        <w:t>Under general anaesthesia, the dorsal fur was shaved over a 4 cm diameter area and the skin disinfected. A superficial second-degree burn was induced following the method of Pereira et al. (2012), using a stainless-steel disc 2 cm in diameter, heated in boiling water (100°C) and applied to the shaved dorsal skin for 15 seconds. Immediately after wounding, animals were randomly allocated to one of three groups (n = 9 per group): an untreated negative control (K); a group receiving topical VCO 0.5 mL applied twice daily directly onto the wound (V); and a group receiving a single application of lyophilised human amnion membrane over the wound at the time of injury as the positive control (A). All animals received intramuscular analgesia (antalgin, 500 mg/kg body weight).</w:t>
      </w:r>
    </w:p>
    <w:p w14:paraId="3664A9C3" w14:textId="77777777" w:rsidR="00575185" w:rsidRDefault="00000000">
      <w:pPr>
        <w:pStyle w:val="Heading2"/>
      </w:pPr>
      <w:r>
        <w:t>Tissue Processing, Histology and Immunohistochemistry</w:t>
      </w:r>
    </w:p>
    <w:p w14:paraId="4ED17AE6" w14:textId="77777777" w:rsidR="00575185" w:rsidRDefault="00000000">
      <w:r>
        <w:t>On day 14 post-burn, dorsal skin biopsies were obtained from surviving animals and fixed in 10% neutral-buffered formalin for 24 hours, processed through graded ethanol dehydration, xylene clearing, and paraffin embedding. Sections of 4 μm thickness were cut with a rotary microtome. One series of sections was stained with haematoxylin and eosin (H&amp;E) for general histopathological assessment of re-epithelialisation, granulation tissue and inflammatory cell infiltrate. A parallel series underwent immunohistochemical staining for collagen type I: sections were deparaffinised, rehydrated, subjected to heat-induced epitope retrieval in citrate buffer (pH 6), and endogenous peroxidase activity was blocked. After non-specific protein blocking with normal goat serum, sections were incubated overnight at 4°C with a primary anti-collagen type I antibody, followed by a secondary antibody, avidin–biotin complex, and 3,3′-diaminobenzidine (DAB) chromogen, with haematoxylin counterstaining.</w:t>
      </w:r>
    </w:p>
    <w:p w14:paraId="5564BA52" w14:textId="77777777" w:rsidR="00575185" w:rsidRDefault="00000000">
      <w:pPr>
        <w:pStyle w:val="Heading2"/>
      </w:pPr>
      <w:r>
        <w:lastRenderedPageBreak/>
        <w:t>Quantitative Image Analysis</w:t>
      </w:r>
    </w:p>
    <w:p w14:paraId="144CC3CB" w14:textId="77777777" w:rsidR="00575185" w:rsidRDefault="00000000">
      <w:r>
        <w:t>Photomicrographs were obtained with an Olympus BX51 light microscope at 400× magnification, capturing five randomly selected fields per section. Inflammatory cell density (neutrophils, lymphocytes and macrophages) within the dermal granulation tissue was quantified using the grid and cell-counter functions of ImageJ software (ImageJ 1.49v, National Institutes of Health, USA) and expressed as the mean cell count per field. For collagen type I, the DAB-positive (brown-stained) area within the granulation tissue was converted to a binary threshold in ImageJ and expressed as the percentage of the total field area occupied by positively stained extracellular matrix. In addition, residual macroscopic wound area at day 14 was measured from digital photographs using ImageJ pixel-area analysis and expressed as a percentage of the original wound area.</w:t>
      </w:r>
    </w:p>
    <w:p w14:paraId="5FFFFAB7" w14:textId="77777777" w:rsidR="00575185" w:rsidRDefault="00000000">
      <w:pPr>
        <w:pStyle w:val="Heading2"/>
      </w:pPr>
      <w:r>
        <w:t>Statistical Analysis</w:t>
      </w:r>
    </w:p>
    <w:p w14:paraId="7A42329E" w14:textId="77777777" w:rsidR="00575185" w:rsidRDefault="00000000">
      <w:r>
        <w:t>Data were tested for normality prior to comparison. Normally distributed data with homogeneous variance were compared across the three groups using one-way analysis of variance (ANOVA), followed by Tukey's honestly significant difference (HSD) post hoc test for pairwise comparisons. A p-value &lt; 0.05 was considered statistically significant.</w:t>
      </w:r>
    </w:p>
    <w:p w14:paraId="589CC611" w14:textId="77777777" w:rsidR="00575185" w:rsidRDefault="00000000">
      <w:pPr>
        <w:pStyle w:val="Heading1"/>
      </w:pPr>
      <w:r>
        <w:t>RESULTS</w:t>
      </w:r>
    </w:p>
    <w:p w14:paraId="11675EF5" w14:textId="77777777" w:rsidR="00575185" w:rsidRDefault="00000000">
      <w:pPr>
        <w:pStyle w:val="Heading2"/>
      </w:pPr>
      <w:r>
        <w:t>Animal survival and macroscopic wound appearance</w:t>
      </w:r>
    </w:p>
    <w:p w14:paraId="45B29C3E" w14:textId="77777777" w:rsidR="00575185" w:rsidRDefault="00000000">
      <w:r>
        <w:t>All nine animals in the VCO group survived to day 14. In contrast, two animals in the control group and two in the amnion group died by day 4, so day-14 tissue analysis was based on n = 9 (VCO), n = 7 (control), and n = 7 (amnion). Macroscopically, wounds in the control and amnion groups were covered by a thick eschar at day 14, whereas VCO-treated wounds showed no eschar formation and visibly smaller residual wound diameters. Quantitative pixel-area analysis of the residual wound (Table 1) showed the smallest mean residual wound area in the VCO group, followed by the amnion and control groups, although the between-group difference did not reach statistical significance (one-way ANOVA, p = 0.101).</w:t>
      </w:r>
    </w:p>
    <w:p w14:paraId="7020DC0C" w14:textId="77777777" w:rsidR="00575185" w:rsidRDefault="00000000">
      <w:r>
        <w:t>Table 1. Residual macroscopic wound area (% of original wound) at day 14 post-burn.</w:t>
      </w:r>
    </w:p>
    <w:tbl>
      <w:tblPr>
        <w:tblW w:w="0" w:type="auto"/>
        <w:jc w:val="center"/>
        <w:tblBorders>
          <w:top w:val="single" w:sz="4" w:space="0" w:color="AAAEB1"/>
          <w:bottom w:val="single" w:sz="4" w:space="0" w:color="AAAEB1"/>
          <w:insideH w:val="single" w:sz="4" w:space="0" w:color="AAAEB1"/>
        </w:tblBorders>
        <w:tblLook w:val="04A0" w:firstRow="1" w:lastRow="0" w:firstColumn="1" w:lastColumn="0" w:noHBand="0" w:noVBand="1"/>
      </w:tblPr>
      <w:tblGrid>
        <w:gridCol w:w="4773"/>
        <w:gridCol w:w="4773"/>
      </w:tblGrid>
      <w:tr w:rsidR="00575185" w14:paraId="44C794CA" w14:textId="77777777">
        <w:trPr>
          <w:jc w:val="center"/>
        </w:trPr>
        <w:tc>
          <w:tcPr>
            <w:tcW w:w="4773" w:type="dxa"/>
            <w:shd w:val="clear" w:color="auto" w:fill="E9EEF1"/>
            <w:vAlign w:val="center"/>
          </w:tcPr>
          <w:p w14:paraId="37A6BD48" w14:textId="77777777" w:rsidR="00575185" w:rsidRDefault="00000000">
            <w:pPr>
              <w:spacing w:before="40" w:after="40"/>
            </w:pPr>
            <w:r>
              <w:rPr>
                <w:b/>
                <w:sz w:val="18"/>
              </w:rPr>
              <w:t>Treatment Group</w:t>
            </w:r>
          </w:p>
        </w:tc>
        <w:tc>
          <w:tcPr>
            <w:tcW w:w="4773" w:type="dxa"/>
            <w:shd w:val="clear" w:color="auto" w:fill="E9EEF1"/>
            <w:vAlign w:val="center"/>
          </w:tcPr>
          <w:p w14:paraId="12B855FD" w14:textId="77777777" w:rsidR="00575185" w:rsidRDefault="00000000">
            <w:pPr>
              <w:spacing w:before="40" w:after="40"/>
            </w:pPr>
            <w:r>
              <w:rPr>
                <w:b/>
                <w:sz w:val="18"/>
              </w:rPr>
              <w:t>Residual Wound Area at Day 14 (%, mean ± SD)</w:t>
            </w:r>
          </w:p>
        </w:tc>
      </w:tr>
      <w:tr w:rsidR="00575185" w14:paraId="328AB829" w14:textId="77777777">
        <w:trPr>
          <w:jc w:val="center"/>
        </w:trPr>
        <w:tc>
          <w:tcPr>
            <w:tcW w:w="4773" w:type="dxa"/>
            <w:vAlign w:val="center"/>
          </w:tcPr>
          <w:p w14:paraId="37A3E6F8" w14:textId="77777777" w:rsidR="00575185" w:rsidRDefault="00000000">
            <w:pPr>
              <w:spacing w:before="40" w:after="40"/>
            </w:pPr>
            <w:r>
              <w:rPr>
                <w:sz w:val="18"/>
              </w:rPr>
              <w:t>Control (K)</w:t>
            </w:r>
          </w:p>
        </w:tc>
        <w:tc>
          <w:tcPr>
            <w:tcW w:w="4773" w:type="dxa"/>
            <w:vAlign w:val="center"/>
          </w:tcPr>
          <w:p w14:paraId="25E08CEA" w14:textId="77777777" w:rsidR="00575185" w:rsidRDefault="00000000">
            <w:pPr>
              <w:spacing w:before="40" w:after="40"/>
            </w:pPr>
            <w:r>
              <w:rPr>
                <w:sz w:val="18"/>
              </w:rPr>
              <w:t>63.00 ± 23.00</w:t>
            </w:r>
          </w:p>
        </w:tc>
      </w:tr>
      <w:tr w:rsidR="00575185" w14:paraId="48AA3E19" w14:textId="77777777">
        <w:trPr>
          <w:jc w:val="center"/>
        </w:trPr>
        <w:tc>
          <w:tcPr>
            <w:tcW w:w="4773" w:type="dxa"/>
            <w:vAlign w:val="center"/>
          </w:tcPr>
          <w:p w14:paraId="0EC7DDDB" w14:textId="77777777" w:rsidR="00575185" w:rsidRDefault="00000000">
            <w:pPr>
              <w:spacing w:before="40" w:after="40"/>
            </w:pPr>
            <w:r>
              <w:rPr>
                <w:sz w:val="18"/>
              </w:rPr>
              <w:t>VCO (V)</w:t>
            </w:r>
          </w:p>
        </w:tc>
        <w:tc>
          <w:tcPr>
            <w:tcW w:w="4773" w:type="dxa"/>
            <w:vAlign w:val="center"/>
          </w:tcPr>
          <w:p w14:paraId="2496CFAF" w14:textId="77777777" w:rsidR="00575185" w:rsidRDefault="00000000">
            <w:pPr>
              <w:spacing w:before="40" w:after="40"/>
            </w:pPr>
            <w:r>
              <w:rPr>
                <w:sz w:val="18"/>
              </w:rPr>
              <w:t>34.00 ± 13.00</w:t>
            </w:r>
          </w:p>
        </w:tc>
      </w:tr>
      <w:tr w:rsidR="00575185" w14:paraId="5BCAA529" w14:textId="77777777">
        <w:trPr>
          <w:jc w:val="center"/>
        </w:trPr>
        <w:tc>
          <w:tcPr>
            <w:tcW w:w="4773" w:type="dxa"/>
            <w:vAlign w:val="center"/>
          </w:tcPr>
          <w:p w14:paraId="461D1089" w14:textId="77777777" w:rsidR="00575185" w:rsidRDefault="00000000">
            <w:pPr>
              <w:spacing w:before="40" w:after="40"/>
            </w:pPr>
            <w:r>
              <w:rPr>
                <w:sz w:val="18"/>
              </w:rPr>
              <w:t>Amnion (A)</w:t>
            </w:r>
          </w:p>
        </w:tc>
        <w:tc>
          <w:tcPr>
            <w:tcW w:w="4773" w:type="dxa"/>
            <w:vAlign w:val="center"/>
          </w:tcPr>
          <w:p w14:paraId="64102E3C" w14:textId="77777777" w:rsidR="00575185" w:rsidRDefault="00000000">
            <w:pPr>
              <w:spacing w:before="40" w:after="40"/>
            </w:pPr>
            <w:r>
              <w:rPr>
                <w:sz w:val="18"/>
              </w:rPr>
              <w:t>56.00 ± 31.00</w:t>
            </w:r>
          </w:p>
        </w:tc>
      </w:tr>
    </w:tbl>
    <w:p w14:paraId="082F0F48" w14:textId="77777777" w:rsidR="00575185" w:rsidRDefault="00575185">
      <w:pPr>
        <w:spacing w:after="0"/>
      </w:pPr>
    </w:p>
    <w:p w14:paraId="1069FA87" w14:textId="77777777" w:rsidR="00575185" w:rsidRDefault="00000000">
      <w:pPr>
        <w:pStyle w:val="Heading2"/>
      </w:pPr>
      <w:r>
        <w:t>Histopathological features and inflammatory cell density</w:t>
      </w:r>
    </w:p>
    <w:p w14:paraId="4CBCB774" w14:textId="77777777" w:rsidR="00575185" w:rsidRDefault="00000000">
      <w:r>
        <w:t>On H&amp;E-stained sections (Figure 1), all three groups showed re-epithelialisation (E) and underlying dermal granulation tissue (G) at day 14. Qualitatively, granulation tissue in the VCO group showed a denser fibrocollagenous matrix and higher fibroblast content than the untreated control, though visibly less dense than the amnion group. Inflammatory cell infiltrate, comprising predominantly lymphocytes with neutrophils and macrophages, appeared qualitatively lower in the VCO group than in either comparator group.</w:t>
      </w:r>
    </w:p>
    <w:p w14:paraId="7ED6AFA2" w14:textId="77777777" w:rsidR="00575185" w:rsidRDefault="00000000">
      <w:r>
        <w:lastRenderedPageBreak/>
        <w:t>Figure 1. Representative haematoxylin–eosin-stained sections of dorsal skin at day 14 post-burn in the control (left), VCO (middle) and amnion (right) groups, showing the re-epithelialised surface (E) and dermal granulation tissue (G). Objective magnification 4× (top row), 10× (middle row) and 40× (bottom row, inflammatory cells indicated by arrows). Scale bar = 200 μm.</w:t>
      </w:r>
    </w:p>
    <w:p w14:paraId="0D1CD988" w14:textId="77777777" w:rsidR="00575185" w:rsidRDefault="00000000">
      <w:pPr>
        <w:jc w:val="center"/>
      </w:pPr>
      <w:r>
        <w:rPr>
          <w:noProof/>
        </w:rPr>
        <w:drawing>
          <wp:inline distT="0" distB="0" distL="0" distR="0" wp14:anchorId="78FC022C" wp14:editId="76EC4299">
            <wp:extent cx="4983480" cy="3719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4983480" cy="3719313"/>
                    </a:xfrm>
                    <a:prstGeom prst="rect">
                      <a:avLst/>
                    </a:prstGeom>
                  </pic:spPr>
                </pic:pic>
              </a:graphicData>
            </a:graphic>
          </wp:inline>
        </w:drawing>
      </w:r>
    </w:p>
    <w:p w14:paraId="26D1FDAA" w14:textId="77777777" w:rsidR="00575185" w:rsidRDefault="00000000">
      <w:r>
        <w:t>Quantitative counting confirmed this impression (Table 2). One-way ANOVA showed a significant overall difference in inflammatory cell density among groups (F = 17.61, p &lt; 0.0001). On Tukey HSD post hoc testing, the VCO group had significantly fewer inflammatory cells than both the control group (mean difference 27.94; p = 0.0004) and the amnion group (mean difference 40.80; p &lt; 0.0001), while the control and amnion groups did not differ significantly from one another (p = 0.165).</w:t>
      </w:r>
    </w:p>
    <w:p w14:paraId="60FD32A1" w14:textId="77777777" w:rsidR="00575185" w:rsidRDefault="00000000">
      <w:r>
        <w:t>Table 2. Inflammatory cell density in dermal granulation tissue at day 14 post-burn (mean number of inflammatory cells per field ± SD).</w:t>
      </w:r>
    </w:p>
    <w:tbl>
      <w:tblPr>
        <w:tblW w:w="0" w:type="auto"/>
        <w:jc w:val="center"/>
        <w:tblBorders>
          <w:top w:val="single" w:sz="4" w:space="0" w:color="AAAEB1"/>
          <w:bottom w:val="single" w:sz="4" w:space="0" w:color="AAAEB1"/>
          <w:insideH w:val="single" w:sz="4" w:space="0" w:color="AAAEB1"/>
        </w:tblBorders>
        <w:tblLook w:val="04A0" w:firstRow="1" w:lastRow="0" w:firstColumn="1" w:lastColumn="0" w:noHBand="0" w:noVBand="1"/>
      </w:tblPr>
      <w:tblGrid>
        <w:gridCol w:w="2387"/>
        <w:gridCol w:w="2387"/>
        <w:gridCol w:w="2387"/>
        <w:gridCol w:w="2387"/>
      </w:tblGrid>
      <w:tr w:rsidR="00575185" w14:paraId="0C2AA83F" w14:textId="77777777">
        <w:trPr>
          <w:jc w:val="center"/>
        </w:trPr>
        <w:tc>
          <w:tcPr>
            <w:tcW w:w="2387" w:type="dxa"/>
            <w:shd w:val="clear" w:color="auto" w:fill="E9EEF1"/>
            <w:vAlign w:val="center"/>
          </w:tcPr>
          <w:p w14:paraId="6C8C3C74" w14:textId="77777777" w:rsidR="00575185" w:rsidRDefault="00000000">
            <w:pPr>
              <w:spacing w:before="40" w:after="40"/>
            </w:pPr>
            <w:r>
              <w:rPr>
                <w:b/>
                <w:sz w:val="18"/>
              </w:rPr>
              <w:t>Treatment Group</w:t>
            </w:r>
          </w:p>
        </w:tc>
        <w:tc>
          <w:tcPr>
            <w:tcW w:w="2387" w:type="dxa"/>
            <w:shd w:val="clear" w:color="auto" w:fill="E9EEF1"/>
            <w:vAlign w:val="center"/>
          </w:tcPr>
          <w:p w14:paraId="5AF8128B" w14:textId="77777777" w:rsidR="00575185" w:rsidRDefault="00000000">
            <w:pPr>
              <w:spacing w:before="40" w:after="40"/>
            </w:pPr>
            <w:r>
              <w:rPr>
                <w:b/>
                <w:sz w:val="18"/>
              </w:rPr>
              <w:t>n</w:t>
            </w:r>
          </w:p>
        </w:tc>
        <w:tc>
          <w:tcPr>
            <w:tcW w:w="2387" w:type="dxa"/>
            <w:shd w:val="clear" w:color="auto" w:fill="E9EEF1"/>
            <w:vAlign w:val="center"/>
          </w:tcPr>
          <w:p w14:paraId="79EC479E" w14:textId="77777777" w:rsidR="00575185" w:rsidRDefault="00000000">
            <w:pPr>
              <w:spacing w:before="40" w:after="40"/>
            </w:pPr>
            <w:r>
              <w:rPr>
                <w:b/>
                <w:sz w:val="18"/>
              </w:rPr>
              <w:t>Inflammatory Cell Count (mean ± SD)</w:t>
            </w:r>
          </w:p>
        </w:tc>
        <w:tc>
          <w:tcPr>
            <w:tcW w:w="2387" w:type="dxa"/>
            <w:shd w:val="clear" w:color="auto" w:fill="E9EEF1"/>
            <w:vAlign w:val="center"/>
          </w:tcPr>
          <w:p w14:paraId="78847287" w14:textId="77777777" w:rsidR="00575185" w:rsidRDefault="00000000">
            <w:pPr>
              <w:spacing w:before="40" w:after="40"/>
            </w:pPr>
            <w:r>
              <w:rPr>
                <w:b/>
                <w:sz w:val="18"/>
              </w:rPr>
              <w:t>ANOVA p</w:t>
            </w:r>
          </w:p>
        </w:tc>
      </w:tr>
      <w:tr w:rsidR="00575185" w14:paraId="189E7FF5" w14:textId="77777777">
        <w:trPr>
          <w:jc w:val="center"/>
        </w:trPr>
        <w:tc>
          <w:tcPr>
            <w:tcW w:w="2387" w:type="dxa"/>
            <w:vAlign w:val="center"/>
          </w:tcPr>
          <w:p w14:paraId="5B852E76" w14:textId="77777777" w:rsidR="00575185" w:rsidRDefault="00000000">
            <w:pPr>
              <w:spacing w:before="40" w:after="40"/>
            </w:pPr>
            <w:r>
              <w:rPr>
                <w:sz w:val="18"/>
              </w:rPr>
              <w:t>Control (K)</w:t>
            </w:r>
          </w:p>
        </w:tc>
        <w:tc>
          <w:tcPr>
            <w:tcW w:w="2387" w:type="dxa"/>
            <w:vAlign w:val="center"/>
          </w:tcPr>
          <w:p w14:paraId="1F5439D7" w14:textId="77777777" w:rsidR="00575185" w:rsidRDefault="00000000">
            <w:pPr>
              <w:spacing w:before="40" w:after="40"/>
            </w:pPr>
            <w:r>
              <w:rPr>
                <w:sz w:val="18"/>
              </w:rPr>
              <w:t>7</w:t>
            </w:r>
          </w:p>
        </w:tc>
        <w:tc>
          <w:tcPr>
            <w:tcW w:w="2387" w:type="dxa"/>
            <w:vAlign w:val="center"/>
          </w:tcPr>
          <w:p w14:paraId="7D3B9FD4" w14:textId="77777777" w:rsidR="00575185" w:rsidRDefault="00000000">
            <w:pPr>
              <w:spacing w:before="40" w:after="40"/>
            </w:pPr>
            <w:r>
              <w:rPr>
                <w:sz w:val="18"/>
              </w:rPr>
              <w:t>131.57 ± 30.85</w:t>
            </w:r>
          </w:p>
        </w:tc>
        <w:tc>
          <w:tcPr>
            <w:tcW w:w="2387" w:type="dxa"/>
            <w:vAlign w:val="center"/>
          </w:tcPr>
          <w:p w14:paraId="736F8717" w14:textId="77777777" w:rsidR="00575185" w:rsidRDefault="00575185">
            <w:pPr>
              <w:spacing w:before="40" w:after="40"/>
            </w:pPr>
          </w:p>
        </w:tc>
      </w:tr>
      <w:tr w:rsidR="00575185" w14:paraId="45E94AA3" w14:textId="77777777">
        <w:trPr>
          <w:jc w:val="center"/>
        </w:trPr>
        <w:tc>
          <w:tcPr>
            <w:tcW w:w="2387" w:type="dxa"/>
            <w:vAlign w:val="center"/>
          </w:tcPr>
          <w:p w14:paraId="139FA490" w14:textId="77777777" w:rsidR="00575185" w:rsidRDefault="00000000">
            <w:pPr>
              <w:spacing w:before="40" w:after="40"/>
            </w:pPr>
            <w:r>
              <w:rPr>
                <w:sz w:val="18"/>
              </w:rPr>
              <w:t>VCO (V)</w:t>
            </w:r>
          </w:p>
        </w:tc>
        <w:tc>
          <w:tcPr>
            <w:tcW w:w="2387" w:type="dxa"/>
            <w:vAlign w:val="center"/>
          </w:tcPr>
          <w:p w14:paraId="6E78D185" w14:textId="77777777" w:rsidR="00575185" w:rsidRDefault="00000000">
            <w:pPr>
              <w:spacing w:before="40" w:after="40"/>
            </w:pPr>
            <w:r>
              <w:rPr>
                <w:sz w:val="18"/>
              </w:rPr>
              <w:t>9</w:t>
            </w:r>
          </w:p>
        </w:tc>
        <w:tc>
          <w:tcPr>
            <w:tcW w:w="2387" w:type="dxa"/>
            <w:vAlign w:val="center"/>
          </w:tcPr>
          <w:p w14:paraId="2C0AD7C6" w14:textId="77777777" w:rsidR="00575185" w:rsidRDefault="00000000">
            <w:pPr>
              <w:spacing w:before="40" w:after="40"/>
            </w:pPr>
            <w:r>
              <w:rPr>
                <w:sz w:val="18"/>
              </w:rPr>
              <w:t>103.63 ± 30.75 a,b</w:t>
            </w:r>
          </w:p>
        </w:tc>
        <w:tc>
          <w:tcPr>
            <w:tcW w:w="2387" w:type="dxa"/>
            <w:vAlign w:val="center"/>
          </w:tcPr>
          <w:p w14:paraId="37049588" w14:textId="77777777" w:rsidR="00575185" w:rsidRDefault="00000000">
            <w:pPr>
              <w:spacing w:before="40" w:after="40"/>
            </w:pPr>
            <w:r>
              <w:rPr>
                <w:sz w:val="18"/>
              </w:rPr>
              <w:t>&lt; 0.0001</w:t>
            </w:r>
          </w:p>
        </w:tc>
      </w:tr>
      <w:tr w:rsidR="00575185" w14:paraId="32173451" w14:textId="77777777">
        <w:trPr>
          <w:jc w:val="center"/>
        </w:trPr>
        <w:tc>
          <w:tcPr>
            <w:tcW w:w="2387" w:type="dxa"/>
            <w:vAlign w:val="center"/>
          </w:tcPr>
          <w:p w14:paraId="21E12CF4" w14:textId="77777777" w:rsidR="00575185" w:rsidRDefault="00000000">
            <w:pPr>
              <w:spacing w:before="40" w:after="40"/>
            </w:pPr>
            <w:r>
              <w:rPr>
                <w:sz w:val="18"/>
              </w:rPr>
              <w:t>Amnion (A)</w:t>
            </w:r>
          </w:p>
        </w:tc>
        <w:tc>
          <w:tcPr>
            <w:tcW w:w="2387" w:type="dxa"/>
            <w:vAlign w:val="center"/>
          </w:tcPr>
          <w:p w14:paraId="56864908" w14:textId="77777777" w:rsidR="00575185" w:rsidRDefault="00000000">
            <w:pPr>
              <w:spacing w:before="40" w:after="40"/>
            </w:pPr>
            <w:r>
              <w:rPr>
                <w:sz w:val="18"/>
              </w:rPr>
              <w:t>7</w:t>
            </w:r>
          </w:p>
        </w:tc>
        <w:tc>
          <w:tcPr>
            <w:tcW w:w="2387" w:type="dxa"/>
            <w:vAlign w:val="center"/>
          </w:tcPr>
          <w:p w14:paraId="78ACA12D" w14:textId="77777777" w:rsidR="00575185" w:rsidRDefault="00000000">
            <w:pPr>
              <w:spacing w:before="40" w:after="40"/>
            </w:pPr>
            <w:r>
              <w:rPr>
                <w:sz w:val="18"/>
              </w:rPr>
              <w:t>144.43 ± 26.41 c</w:t>
            </w:r>
          </w:p>
        </w:tc>
        <w:tc>
          <w:tcPr>
            <w:tcW w:w="2387" w:type="dxa"/>
            <w:vAlign w:val="center"/>
          </w:tcPr>
          <w:p w14:paraId="11B0436C" w14:textId="77777777" w:rsidR="00575185" w:rsidRDefault="00575185">
            <w:pPr>
              <w:spacing w:before="40" w:after="40"/>
            </w:pPr>
          </w:p>
        </w:tc>
      </w:tr>
    </w:tbl>
    <w:p w14:paraId="3F3ED61A" w14:textId="77777777" w:rsidR="00575185" w:rsidRDefault="00575185">
      <w:pPr>
        <w:spacing w:after="0"/>
      </w:pPr>
    </w:p>
    <w:p w14:paraId="68A872A4" w14:textId="77777777" w:rsidR="00575185" w:rsidRDefault="00000000">
      <w:pPr>
        <w:pStyle w:val="Smallnote"/>
      </w:pPr>
      <w:r>
        <w:t>a Significantly different from control (K), p &lt; 0.05. b Significantly different from amnion (A), p &lt; 0.05. c Not significantly different from control (K), p &gt; 0.05.</w:t>
      </w:r>
    </w:p>
    <w:p w14:paraId="2142FD8F" w14:textId="77777777" w:rsidR="00575185" w:rsidRDefault="00000000">
      <w:pPr>
        <w:pStyle w:val="Heading2"/>
      </w:pPr>
      <w:r>
        <w:lastRenderedPageBreak/>
        <w:t>Type I collagen expression</w:t>
      </w:r>
    </w:p>
    <w:p w14:paraId="220613B8" w14:textId="77777777" w:rsidR="00575185" w:rsidRDefault="00000000">
      <w:r>
        <w:t>Immunohistochemical staining for collagen type I (Figure 2) showed a brown-stained extracellular matrix within the dermal granulation tissue in all groups. Compared with the control group, the VCO group showed a qualitatively larger stained area and greater staining intensity within the granulation tissue; staining intensity in the VCO group was, however, visibly lower than in the amnion group.</w:t>
      </w:r>
    </w:p>
    <w:p w14:paraId="5E2F393B" w14:textId="77777777" w:rsidR="00575185" w:rsidRDefault="00000000">
      <w:r>
        <w:t>Figure 2. Immunohistochemical staining for type I collagen (brown, DAB chromogen) in dorsal skin at day 14 post-burn in the control (left), VCO (middle) and amnion (right) groups, showing the re-epithelialised surface (E) and dermal granulation tissue (G). Objective magnification 4× (top row) and 40× (bottom row). Scale bar = 200 μm.</w:t>
      </w:r>
    </w:p>
    <w:p w14:paraId="54B37FE6" w14:textId="77777777" w:rsidR="00575185" w:rsidRDefault="00000000">
      <w:pPr>
        <w:jc w:val="center"/>
      </w:pPr>
      <w:r>
        <w:rPr>
          <w:noProof/>
        </w:rPr>
        <w:drawing>
          <wp:inline distT="0" distB="0" distL="0" distR="0" wp14:anchorId="60C3E815" wp14:editId="56AB5B3F">
            <wp:extent cx="4983480" cy="27590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4983480" cy="2759094"/>
                    </a:xfrm>
                    <a:prstGeom prst="rect">
                      <a:avLst/>
                    </a:prstGeom>
                  </pic:spPr>
                </pic:pic>
              </a:graphicData>
            </a:graphic>
          </wp:inline>
        </w:drawing>
      </w:r>
    </w:p>
    <w:p w14:paraId="053E70E0" w14:textId="77777777" w:rsidR="00575185" w:rsidRDefault="00000000">
      <w:r>
        <w:t>Quantification of the percentage collagen-positive area (Table 3) confirmed a significant overall difference among groups (one-way ANOVA, p &lt; 0.0001). On Tukey HSD post hoc analysis, mean collagen type I expression in the VCO group was significantly higher than in the untreated control (mean difference 11.26% area; p &lt; 0.0001), while the difference between the VCO and amnion groups (mean difference 4.37% area) was not statistically significant (p = 0.184). Collagen expression in the amnion group was also significantly higher than in the control group (p &lt; 0.0001).</w:t>
      </w:r>
    </w:p>
    <w:p w14:paraId="477CFE71" w14:textId="77777777" w:rsidR="00575185" w:rsidRDefault="00000000">
      <w:r>
        <w:t>Table 3. Type I collagen expression in dermal granulation tissue at day 14 post-burn, quantified as percentage positively stained area.</w:t>
      </w:r>
    </w:p>
    <w:tbl>
      <w:tblPr>
        <w:tblW w:w="0" w:type="auto"/>
        <w:jc w:val="center"/>
        <w:tblBorders>
          <w:top w:val="single" w:sz="4" w:space="0" w:color="AAAEB1"/>
          <w:bottom w:val="single" w:sz="4" w:space="0" w:color="AAAEB1"/>
          <w:insideH w:val="single" w:sz="4" w:space="0" w:color="AAAEB1"/>
        </w:tblBorders>
        <w:tblLook w:val="04A0" w:firstRow="1" w:lastRow="0" w:firstColumn="1" w:lastColumn="0" w:noHBand="0" w:noVBand="1"/>
      </w:tblPr>
      <w:tblGrid>
        <w:gridCol w:w="2387"/>
        <w:gridCol w:w="2387"/>
        <w:gridCol w:w="2387"/>
        <w:gridCol w:w="2387"/>
      </w:tblGrid>
      <w:tr w:rsidR="00575185" w14:paraId="49282ED9" w14:textId="77777777">
        <w:trPr>
          <w:jc w:val="center"/>
        </w:trPr>
        <w:tc>
          <w:tcPr>
            <w:tcW w:w="2387" w:type="dxa"/>
            <w:shd w:val="clear" w:color="auto" w:fill="E9EEF1"/>
            <w:vAlign w:val="center"/>
          </w:tcPr>
          <w:p w14:paraId="213A1051" w14:textId="77777777" w:rsidR="00575185" w:rsidRDefault="00000000">
            <w:pPr>
              <w:spacing w:before="40" w:after="40"/>
            </w:pPr>
            <w:r>
              <w:rPr>
                <w:b/>
                <w:sz w:val="18"/>
              </w:rPr>
              <w:t>Treatment Group</w:t>
            </w:r>
          </w:p>
        </w:tc>
        <w:tc>
          <w:tcPr>
            <w:tcW w:w="2387" w:type="dxa"/>
            <w:shd w:val="clear" w:color="auto" w:fill="E9EEF1"/>
            <w:vAlign w:val="center"/>
          </w:tcPr>
          <w:p w14:paraId="4B90B00B" w14:textId="77777777" w:rsidR="00575185" w:rsidRDefault="00000000">
            <w:pPr>
              <w:spacing w:before="40" w:after="40"/>
            </w:pPr>
            <w:r>
              <w:rPr>
                <w:b/>
                <w:sz w:val="18"/>
              </w:rPr>
              <w:t>n</w:t>
            </w:r>
          </w:p>
        </w:tc>
        <w:tc>
          <w:tcPr>
            <w:tcW w:w="2387" w:type="dxa"/>
            <w:shd w:val="clear" w:color="auto" w:fill="E9EEF1"/>
            <w:vAlign w:val="center"/>
          </w:tcPr>
          <w:p w14:paraId="08BE6DD1" w14:textId="77777777" w:rsidR="00575185" w:rsidRDefault="00000000">
            <w:pPr>
              <w:spacing w:before="40" w:after="40"/>
            </w:pPr>
            <w:r>
              <w:rPr>
                <w:b/>
                <w:sz w:val="18"/>
              </w:rPr>
              <w:t>Type I Collagen (% area, mean ± SD)</w:t>
            </w:r>
          </w:p>
        </w:tc>
        <w:tc>
          <w:tcPr>
            <w:tcW w:w="2387" w:type="dxa"/>
            <w:shd w:val="clear" w:color="auto" w:fill="E9EEF1"/>
            <w:vAlign w:val="center"/>
          </w:tcPr>
          <w:p w14:paraId="0C8799E9" w14:textId="77777777" w:rsidR="00575185" w:rsidRDefault="00000000">
            <w:pPr>
              <w:spacing w:before="40" w:after="40"/>
            </w:pPr>
            <w:r>
              <w:rPr>
                <w:b/>
                <w:sz w:val="18"/>
              </w:rPr>
              <w:t>ANOVA p</w:t>
            </w:r>
          </w:p>
        </w:tc>
      </w:tr>
      <w:tr w:rsidR="00575185" w14:paraId="1C6B270A" w14:textId="77777777">
        <w:trPr>
          <w:jc w:val="center"/>
        </w:trPr>
        <w:tc>
          <w:tcPr>
            <w:tcW w:w="2387" w:type="dxa"/>
            <w:vAlign w:val="center"/>
          </w:tcPr>
          <w:p w14:paraId="259A254F" w14:textId="77777777" w:rsidR="00575185" w:rsidRDefault="00000000">
            <w:pPr>
              <w:spacing w:before="40" w:after="40"/>
            </w:pPr>
            <w:r>
              <w:rPr>
                <w:sz w:val="18"/>
              </w:rPr>
              <w:t>Control (K)</w:t>
            </w:r>
          </w:p>
        </w:tc>
        <w:tc>
          <w:tcPr>
            <w:tcW w:w="2387" w:type="dxa"/>
            <w:vAlign w:val="center"/>
          </w:tcPr>
          <w:p w14:paraId="2595FF73" w14:textId="77777777" w:rsidR="00575185" w:rsidRDefault="00000000">
            <w:pPr>
              <w:spacing w:before="40" w:after="40"/>
            </w:pPr>
            <w:r>
              <w:rPr>
                <w:sz w:val="18"/>
              </w:rPr>
              <w:t>7</w:t>
            </w:r>
          </w:p>
        </w:tc>
        <w:tc>
          <w:tcPr>
            <w:tcW w:w="2387" w:type="dxa"/>
            <w:vAlign w:val="center"/>
          </w:tcPr>
          <w:p w14:paraId="067597A7" w14:textId="77777777" w:rsidR="00575185" w:rsidRDefault="00000000">
            <w:pPr>
              <w:spacing w:before="40" w:after="40"/>
            </w:pPr>
            <w:r>
              <w:rPr>
                <w:sz w:val="18"/>
              </w:rPr>
              <w:t>33.157 ± 9.352</w:t>
            </w:r>
          </w:p>
        </w:tc>
        <w:tc>
          <w:tcPr>
            <w:tcW w:w="2387" w:type="dxa"/>
            <w:vAlign w:val="center"/>
          </w:tcPr>
          <w:p w14:paraId="68478FF9" w14:textId="77777777" w:rsidR="00575185" w:rsidRDefault="00575185">
            <w:pPr>
              <w:spacing w:before="40" w:after="40"/>
            </w:pPr>
          </w:p>
        </w:tc>
      </w:tr>
      <w:tr w:rsidR="00575185" w14:paraId="4F9FDE47" w14:textId="77777777">
        <w:trPr>
          <w:jc w:val="center"/>
        </w:trPr>
        <w:tc>
          <w:tcPr>
            <w:tcW w:w="2387" w:type="dxa"/>
            <w:vAlign w:val="center"/>
          </w:tcPr>
          <w:p w14:paraId="55C56D78" w14:textId="77777777" w:rsidR="00575185" w:rsidRDefault="00000000">
            <w:pPr>
              <w:spacing w:before="40" w:after="40"/>
            </w:pPr>
            <w:r>
              <w:rPr>
                <w:sz w:val="18"/>
              </w:rPr>
              <w:t>VCO (V)</w:t>
            </w:r>
          </w:p>
        </w:tc>
        <w:tc>
          <w:tcPr>
            <w:tcW w:w="2387" w:type="dxa"/>
            <w:vAlign w:val="center"/>
          </w:tcPr>
          <w:p w14:paraId="12056F56" w14:textId="77777777" w:rsidR="00575185" w:rsidRDefault="00000000">
            <w:pPr>
              <w:spacing w:before="40" w:after="40"/>
            </w:pPr>
            <w:r>
              <w:rPr>
                <w:sz w:val="18"/>
              </w:rPr>
              <w:t>9</w:t>
            </w:r>
          </w:p>
        </w:tc>
        <w:tc>
          <w:tcPr>
            <w:tcW w:w="2387" w:type="dxa"/>
            <w:vAlign w:val="center"/>
          </w:tcPr>
          <w:p w14:paraId="758CE871" w14:textId="77777777" w:rsidR="00575185" w:rsidRDefault="00000000">
            <w:pPr>
              <w:spacing w:before="40" w:after="40"/>
            </w:pPr>
            <w:r>
              <w:rPr>
                <w:sz w:val="18"/>
              </w:rPr>
              <w:t>44.417 ± 6.519 a,b</w:t>
            </w:r>
          </w:p>
        </w:tc>
        <w:tc>
          <w:tcPr>
            <w:tcW w:w="2387" w:type="dxa"/>
            <w:vAlign w:val="center"/>
          </w:tcPr>
          <w:p w14:paraId="39BE2BB7" w14:textId="77777777" w:rsidR="00575185" w:rsidRDefault="00000000">
            <w:pPr>
              <w:spacing w:before="40" w:after="40"/>
            </w:pPr>
            <w:r>
              <w:rPr>
                <w:sz w:val="18"/>
              </w:rPr>
              <w:t>&lt; 0.0001</w:t>
            </w:r>
          </w:p>
        </w:tc>
      </w:tr>
      <w:tr w:rsidR="00575185" w14:paraId="1AFAE8CA" w14:textId="77777777">
        <w:trPr>
          <w:jc w:val="center"/>
        </w:trPr>
        <w:tc>
          <w:tcPr>
            <w:tcW w:w="2387" w:type="dxa"/>
            <w:vAlign w:val="center"/>
          </w:tcPr>
          <w:p w14:paraId="431F189E" w14:textId="77777777" w:rsidR="00575185" w:rsidRDefault="00000000">
            <w:pPr>
              <w:spacing w:before="40" w:after="40"/>
            </w:pPr>
            <w:r>
              <w:rPr>
                <w:sz w:val="18"/>
              </w:rPr>
              <w:t>Amnion (A)</w:t>
            </w:r>
          </w:p>
        </w:tc>
        <w:tc>
          <w:tcPr>
            <w:tcW w:w="2387" w:type="dxa"/>
            <w:vAlign w:val="center"/>
          </w:tcPr>
          <w:p w14:paraId="1B004289" w14:textId="77777777" w:rsidR="00575185" w:rsidRDefault="00000000">
            <w:pPr>
              <w:spacing w:before="40" w:after="40"/>
            </w:pPr>
            <w:r>
              <w:rPr>
                <w:sz w:val="18"/>
              </w:rPr>
              <w:t>7</w:t>
            </w:r>
          </w:p>
        </w:tc>
        <w:tc>
          <w:tcPr>
            <w:tcW w:w="2387" w:type="dxa"/>
            <w:vAlign w:val="center"/>
          </w:tcPr>
          <w:p w14:paraId="74055324" w14:textId="77777777" w:rsidR="00575185" w:rsidRDefault="00000000">
            <w:pPr>
              <w:spacing w:before="40" w:after="40"/>
            </w:pPr>
            <w:r>
              <w:rPr>
                <w:sz w:val="18"/>
              </w:rPr>
              <w:t>48.786 ± 9.519 c</w:t>
            </w:r>
          </w:p>
        </w:tc>
        <w:tc>
          <w:tcPr>
            <w:tcW w:w="2387" w:type="dxa"/>
            <w:vAlign w:val="center"/>
          </w:tcPr>
          <w:p w14:paraId="0B536FF6" w14:textId="77777777" w:rsidR="00575185" w:rsidRDefault="00575185">
            <w:pPr>
              <w:spacing w:before="40" w:after="40"/>
            </w:pPr>
          </w:p>
        </w:tc>
      </w:tr>
    </w:tbl>
    <w:p w14:paraId="26C15E9B" w14:textId="77777777" w:rsidR="00575185" w:rsidRDefault="00575185">
      <w:pPr>
        <w:spacing w:after="0"/>
      </w:pPr>
    </w:p>
    <w:p w14:paraId="63573640" w14:textId="77777777" w:rsidR="00575185" w:rsidRDefault="00000000">
      <w:pPr>
        <w:pStyle w:val="Smallnote"/>
      </w:pPr>
      <w:r>
        <w:t>a Significantly different from control (K), p &lt; 0.05. b Not significantly different from amnion (A), p &gt; 0.05. c Significantly different from control (K), p &lt; 0.05.</w:t>
      </w:r>
    </w:p>
    <w:p w14:paraId="23C91C34" w14:textId="77777777" w:rsidR="00575185" w:rsidRDefault="00000000">
      <w:r>
        <w:lastRenderedPageBreak/>
        <w:t>Table 4. Summary of Tukey HSD pairwise comparisons for inflammatory cell density and type I collagen expression.</w:t>
      </w:r>
    </w:p>
    <w:tbl>
      <w:tblPr>
        <w:tblW w:w="0" w:type="auto"/>
        <w:jc w:val="center"/>
        <w:tblBorders>
          <w:top w:val="single" w:sz="4" w:space="0" w:color="AAAEB1"/>
          <w:bottom w:val="single" w:sz="4" w:space="0" w:color="AAAEB1"/>
          <w:insideH w:val="single" w:sz="4" w:space="0" w:color="AAAEB1"/>
        </w:tblBorders>
        <w:tblLook w:val="04A0" w:firstRow="1" w:lastRow="0" w:firstColumn="1" w:lastColumn="0" w:noHBand="0" w:noVBand="1"/>
      </w:tblPr>
      <w:tblGrid>
        <w:gridCol w:w="3182"/>
        <w:gridCol w:w="3182"/>
        <w:gridCol w:w="3182"/>
      </w:tblGrid>
      <w:tr w:rsidR="00575185" w14:paraId="5ADF1B1F" w14:textId="77777777">
        <w:trPr>
          <w:jc w:val="center"/>
        </w:trPr>
        <w:tc>
          <w:tcPr>
            <w:tcW w:w="3182" w:type="dxa"/>
            <w:shd w:val="clear" w:color="auto" w:fill="E9EEF1"/>
            <w:vAlign w:val="center"/>
          </w:tcPr>
          <w:p w14:paraId="754BC064" w14:textId="77777777" w:rsidR="00575185" w:rsidRDefault="00000000">
            <w:pPr>
              <w:spacing w:before="40" w:after="40"/>
            </w:pPr>
            <w:r>
              <w:rPr>
                <w:b/>
                <w:sz w:val="18"/>
              </w:rPr>
              <w:t>Pairwise Comparison (Tukey HSD)</w:t>
            </w:r>
          </w:p>
        </w:tc>
        <w:tc>
          <w:tcPr>
            <w:tcW w:w="3182" w:type="dxa"/>
            <w:shd w:val="clear" w:color="auto" w:fill="E9EEF1"/>
            <w:vAlign w:val="center"/>
          </w:tcPr>
          <w:p w14:paraId="7620C3CC" w14:textId="77777777" w:rsidR="00575185" w:rsidRDefault="00000000">
            <w:pPr>
              <w:spacing w:before="40" w:after="40"/>
            </w:pPr>
            <w:r>
              <w:rPr>
                <w:b/>
                <w:sz w:val="18"/>
              </w:rPr>
              <w:t>Inflammatory Cells, p</w:t>
            </w:r>
          </w:p>
        </w:tc>
        <w:tc>
          <w:tcPr>
            <w:tcW w:w="3182" w:type="dxa"/>
            <w:shd w:val="clear" w:color="auto" w:fill="E9EEF1"/>
            <w:vAlign w:val="center"/>
          </w:tcPr>
          <w:p w14:paraId="62045288" w14:textId="77777777" w:rsidR="00575185" w:rsidRDefault="00000000">
            <w:pPr>
              <w:spacing w:before="40" w:after="40"/>
            </w:pPr>
            <w:r>
              <w:rPr>
                <w:b/>
                <w:sz w:val="18"/>
              </w:rPr>
              <w:t>Type I Collagen, p</w:t>
            </w:r>
          </w:p>
        </w:tc>
      </w:tr>
      <w:tr w:rsidR="00575185" w14:paraId="4A5997E1" w14:textId="77777777">
        <w:trPr>
          <w:jc w:val="center"/>
        </w:trPr>
        <w:tc>
          <w:tcPr>
            <w:tcW w:w="3182" w:type="dxa"/>
            <w:vAlign w:val="center"/>
          </w:tcPr>
          <w:p w14:paraId="3C206DCC" w14:textId="77777777" w:rsidR="00575185" w:rsidRDefault="00000000">
            <w:pPr>
              <w:spacing w:before="40" w:after="40"/>
            </w:pPr>
            <w:r>
              <w:rPr>
                <w:sz w:val="18"/>
              </w:rPr>
              <w:t>Control (K) vs VCO (V)</w:t>
            </w:r>
          </w:p>
        </w:tc>
        <w:tc>
          <w:tcPr>
            <w:tcW w:w="3182" w:type="dxa"/>
            <w:vAlign w:val="center"/>
          </w:tcPr>
          <w:p w14:paraId="4320F66A" w14:textId="77777777" w:rsidR="00575185" w:rsidRDefault="00000000">
            <w:pPr>
              <w:spacing w:before="40" w:after="40"/>
            </w:pPr>
            <w:r>
              <w:rPr>
                <w:sz w:val="18"/>
              </w:rPr>
              <w:t>0.0004 ***</w:t>
            </w:r>
          </w:p>
        </w:tc>
        <w:tc>
          <w:tcPr>
            <w:tcW w:w="3182" w:type="dxa"/>
            <w:vAlign w:val="center"/>
          </w:tcPr>
          <w:p w14:paraId="629A0909" w14:textId="77777777" w:rsidR="00575185" w:rsidRDefault="00000000">
            <w:pPr>
              <w:spacing w:before="40" w:after="40"/>
            </w:pPr>
            <w:r>
              <w:rPr>
                <w:sz w:val="18"/>
              </w:rPr>
              <w:t>&lt; 0.0001 ****</w:t>
            </w:r>
          </w:p>
        </w:tc>
      </w:tr>
      <w:tr w:rsidR="00575185" w14:paraId="7E975602" w14:textId="77777777">
        <w:trPr>
          <w:jc w:val="center"/>
        </w:trPr>
        <w:tc>
          <w:tcPr>
            <w:tcW w:w="3182" w:type="dxa"/>
            <w:vAlign w:val="center"/>
          </w:tcPr>
          <w:p w14:paraId="6A246502" w14:textId="77777777" w:rsidR="00575185" w:rsidRDefault="00000000">
            <w:pPr>
              <w:spacing w:before="40" w:after="40"/>
            </w:pPr>
            <w:r>
              <w:rPr>
                <w:sz w:val="18"/>
              </w:rPr>
              <w:t>Control (K) vs Amnion (A)</w:t>
            </w:r>
          </w:p>
        </w:tc>
        <w:tc>
          <w:tcPr>
            <w:tcW w:w="3182" w:type="dxa"/>
            <w:vAlign w:val="center"/>
          </w:tcPr>
          <w:p w14:paraId="1143E881" w14:textId="77777777" w:rsidR="00575185" w:rsidRDefault="00000000">
            <w:pPr>
              <w:spacing w:before="40" w:after="40"/>
            </w:pPr>
            <w:r>
              <w:rPr>
                <w:sz w:val="18"/>
              </w:rPr>
              <w:t>0.1653 ns</w:t>
            </w:r>
          </w:p>
        </w:tc>
        <w:tc>
          <w:tcPr>
            <w:tcW w:w="3182" w:type="dxa"/>
            <w:vAlign w:val="center"/>
          </w:tcPr>
          <w:p w14:paraId="753B4A1E" w14:textId="77777777" w:rsidR="00575185" w:rsidRDefault="00000000">
            <w:pPr>
              <w:spacing w:before="40" w:after="40"/>
            </w:pPr>
            <w:r>
              <w:rPr>
                <w:sz w:val="18"/>
              </w:rPr>
              <w:t>&lt; 0.0001 ****</w:t>
            </w:r>
          </w:p>
        </w:tc>
      </w:tr>
      <w:tr w:rsidR="00575185" w14:paraId="1ED24269" w14:textId="77777777">
        <w:trPr>
          <w:jc w:val="center"/>
        </w:trPr>
        <w:tc>
          <w:tcPr>
            <w:tcW w:w="3182" w:type="dxa"/>
            <w:vAlign w:val="center"/>
          </w:tcPr>
          <w:p w14:paraId="0ECB8756" w14:textId="77777777" w:rsidR="00575185" w:rsidRDefault="00000000">
            <w:pPr>
              <w:spacing w:before="40" w:after="40"/>
            </w:pPr>
            <w:r>
              <w:rPr>
                <w:sz w:val="18"/>
              </w:rPr>
              <w:t>VCO (V) vs Amnion (A)</w:t>
            </w:r>
          </w:p>
        </w:tc>
        <w:tc>
          <w:tcPr>
            <w:tcW w:w="3182" w:type="dxa"/>
            <w:vAlign w:val="center"/>
          </w:tcPr>
          <w:p w14:paraId="3113A46B" w14:textId="77777777" w:rsidR="00575185" w:rsidRDefault="00000000">
            <w:pPr>
              <w:spacing w:before="40" w:after="40"/>
            </w:pPr>
            <w:r>
              <w:rPr>
                <w:sz w:val="18"/>
              </w:rPr>
              <w:t>&lt; 0.0001 ****</w:t>
            </w:r>
          </w:p>
        </w:tc>
        <w:tc>
          <w:tcPr>
            <w:tcW w:w="3182" w:type="dxa"/>
            <w:vAlign w:val="center"/>
          </w:tcPr>
          <w:p w14:paraId="59975CDC" w14:textId="77777777" w:rsidR="00575185" w:rsidRDefault="00000000">
            <w:pPr>
              <w:spacing w:before="40" w:after="40"/>
            </w:pPr>
            <w:r>
              <w:rPr>
                <w:sz w:val="18"/>
              </w:rPr>
              <w:t>0.184 ns</w:t>
            </w:r>
          </w:p>
        </w:tc>
      </w:tr>
    </w:tbl>
    <w:p w14:paraId="034A6B7F" w14:textId="77777777" w:rsidR="00575185" w:rsidRDefault="00575185">
      <w:pPr>
        <w:spacing w:after="0"/>
      </w:pPr>
    </w:p>
    <w:p w14:paraId="590AA733" w14:textId="77777777" w:rsidR="00575185" w:rsidRDefault="00000000">
      <w:pPr>
        <w:pStyle w:val="Smallnote"/>
      </w:pPr>
      <w:r>
        <w:t>*** p &lt; 0.001; **** p &lt; 0.0001; ns, not significant (p &gt; 0.05).</w:t>
      </w:r>
    </w:p>
    <w:p w14:paraId="08BD34FC" w14:textId="77777777" w:rsidR="00575185" w:rsidRDefault="00000000">
      <w:pPr>
        <w:pStyle w:val="Heading1"/>
      </w:pPr>
      <w:r>
        <w:t>DISCUSSION</w:t>
      </w:r>
    </w:p>
    <w:p w14:paraId="5DA66FC7" w14:textId="77777777" w:rsidR="00575185" w:rsidRDefault="00000000">
      <w:r>
        <w:t>The present study demonstrates that topical VCO significantly increases type I collagen expression in the granulation tissue of second-degree burn wounds relative to an untreated control, reaching a level not statistically different from that observed with human amnion membrane in the reported analysis, an established biological dressing (Pigeon, 1960; Koob et al., 2013; Koob et al., 2014). This finding directly supports the developmental rationale for VCO as a topical burn agent: adequate type I collagen deposition during the proliferative-to-remodelling transition is a key structural marker of favourable wound maturation (Gelse et al., 2003; Singh et al., 2017), and the observed collagen response in the VCO and amnion groups suggests that, by this histological criterion, VCO can support wound-matrix formation to a similar degree as a growth-factor-rich biological dressing, at substantially lower cost and complexity of application (Koob et al., 2013)</w:t>
      </w:r>
    </w:p>
    <w:p w14:paraId="551B0307" w14:textId="77777777" w:rsidR="00575185" w:rsidRDefault="00000000">
      <w:r>
        <w:t>A notable feature of the present results is the dissociation between inflammatory cell density and collagen deposition across groups. The amnion group combined the highest inflammatory cell density with the highest collagen expression, whereas the VCO group combined the lowest inflammatory cell density with a collagen level not statistically different from amnion in the reported analysis. Amnion is known to contain a broad complement of growth factors and cytokines — including vascular endothelial growth factor, platelet-derived growth factor, transforming growth factor, epidermal growth factor and granulocyte colony-stimulating factor — capable of stimulating angiogenesis and matrix production (Koob et al., 2013; Koob et al., 2014); the relatively high inflammatory cell density observed in the amnion group in this study may reflect a host response to xenogeneic membrane components rather than a response to the burn injury itself, consistent with reports that amnion, despite being regarded as comparatively non-immunogenic, can still elicit a mild foreign-tissue reaction in some settings (Koob et al., 2013)</w:t>
      </w:r>
    </w:p>
    <w:p w14:paraId="0850064D" w14:textId="77777777" w:rsidR="00575185" w:rsidRDefault="00000000">
      <w:r>
        <w:t xml:space="preserve">By contrast, the lower inflammatory cell density in the VCO group, occurring alongside preserved collagen deposition, is consistent with an anti-inflammatory mechanism of action. In vitro and in vivo studies have shown that VCO and its major fatty acid constituents suppress pro-inflammatory mediator release: VCO has been reported to inhibit TNF-α, IFN-γ and several interleukins in THP-1 cells (Varma et al., 2019), to exert anti-inflammatory, analgesic and antipyretic activity in rodent models (Intahphuak et al., 2010; Zakaria et al., 2011), and to attenuate oxidative and inflammatory injury in other rat models of tissue damage (Famurewa et al., 2018). Among VCO's unsaturated fatty acid constituents, palmitoleic acid applied topically has been shown to modulate the local cytokine profile (TNF-α, IL-1β, IL-6) and accelerate wound closure through an anti-inflammatory mechanism (Weimann et al., 2018), while oleic acid has been shown </w:t>
      </w:r>
      <w:r>
        <w:lastRenderedPageBreak/>
        <w:t>to modulate the immune response and increase collagen production during cutaneous wound healing (Cardoso et al., 2011). Taken together, these mechanisms plausibly account for the pattern observed here, in which VCO limited the inflammatory cell burden of the healing wound without compromising, and indeed while supporting, type I collagen synthesis — most likely through a fibroblast-proliferation-driven route operating in parallel with, rather than dependent upon, a large inflammatory cell infiltrate (Gelse et al., 2003; Deonarine et al., 2007)</w:t>
      </w:r>
    </w:p>
    <w:p w14:paraId="010E7AE3" w14:textId="77777777" w:rsidR="00575185" w:rsidRDefault="00000000">
      <w:r>
        <w:t>This pattern has potential clinical relevance. Excessive or prolonged inflammatory cell infiltration during burn wound healing is associated with excessive collagen deposition and hypertrophic scarring (Gelse et al., 2003; Singh et al., 2017), whereas a healing trajectory that achieves adequate collagen deposition with a comparatively limited inflammatory response may be more favourable for minimising fibrotic scarring. The absence of eschar formation and the numerically smaller residual wound area observed macroscopically in the VCO group at day 14, although not reaching statistical significance in this relatively small sample, are broadly consistent with this interpretation and with earlier reports that VCO accelerates partial-thickness wound closure in other animal models (Durgaprasad &amp; Srivastava, 2008; Nevin &amp; Rajamohan, 2010; Batool, 2012; Silalahi &amp; Surbakti, 2015; Soliman et al., 2018)</w:t>
      </w:r>
    </w:p>
    <w:p w14:paraId="238D11CF" w14:textId="77777777" w:rsidR="00575185" w:rsidRDefault="00000000">
      <w:r>
        <w:t>The higher survival observed in the VCO group compared with the control and amnion groups (9/9 versus 7/9 in each comparator group, with deaths occurring by day 4 in the latter two) is an additional, hypothesis-generating observation; because deaths occurred early — before the majority of the healing process captured by this study — this finding should be interpreted with caution and is more plausibly related to general peri-procedural factors than to the collagen-related endpoints reported here.</w:t>
      </w:r>
    </w:p>
    <w:p w14:paraId="75F106A4" w14:textId="77777777" w:rsidR="00575185" w:rsidRDefault="00000000">
      <w:r>
        <w:t>This study has several limitations. First, only a single VCO application regimen (0.5 mL, twice daily) was tested, and no dose–response relationship was established. Second, tissue was sampled only at a single, relatively early time point (day 14); longer-term follow-up would be required to determine whether the granulation-phase collagen pattern observed here translates into a favourable, non-hypertrophic scar outcome. Third, although the rat dorsal skin model is widely used for wound-healing research, rodent skin differs from human skin in several structural respects, including the presence of the panniculus carnosus muscle, which can influence wound contraction and should be considered when extrapolating these findings to human burn care (Wong et al., 2011). Finally, the present manuscript focuses specifically on inflammatory cell density and type I collagen expression; the effect of topical VCO on the systemic mRNA expression of VEGF-A and EGF from this same experimental series, together with the mechanistic relationship between these growth factors and the collagen findings reported here, is addressed in a separate manuscript.</w:t>
      </w:r>
    </w:p>
    <w:p w14:paraId="3A98C21E" w14:textId="77777777" w:rsidR="00575185" w:rsidRDefault="00000000">
      <w:r>
        <w:t xml:space="preserve">Overall, these findings extend previous reports of VCO's beneficial effect on wound healing (Durgaprasad &amp; Srivastava, 2008; Nevin &amp; Rajamohan, 2010; Batool, 2012; Silalahi &amp; Surbakti, 2015; Soliman et al., 2018) by demonstrating, using a validated immunohistochemical and image-analysis approach, that topical VCO promotes type I collagen deposition in a burn-injury granulation tissue model to a degree comparable with human amnion, while producing a distinctly lower inflammatory cell burden. Further studies incorporating dose optimisation, longer-term scar quality assessment, and mechanistic pathway analysis (for </w:t>
      </w:r>
      <w:r>
        <w:lastRenderedPageBreak/>
        <w:t>example, fibroblast proliferation assays and transforming growth factor-β/Smad signalling) are warranted before clinical translation of VCO as a topical agent for second-degree burn care.</w:t>
      </w:r>
    </w:p>
    <w:p w14:paraId="115BD6C9" w14:textId="77777777" w:rsidR="00575185" w:rsidRDefault="00000000">
      <w:pPr>
        <w:pStyle w:val="Heading1"/>
      </w:pPr>
      <w:r>
        <w:t>CONCLUSION</w:t>
      </w:r>
    </w:p>
    <w:p w14:paraId="0B4BA75A" w14:textId="77777777" w:rsidR="00575185" w:rsidRDefault="00000000">
      <w:r>
        <w:t>Topical application of virgin coconut oil significantly increased type I collagen expression in the granulation tissue of second-degree burn wounds in a rat model, reaching a mean level numerically below the amnion group; equivalence was not established, while producing significantly lower inflammatory cell density than either the untreated control or the amnion group. These findings support the continued development of VCO as an accessible, low-cost topical agent that promotes qualitatively favourable, comparatively anti-inflammatory granulation tissue maturation in second-degree burn wounds.</w:t>
      </w:r>
    </w:p>
    <w:p w14:paraId="705FE25D" w14:textId="77777777" w:rsidR="00575185" w:rsidRDefault="00000000">
      <w:pPr>
        <w:pStyle w:val="Heading1"/>
      </w:pPr>
      <w:r>
        <w:t>ACKNOWLEDGEMENTS</w:t>
      </w:r>
    </w:p>
    <w:p w14:paraId="297BEC3E" w14:textId="77777777" w:rsidR="00575185" w:rsidRDefault="00000000">
      <w:r>
        <w:t>Acknowledgements and identifying institutional details are provided in the separate Title Page and will be restored after peer review.</w:t>
      </w:r>
    </w:p>
    <w:p w14:paraId="1222D414" w14:textId="77777777" w:rsidR="00575185" w:rsidRDefault="00000000">
      <w:pPr>
        <w:pStyle w:val="Heading1"/>
      </w:pPr>
      <w:r>
        <w:t>ETHICAL STATEMENT</w:t>
      </w:r>
    </w:p>
    <w:p w14:paraId="5D2EB6AA" w14:textId="77777777" w:rsidR="00575185" w:rsidRDefault="00000000">
      <w:r>
        <w:t>The study was approved by an institutional health research ethics committee [APPROVAL CODE AND DATE MUST BE INSERTED AFTER AUTHOR CONFIRMATION]. The source manuscript reports compliance with institutional animal-care guidelines. Details of the source and donor permission for the human amnion membrane require author confirmation.</w:t>
      </w:r>
    </w:p>
    <w:p w14:paraId="642288D3" w14:textId="77777777" w:rsidR="00575185" w:rsidRDefault="00000000">
      <w:pPr>
        <w:pStyle w:val="Heading1"/>
      </w:pPr>
      <w:r>
        <w:t>CONFLICT OF INTEREST STATEMENT</w:t>
      </w:r>
    </w:p>
    <w:p w14:paraId="1BE7E42A" w14:textId="77777777" w:rsidR="00575185" w:rsidRDefault="00000000">
      <w:r>
        <w:t>The authors declare no conflict of interest [TO BE CONFIRMED BY EACH AUTHOR BEFORE SUBMISSION].</w:t>
      </w:r>
    </w:p>
    <w:p w14:paraId="2A28ED1C" w14:textId="77777777" w:rsidR="00575185" w:rsidRDefault="00000000">
      <w:pPr>
        <w:pStyle w:val="Heading1"/>
      </w:pPr>
      <w:r>
        <w:t>FUNDING</w:t>
      </w:r>
    </w:p>
    <w:p w14:paraId="7F1D1A71" w14:textId="77777777" w:rsidR="00575185" w:rsidRDefault="00000000">
      <w:r>
        <w:t>Funding details are supplied in the separate Title Page for double-blind review; the grant or award number, if any, remains to be confirmed.</w:t>
      </w:r>
    </w:p>
    <w:p w14:paraId="1A8C6800" w14:textId="77777777" w:rsidR="00575185" w:rsidRDefault="00000000">
      <w:pPr>
        <w:pStyle w:val="Heading1"/>
      </w:pPr>
      <w:r>
        <w:t>DATA AVAILABILITY</w:t>
      </w:r>
    </w:p>
    <w:p w14:paraId="177E80B9" w14:textId="77777777" w:rsidR="00575185" w:rsidRDefault="00000000">
      <w:r>
        <w:t>The datasets generated and analysed during this study are available from the corresponding author on reasonable request [confirm data retention and sharing arrangements].</w:t>
      </w:r>
    </w:p>
    <w:p w14:paraId="6B1CFFF0" w14:textId="77777777" w:rsidR="00575185" w:rsidRDefault="00000000">
      <w:pPr>
        <w:pStyle w:val="Heading1"/>
      </w:pPr>
      <w:r>
        <w:t>REFERENCES</w:t>
      </w:r>
    </w:p>
    <w:p w14:paraId="52938602" w14:textId="77777777" w:rsidR="00575185" w:rsidRDefault="00000000">
      <w:pPr>
        <w:spacing w:after="60"/>
        <w:ind w:left="317" w:hanging="317"/>
      </w:pPr>
      <w:r>
        <w:rPr>
          <w:sz w:val="19"/>
        </w:rPr>
        <w:t>Ahuja, R.B. &amp; Bhattacharya, S. 2004. Burns in the developing world and burn disasters. BMJ, 329(7463):447–9.</w:t>
      </w:r>
    </w:p>
    <w:p w14:paraId="0088E341" w14:textId="77777777" w:rsidR="00575185" w:rsidRDefault="00000000">
      <w:pPr>
        <w:spacing w:after="60"/>
        <w:ind w:left="317" w:hanging="317"/>
      </w:pPr>
      <w:r>
        <w:rPr>
          <w:sz w:val="19"/>
        </w:rPr>
        <w:t>Batool, S.H. 2012. The effect of coconut oil extract on full thickness wound healing on the female rabbits. Basrah Journal of Veterinary Research, 11(2):28–36.</w:t>
      </w:r>
    </w:p>
    <w:p w14:paraId="1E82F701" w14:textId="77777777" w:rsidR="00575185" w:rsidRDefault="00000000">
      <w:pPr>
        <w:spacing w:after="60"/>
        <w:ind w:left="317" w:hanging="317"/>
      </w:pPr>
      <w:r>
        <w:rPr>
          <w:sz w:val="19"/>
        </w:rPr>
        <w:t>Cameron, A.M., Ruzehaji, N. &amp; Cowin, A.J. 2010. Burn wound management: a surgical perspective. Wound Practice and Research, 18(1):35–9.</w:t>
      </w:r>
    </w:p>
    <w:p w14:paraId="214A924B" w14:textId="77777777" w:rsidR="00575185" w:rsidRDefault="00000000">
      <w:pPr>
        <w:spacing w:after="60"/>
        <w:ind w:left="317" w:hanging="317"/>
      </w:pPr>
      <w:r>
        <w:rPr>
          <w:sz w:val="19"/>
        </w:rPr>
        <w:t>Cardoso, C.R., Souza, M.A., Ferro, E.A., Favoreto, S., Jr., Oliveira, L.L., Vancim, J.O., et al. 2011. Oleic acid modulation of the immune response in wound healing: a new approach for skin repair. Immunobiology, 216(3):409–15.</w:t>
      </w:r>
    </w:p>
    <w:p w14:paraId="44DB1DAD" w14:textId="77777777" w:rsidR="00575185" w:rsidRDefault="00000000">
      <w:pPr>
        <w:spacing w:after="60"/>
        <w:ind w:left="317" w:hanging="317"/>
      </w:pPr>
      <w:r>
        <w:rPr>
          <w:sz w:val="19"/>
        </w:rPr>
        <w:lastRenderedPageBreak/>
        <w:t>Clark, R.A.F. 2011. Overview and general considerations of wound repair. In: The Molecular and Cellular Biology of Wound Repair. Springer Science+Business Media, New York. pp. 3–33. [Verify editor details and edition].</w:t>
      </w:r>
    </w:p>
    <w:p w14:paraId="250E508D" w14:textId="77777777" w:rsidR="00575185" w:rsidRDefault="00000000">
      <w:pPr>
        <w:spacing w:after="60"/>
        <w:ind w:left="317" w:hanging="317"/>
      </w:pPr>
      <w:r>
        <w:rPr>
          <w:sz w:val="19"/>
        </w:rPr>
        <w:t>Deonarine, K., Panelli, M.C., Stashower, M.E., Jin, P., Smith, K., Slade, H.B., et al. 2007. Gene expression profiling of cutaneous wound healing. Journal of Translational Medicine, 5:11.</w:t>
      </w:r>
    </w:p>
    <w:p w14:paraId="3134F329" w14:textId="77777777" w:rsidR="00575185" w:rsidRDefault="00000000">
      <w:pPr>
        <w:spacing w:after="60"/>
        <w:ind w:left="317" w:hanging="317"/>
      </w:pPr>
      <w:r>
        <w:rPr>
          <w:sz w:val="19"/>
        </w:rPr>
        <w:t xml:space="preserve">Durgaprasad, S. &amp; Srivastava, P. 2008. Burn wound healing property of </w:t>
      </w:r>
      <w:r>
        <w:rPr>
          <w:i/>
          <w:sz w:val="19"/>
        </w:rPr>
        <w:t>Cocos nucifera</w:t>
      </w:r>
      <w:r>
        <w:rPr>
          <w:sz w:val="19"/>
        </w:rPr>
        <w:t>: an appraisal. Indian Journal of Pharmacology, 40(4):144–6.</w:t>
      </w:r>
    </w:p>
    <w:p w14:paraId="57613FBD" w14:textId="77777777" w:rsidR="00575185" w:rsidRDefault="00000000">
      <w:pPr>
        <w:spacing w:after="60"/>
        <w:ind w:left="317" w:hanging="317"/>
      </w:pPr>
      <w:r>
        <w:rPr>
          <w:sz w:val="19"/>
        </w:rPr>
        <w:t>Famurewa, A.C., Azubuike-Osu, S.O., Enohnyaket, E.B., Obaje, S.G., Folawiyo, A.M., Famurewa, O.A., et al. 2018. Beneficial role of virgin coconut oil supplementation against acute methotrexate chemotherapy-induced oxidative toxicity and inflammation in rats. Integrative Medicine Research, 7(3):257–63.</w:t>
      </w:r>
    </w:p>
    <w:p w14:paraId="48D71951" w14:textId="77777777" w:rsidR="00575185" w:rsidRDefault="00000000">
      <w:pPr>
        <w:spacing w:after="60"/>
        <w:ind w:left="317" w:hanging="317"/>
      </w:pPr>
      <w:r>
        <w:rPr>
          <w:sz w:val="19"/>
        </w:rPr>
        <w:t>Federer, W.T. 1963. Experimental Design: Theory and Application. Macmillan, New York. [Verify total page count].</w:t>
      </w:r>
    </w:p>
    <w:p w14:paraId="7EF3023A" w14:textId="77777777" w:rsidR="00575185" w:rsidRDefault="00000000">
      <w:pPr>
        <w:spacing w:after="60"/>
        <w:ind w:left="317" w:hanging="317"/>
      </w:pPr>
      <w:r>
        <w:rPr>
          <w:sz w:val="19"/>
        </w:rPr>
        <w:t>Gelse, K., Pöschl, E. &amp; Aigner, T. 2003. Collagens—structure, function, and biosynthesis. Advanced Drug Delivery Reviews, 55(12):1531–46.</w:t>
      </w:r>
    </w:p>
    <w:p w14:paraId="4BA9680D" w14:textId="77777777" w:rsidR="00575185" w:rsidRDefault="00000000">
      <w:pPr>
        <w:spacing w:after="60"/>
        <w:ind w:left="317" w:hanging="317"/>
      </w:pPr>
      <w:r>
        <w:rPr>
          <w:sz w:val="19"/>
        </w:rPr>
        <w:t>Goldberg, S.R. &amp; Diegelmann, R.F. 2012. Wound healing primer. Surgical Clinics of North America, 92(3):485–90.</w:t>
      </w:r>
    </w:p>
    <w:p w14:paraId="3D0993AA" w14:textId="77777777" w:rsidR="00575185" w:rsidRDefault="00000000">
      <w:pPr>
        <w:spacing w:after="60"/>
        <w:ind w:left="317" w:hanging="317"/>
      </w:pPr>
      <w:r>
        <w:rPr>
          <w:sz w:val="19"/>
        </w:rPr>
        <w:t>Hidayat, T., Noer, M.S. &amp; Saputro, I.D. 2014. Five years retrospective study of burns in Dr. Soetomo General Hospital Surabaya. Folia Medica Indonesiana, 50(2):123–30.</w:t>
      </w:r>
    </w:p>
    <w:p w14:paraId="3372AB8A" w14:textId="77777777" w:rsidR="00575185" w:rsidRDefault="00000000">
      <w:pPr>
        <w:spacing w:after="60"/>
        <w:ind w:left="317" w:hanging="317"/>
      </w:pPr>
      <w:r>
        <w:rPr>
          <w:sz w:val="19"/>
        </w:rPr>
        <w:t>Häkkinen, L., Koivisto, L., Heino, J. &amp; Larjava, H. 2014. Cell and molecular biology of wound healing. In: Stem Cell Biology and Tissue Engineering in Dental Sciences. A. Vishwakarma, P. Sharpe, S. Shi &amp; M. Ramalingam (Eds.). Academic Press, San Diego. pp. 669–690.</w:t>
      </w:r>
    </w:p>
    <w:p w14:paraId="512B8B3F" w14:textId="77777777" w:rsidR="00575185" w:rsidRDefault="00000000">
      <w:pPr>
        <w:spacing w:after="60"/>
        <w:ind w:left="317" w:hanging="317"/>
      </w:pPr>
      <w:r>
        <w:rPr>
          <w:sz w:val="19"/>
        </w:rPr>
        <w:t>Intahphuak, S., Khonsung, P. &amp; Panthong, A. 2010. Anti-inflammatory, analgesic, and antipyretic activities of virgin coconut oil. Pharmaceutical Biology, 48(2):151–7.</w:t>
      </w:r>
    </w:p>
    <w:p w14:paraId="0E89DFFC" w14:textId="77777777" w:rsidR="00575185" w:rsidRDefault="00000000">
      <w:pPr>
        <w:spacing w:after="60"/>
        <w:ind w:left="317" w:hanging="317"/>
      </w:pPr>
      <w:r>
        <w:rPr>
          <w:sz w:val="19"/>
        </w:rPr>
        <w:t>ISBI Practice Guidelines Committee. 2016. ISBI practice guidelines for burn care. Burns, 42(5):953–1021.</w:t>
      </w:r>
    </w:p>
    <w:p w14:paraId="5A626FD5" w14:textId="77777777" w:rsidR="00575185" w:rsidRDefault="00000000">
      <w:pPr>
        <w:spacing w:after="60"/>
        <w:ind w:left="317" w:hanging="317"/>
      </w:pPr>
      <w:r>
        <w:rPr>
          <w:sz w:val="19"/>
        </w:rPr>
        <w:t>Kappally, S., Shirwaikar, A. &amp; Shirwaikar, A. 2015. Coconut oil—a review of potential applications. Hygeia Journal for Drugs and Medicines, 7(2):34–41.</w:t>
      </w:r>
    </w:p>
    <w:p w14:paraId="0D691B71" w14:textId="77777777" w:rsidR="00575185" w:rsidRDefault="00000000">
      <w:pPr>
        <w:spacing w:after="60"/>
        <w:ind w:left="317" w:hanging="317"/>
      </w:pPr>
      <w:r>
        <w:rPr>
          <w:sz w:val="19"/>
        </w:rPr>
        <w:t>Koob, T.J., Rennert, R., Zabek, N., Massee, M., Lim, J.J., Temenoff, J.S., et al. 2013. Biological properties of dehydrated human amnion/chorion composite graft: implications for chronic wound healing. International Wound Journal, 10(5):493–500.</w:t>
      </w:r>
    </w:p>
    <w:p w14:paraId="144E8875" w14:textId="77777777" w:rsidR="00575185" w:rsidRDefault="00000000">
      <w:pPr>
        <w:spacing w:after="60"/>
        <w:ind w:left="317" w:hanging="317"/>
      </w:pPr>
      <w:r>
        <w:rPr>
          <w:sz w:val="19"/>
        </w:rPr>
        <w:t>Koob, T.J., Lim, J.J., Massee, M., Zabek, N. &amp; Denozière, G. 2014. Properties of dehydrated human amnion/chorion composite grafts: implications for wound repair and soft tissue regeneration. Journal of Biomedical Materials Research Part B: Applied Biomaterials, 102(6):1353–62.</w:t>
      </w:r>
    </w:p>
    <w:p w14:paraId="23D5B225" w14:textId="77777777" w:rsidR="00575185" w:rsidRDefault="00000000">
      <w:pPr>
        <w:spacing w:after="60"/>
        <w:ind w:left="317" w:hanging="317"/>
      </w:pPr>
      <w:r>
        <w:rPr>
          <w:sz w:val="19"/>
        </w:rPr>
        <w:t>Mock, C., Peck, M., Peden, M. &amp; Krug, E. (Eds.). 2008. A WHO Plan for Burn Prevention and Care. World Health Organization, Geneva. [Verify page count if required].</w:t>
      </w:r>
    </w:p>
    <w:p w14:paraId="581FED69" w14:textId="77777777" w:rsidR="00575185" w:rsidRDefault="00000000">
      <w:pPr>
        <w:spacing w:after="60"/>
        <w:ind w:left="317" w:hanging="317"/>
      </w:pPr>
      <w:r>
        <w:rPr>
          <w:sz w:val="19"/>
        </w:rPr>
        <w:t>Nevin, K.G. &amp; Rajamohan, T. 2010. Effect of topical application of virgin coconut oil on skin components and antioxidant status during dermal wound healing in young rats. Skin Pharmacology and Physiology, 23(6):290–7.</w:t>
      </w:r>
    </w:p>
    <w:p w14:paraId="5BE3C948" w14:textId="77777777" w:rsidR="00575185" w:rsidRDefault="00000000">
      <w:pPr>
        <w:spacing w:after="60"/>
        <w:ind w:left="317" w:hanging="317"/>
      </w:pPr>
      <w:r>
        <w:rPr>
          <w:sz w:val="19"/>
        </w:rPr>
        <w:t>Nitbani, F.O., Jumina, Siswanta, D. &amp; Solikhah, E.N. 2016. Isolation and antibacterial activity test of lauric acid from crude coconut oil (</w:t>
      </w:r>
      <w:r>
        <w:rPr>
          <w:i/>
          <w:sz w:val="19"/>
        </w:rPr>
        <w:t>Cocos nucifera</w:t>
      </w:r>
      <w:r>
        <w:rPr>
          <w:sz w:val="19"/>
        </w:rPr>
        <w:t xml:space="preserve"> L.). Procedia Chemistry, 18:132–40.</w:t>
      </w:r>
    </w:p>
    <w:p w14:paraId="4CADBDD3" w14:textId="77777777" w:rsidR="00575185" w:rsidRDefault="00000000">
      <w:pPr>
        <w:spacing w:after="60"/>
        <w:ind w:left="317" w:hanging="317"/>
      </w:pPr>
      <w:r>
        <w:rPr>
          <w:sz w:val="19"/>
        </w:rPr>
        <w:t>Pereira, D.D.S.T., Aguiar, L.M., Souza, A.A., Lima, M.A., Silva, W.C.B., Marinho, S.C., et al. 2012. Development of animal model for studying deep second-degree thermal burns. Journal of Biomedicine and Biotechnology, 2012:460841.</w:t>
      </w:r>
    </w:p>
    <w:p w14:paraId="40582C5B" w14:textId="77777777" w:rsidR="00575185" w:rsidRDefault="00000000">
      <w:pPr>
        <w:spacing w:after="60"/>
        <w:ind w:left="317" w:hanging="317"/>
      </w:pPr>
      <w:r>
        <w:rPr>
          <w:sz w:val="19"/>
        </w:rPr>
        <w:t>Pigeon, J. 1960. Treatment of second-degree burns with amniotic membranes. Canadian Medical Association Journal, 83(16):844–5.</w:t>
      </w:r>
    </w:p>
    <w:p w14:paraId="11AA7DB2" w14:textId="77777777" w:rsidR="00575185" w:rsidRDefault="00000000">
      <w:pPr>
        <w:spacing w:after="60"/>
        <w:ind w:left="317" w:hanging="317"/>
      </w:pPr>
      <w:r>
        <w:rPr>
          <w:sz w:val="19"/>
        </w:rPr>
        <w:t>Rowan, M.P., Cancio, L.C., Elster, E.A., Burmeister, D.M., Rose, L.F., Natesan, S., et al. 2015. Burn wound healing and treatment: review and advancements. Critical Care, 19:243.</w:t>
      </w:r>
    </w:p>
    <w:p w14:paraId="54A4D8F3" w14:textId="77777777" w:rsidR="00575185" w:rsidRDefault="00000000">
      <w:pPr>
        <w:spacing w:after="60"/>
        <w:ind w:left="317" w:hanging="317"/>
      </w:pPr>
      <w:r>
        <w:rPr>
          <w:sz w:val="19"/>
        </w:rPr>
        <w:t>Silalahi, J. &amp; Surbakti, C. 2015. Burn wound healing activity of hydrolyzed virgin coconut oil. International Journal of PharmTech Research, 8(1):67–73.</w:t>
      </w:r>
    </w:p>
    <w:p w14:paraId="5323C076" w14:textId="77777777" w:rsidR="00575185" w:rsidRDefault="00000000">
      <w:pPr>
        <w:spacing w:after="60"/>
        <w:ind w:left="317" w:hanging="317"/>
      </w:pPr>
      <w:r>
        <w:rPr>
          <w:sz w:val="19"/>
        </w:rPr>
        <w:lastRenderedPageBreak/>
        <w:t>Singh, S., Young, A. &amp; McNaught, C.E. 2017. The physiology of wound healing. Surgery, 35(9):473–7.</w:t>
      </w:r>
    </w:p>
    <w:p w14:paraId="1D9B5512" w14:textId="77777777" w:rsidR="00575185" w:rsidRDefault="00000000">
      <w:pPr>
        <w:spacing w:after="60"/>
        <w:ind w:left="317" w:hanging="317"/>
      </w:pPr>
      <w:r>
        <w:rPr>
          <w:sz w:val="19"/>
        </w:rPr>
        <w:t>Soliman, A.M., Lin, T.S., Ghafar, N.A. &amp; Das, S. 2018. Virgin coconut oil and diabetic wound healing: histopathological and biochemical analysis. European Journal of Anatomy, 22(2):135–44.</w:t>
      </w:r>
    </w:p>
    <w:p w14:paraId="6B1B6416" w14:textId="77777777" w:rsidR="00575185" w:rsidRDefault="00000000">
      <w:pPr>
        <w:spacing w:after="60"/>
        <w:ind w:left="317" w:hanging="317"/>
      </w:pPr>
      <w:r>
        <w:rPr>
          <w:sz w:val="19"/>
        </w:rPr>
        <w:t>Varma, S.R., Sivaprakasam, T.O., Arumugam, I., Dilip, N., Raghuraman, M., Pavan, K.B., et al. 2019. In vitro anti-inflammatory and skin protective properties of virgin coconut oil. Journal of Traditional and Complementary Medicine, 9(1):5–13.</w:t>
      </w:r>
    </w:p>
    <w:p w14:paraId="14DB83F3" w14:textId="77777777" w:rsidR="00575185" w:rsidRDefault="00000000">
      <w:pPr>
        <w:spacing w:after="60"/>
        <w:ind w:left="317" w:hanging="317"/>
      </w:pPr>
      <w:r>
        <w:rPr>
          <w:sz w:val="19"/>
        </w:rPr>
        <w:t>Vowden, K. 2017. Wound dressings: principles and practice. Surgery, 35(9):489–94.</w:t>
      </w:r>
    </w:p>
    <w:p w14:paraId="4461C0BE" w14:textId="77777777" w:rsidR="00575185" w:rsidRDefault="00000000">
      <w:pPr>
        <w:spacing w:after="60"/>
        <w:ind w:left="317" w:hanging="317"/>
      </w:pPr>
      <w:r>
        <w:rPr>
          <w:sz w:val="19"/>
        </w:rPr>
        <w:t>Weimann, E., Silva, M.B.B., Murata, G.M., Golbert, L., Marinho, T.S., Hagen, S.C., et al. 2018. Topical anti-inflammatory activity of palmitoleic acid improves wound healing. PLOS ONE, 13(10):e0205338.</w:t>
      </w:r>
    </w:p>
    <w:p w14:paraId="752C0D17" w14:textId="77777777" w:rsidR="00575185" w:rsidRDefault="00000000">
      <w:pPr>
        <w:spacing w:after="60"/>
        <w:ind w:left="317" w:hanging="317"/>
      </w:pPr>
      <w:r>
        <w:rPr>
          <w:sz w:val="19"/>
        </w:rPr>
        <w:t>Wong, V.W., Sorkin, M., Glotzbach, J.P., Longaker, M.T. &amp; Gurtner, G.C. 2011. Surgical approaches to create murine models of human wound healing. Journal of Biomedicine and Biotechnology, 2011:969618.</w:t>
      </w:r>
    </w:p>
    <w:p w14:paraId="35FF23EB" w14:textId="77777777" w:rsidR="00575185" w:rsidRDefault="00000000">
      <w:pPr>
        <w:spacing w:after="60"/>
        <w:ind w:left="317" w:hanging="317"/>
      </w:pPr>
      <w:r>
        <w:rPr>
          <w:sz w:val="19"/>
        </w:rPr>
        <w:t>World Health Organization. 2019. Burns [WWW Document]. World Health Organization. URL https://www.who.int/en/news-room/fact-sheets/detail/burns (accessed 08.30.26).</w:t>
      </w:r>
    </w:p>
    <w:p w14:paraId="1811ABE4" w14:textId="77777777" w:rsidR="00575185" w:rsidRDefault="00000000">
      <w:pPr>
        <w:spacing w:after="60"/>
        <w:ind w:left="317" w:hanging="317"/>
      </w:pPr>
      <w:r>
        <w:rPr>
          <w:sz w:val="19"/>
        </w:rPr>
        <w:t>Zakaria, Z.A., Somchit, M.N., Mat Jais, A.M., Teh, L.K., Salleh, M.Z. &amp; Long, K. 2011. In vivo antinociceptive and anti-inflammatory activities of dried and fermented processed virgin coconut oil. Medical Principles and Practice, 20(3):231–6.</w:t>
      </w:r>
    </w:p>
    <w:sectPr w:rsidR="00575185" w:rsidSect="00034616">
      <w:pgSz w:w="12240" w:h="15840"/>
      <w:pgMar w:top="1224" w:right="1325" w:bottom="1152" w:left="1368" w:header="605" w:footer="619" w:gutter="0"/>
      <w:lnNumType w:countBy="1" w:start="1" w:distance="360"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27582">
    <w:abstractNumId w:val="8"/>
  </w:num>
  <w:num w:numId="2" w16cid:durableId="1033464016">
    <w:abstractNumId w:val="6"/>
  </w:num>
  <w:num w:numId="3" w16cid:durableId="1518546932">
    <w:abstractNumId w:val="5"/>
  </w:num>
  <w:num w:numId="4" w16cid:durableId="1049571510">
    <w:abstractNumId w:val="4"/>
  </w:num>
  <w:num w:numId="5" w16cid:durableId="2014528844">
    <w:abstractNumId w:val="7"/>
  </w:num>
  <w:num w:numId="6" w16cid:durableId="1634562316">
    <w:abstractNumId w:val="3"/>
  </w:num>
  <w:num w:numId="7" w16cid:durableId="103355130">
    <w:abstractNumId w:val="2"/>
  </w:num>
  <w:num w:numId="8" w16cid:durableId="491213734">
    <w:abstractNumId w:val="1"/>
  </w:num>
  <w:num w:numId="9" w16cid:durableId="18312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5185"/>
    <w:rsid w:val="00947831"/>
    <w:rsid w:val="00AA1D8D"/>
    <w:rsid w:val="00B47730"/>
    <w:rsid w:val="00C33AD2"/>
    <w:rsid w:val="00C720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CABBD"/>
  <w14:defaultImageDpi w14:val="300"/>
  <w15:docId w15:val="{859A9D96-1BB5-42F7-BEBB-D5AA6EDF7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Times New Roman" w:hAnsi="Times New Roman"/>
      <w:color w:val="5D6770"/>
      <w:sz w:val="18"/>
    </w:rPr>
  </w:style>
  <w:style w:type="character" w:styleId="LineNumber">
    <w:name w:val="line number"/>
    <w:basedOn w:val="DefaultParagraphFont"/>
    <w:uiPriority w:val="99"/>
    <w:semiHidden/>
    <w:unhideWhenUsed/>
    <w:rsid w:val="00947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4591</Words>
  <Characters>26173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Blinded draft; do not submit without author verification</dc:description>
  <cp:lastModifiedBy>PT ANOA MANDIRI SEJAHTERA</cp:lastModifiedBy>
  <cp:revision>2</cp:revision>
  <dcterms:created xsi:type="dcterms:W3CDTF">2013-12-23T23:15:00Z</dcterms:created>
  <dcterms:modified xsi:type="dcterms:W3CDTF">2026-09-24T07:37:00Z</dcterms:modified>
  <cp:category/>
</cp:coreProperties>
</file>