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7E7B4" w14:textId="77777777" w:rsidR="00E8702A" w:rsidRPr="003444AD" w:rsidRDefault="000E1093">
      <w:pPr>
        <w:pStyle w:val="Title"/>
        <w:rPr>
          <w:rFonts w:asciiTheme="majorHAnsi" w:hAnsiTheme="majorHAnsi"/>
          <w:sz w:val="28"/>
          <w:szCs w:val="28"/>
        </w:rPr>
      </w:pPr>
      <w:r>
        <w:rPr>
          <w:sz w:val="28"/>
        </w:rPr>
        <w:t>Association of High-Density Lipoprotein and Low-Density Lipoprotein Levels with Coronary Heart Disease at Bahteramas Regional General Hospital, Southeast Sulawesi Province</w:t>
      </w:r>
    </w:p>
    <w:p w14:paraId="54B0C4AC" w14:textId="77777777" w:rsidR="00E8702A" w:rsidRPr="003444AD" w:rsidRDefault="000E1093">
      <w:pPr>
        <w:pStyle w:val="BodyText"/>
        <w:spacing w:before="322" w:after="50"/>
        <w:ind w:left="8" w:right="9"/>
        <w:jc w:val="center"/>
        <w:rPr>
          <w:rFonts w:asciiTheme="majorHAnsi" w:hAnsiTheme="majorHAnsi"/>
          <w:b/>
          <w:bCs/>
          <w:position w:val="6"/>
          <w:vertAlign w:val="superscript"/>
        </w:rPr>
      </w:pPr>
      <w:r w:rsidRPr="003444AD">
        <w:rPr>
          <w:rFonts w:asciiTheme="majorHAnsi" w:hAnsiTheme="majorHAnsi"/>
          <w:b/>
          <w:bCs/>
        </w:rPr>
        <w:t>Asmarani</w:t>
      </w:r>
      <w:r w:rsidRPr="003444AD">
        <w:rPr>
          <w:rFonts w:asciiTheme="majorHAnsi" w:hAnsiTheme="majorHAnsi"/>
          <w:b/>
          <w:bCs/>
          <w:position w:val="6"/>
          <w:vertAlign w:val="superscript"/>
        </w:rPr>
        <w:t>1</w:t>
      </w:r>
      <w:r w:rsidRPr="003444AD">
        <w:rPr>
          <w:rFonts w:asciiTheme="majorHAnsi" w:hAnsiTheme="majorHAnsi"/>
          <w:b/>
          <w:bCs/>
        </w:rPr>
        <w:t>,</w:t>
      </w:r>
      <w:r w:rsidRPr="003444AD">
        <w:rPr>
          <w:rFonts w:asciiTheme="majorHAnsi" w:hAnsiTheme="majorHAnsi"/>
          <w:b/>
          <w:bCs/>
          <w:spacing w:val="-7"/>
        </w:rPr>
        <w:t xml:space="preserve"> </w:t>
      </w:r>
      <w:r w:rsidRPr="003444AD">
        <w:rPr>
          <w:rFonts w:asciiTheme="majorHAnsi" w:hAnsiTheme="majorHAnsi"/>
          <w:b/>
          <w:bCs/>
        </w:rPr>
        <w:t>Rubiyantoro</w:t>
      </w:r>
      <w:r w:rsidRPr="003444AD">
        <w:rPr>
          <w:rFonts w:asciiTheme="majorHAnsi" w:hAnsiTheme="majorHAnsi"/>
          <w:b/>
          <w:bCs/>
          <w:spacing w:val="-6"/>
        </w:rPr>
        <w:t xml:space="preserve"> </w:t>
      </w:r>
      <w:r w:rsidRPr="003444AD">
        <w:rPr>
          <w:rFonts w:asciiTheme="majorHAnsi" w:hAnsiTheme="majorHAnsi"/>
          <w:b/>
          <w:bCs/>
        </w:rPr>
        <w:t>Rizki</w:t>
      </w:r>
      <w:r w:rsidRPr="003444AD">
        <w:rPr>
          <w:rFonts w:asciiTheme="majorHAnsi" w:hAnsiTheme="majorHAnsi"/>
          <w:b/>
          <w:bCs/>
          <w:spacing w:val="-4"/>
        </w:rPr>
        <w:t xml:space="preserve"> </w:t>
      </w:r>
      <w:r w:rsidRPr="003444AD">
        <w:rPr>
          <w:rFonts w:asciiTheme="majorHAnsi" w:hAnsiTheme="majorHAnsi"/>
          <w:b/>
          <w:bCs/>
        </w:rPr>
        <w:t>Syaputra</w:t>
      </w:r>
      <w:r w:rsidRPr="003444AD">
        <w:rPr>
          <w:rFonts w:asciiTheme="majorHAnsi" w:hAnsiTheme="majorHAnsi"/>
          <w:b/>
          <w:bCs/>
          <w:position w:val="6"/>
          <w:vertAlign w:val="superscript"/>
        </w:rPr>
        <w:t>1</w:t>
      </w:r>
      <w:r w:rsidRPr="003444AD">
        <w:rPr>
          <w:rFonts w:asciiTheme="majorHAnsi" w:hAnsiTheme="majorHAnsi"/>
          <w:b/>
          <w:bCs/>
        </w:rPr>
        <w:t>,</w:t>
      </w:r>
      <w:r w:rsidRPr="003444AD">
        <w:rPr>
          <w:rFonts w:asciiTheme="majorHAnsi" w:hAnsiTheme="majorHAnsi"/>
          <w:b/>
          <w:bCs/>
          <w:spacing w:val="-3"/>
        </w:rPr>
        <w:t xml:space="preserve"> </w:t>
      </w:r>
    </w:p>
    <w:p w14:paraId="71B80ACB" w14:textId="63C61598" w:rsidR="00E8702A" w:rsidRPr="003444AD" w:rsidRDefault="000E1093" w:rsidP="003444AD">
      <w:pPr>
        <w:spacing w:before="1" w:after="50"/>
        <w:ind w:left="9" w:right="1"/>
        <w:jc w:val="center"/>
        <w:rPr>
          <w:rFonts w:asciiTheme="majorHAnsi" w:hAnsiTheme="majorHAnsi"/>
          <w:sz w:val="24"/>
          <w:szCs w:val="24"/>
        </w:rPr>
      </w:pPr>
      <w:r w:rsidRPr="003444AD">
        <w:rPr>
          <w:rFonts w:asciiTheme="majorHAnsi" w:hAnsiTheme="majorHAnsi"/>
          <w:position w:val="5"/>
          <w:sz w:val="24"/>
          <w:szCs w:val="24"/>
        </w:rPr>
        <w:t>1</w:t>
      </w:r>
      <w:r w:rsidRPr="003444AD">
        <w:rPr>
          <w:rFonts w:asciiTheme="majorHAnsi" w:hAnsiTheme="majorHAnsi"/>
          <w:sz w:val="24"/>
          <w:szCs w:val="24"/>
        </w:rPr>
        <w:t>Faculty</w:t>
      </w:r>
      <w:r w:rsidRPr="003444AD">
        <w:rPr>
          <w:rFonts w:asciiTheme="majorHAnsi" w:hAnsiTheme="majorHAnsi"/>
          <w:spacing w:val="-4"/>
          <w:sz w:val="24"/>
          <w:szCs w:val="24"/>
        </w:rPr>
        <w:t xml:space="preserve"> </w:t>
      </w:r>
      <w:r w:rsidRPr="003444AD">
        <w:rPr>
          <w:rFonts w:asciiTheme="majorHAnsi" w:hAnsiTheme="majorHAnsi"/>
          <w:sz w:val="24"/>
          <w:szCs w:val="24"/>
        </w:rPr>
        <w:t>of</w:t>
      </w:r>
      <w:r w:rsidRPr="003444AD">
        <w:rPr>
          <w:rFonts w:asciiTheme="majorHAnsi" w:hAnsiTheme="majorHAnsi"/>
          <w:spacing w:val="-3"/>
          <w:sz w:val="24"/>
          <w:szCs w:val="24"/>
        </w:rPr>
        <w:t xml:space="preserve"> </w:t>
      </w:r>
      <w:r w:rsidRPr="003444AD">
        <w:rPr>
          <w:rFonts w:asciiTheme="majorHAnsi" w:hAnsiTheme="majorHAnsi"/>
          <w:sz w:val="24"/>
          <w:szCs w:val="24"/>
        </w:rPr>
        <w:t>Medicine,</w:t>
      </w:r>
      <w:r w:rsidRPr="003444AD">
        <w:rPr>
          <w:rFonts w:asciiTheme="majorHAnsi" w:hAnsiTheme="majorHAnsi"/>
          <w:spacing w:val="-4"/>
          <w:sz w:val="24"/>
          <w:szCs w:val="24"/>
        </w:rPr>
        <w:t xml:space="preserve"> </w:t>
      </w:r>
      <w:r w:rsidRPr="003444AD">
        <w:rPr>
          <w:rFonts w:asciiTheme="majorHAnsi" w:hAnsiTheme="majorHAnsi"/>
          <w:sz w:val="24"/>
          <w:szCs w:val="24"/>
        </w:rPr>
        <w:t>Halu</w:t>
      </w:r>
      <w:r w:rsidRPr="003444AD">
        <w:rPr>
          <w:rFonts w:asciiTheme="majorHAnsi" w:hAnsiTheme="majorHAnsi"/>
          <w:spacing w:val="-1"/>
          <w:sz w:val="24"/>
          <w:szCs w:val="24"/>
        </w:rPr>
        <w:t xml:space="preserve"> </w:t>
      </w:r>
      <w:r w:rsidRPr="003444AD">
        <w:rPr>
          <w:rFonts w:asciiTheme="majorHAnsi" w:hAnsiTheme="majorHAnsi"/>
          <w:sz w:val="24"/>
          <w:szCs w:val="24"/>
        </w:rPr>
        <w:t>Oleo University,</w:t>
      </w:r>
      <w:r w:rsidRPr="003444AD">
        <w:rPr>
          <w:rFonts w:asciiTheme="majorHAnsi" w:hAnsiTheme="majorHAnsi"/>
          <w:spacing w:val="-3"/>
          <w:sz w:val="24"/>
          <w:szCs w:val="24"/>
        </w:rPr>
        <w:t xml:space="preserve"> </w:t>
      </w:r>
      <w:r w:rsidRPr="003444AD">
        <w:rPr>
          <w:rFonts w:asciiTheme="majorHAnsi" w:hAnsiTheme="majorHAnsi"/>
          <w:sz w:val="24"/>
          <w:szCs w:val="24"/>
        </w:rPr>
        <w:t>Kendari,</w:t>
      </w:r>
      <w:r w:rsidRPr="003444AD">
        <w:rPr>
          <w:rFonts w:asciiTheme="majorHAnsi" w:hAnsiTheme="majorHAnsi"/>
          <w:spacing w:val="-4"/>
          <w:sz w:val="24"/>
          <w:szCs w:val="24"/>
        </w:rPr>
        <w:t xml:space="preserve"> </w:t>
      </w:r>
      <w:r w:rsidRPr="003444AD">
        <w:rPr>
          <w:rFonts w:asciiTheme="majorHAnsi" w:hAnsiTheme="majorHAnsi"/>
          <w:spacing w:val="-2"/>
          <w:sz w:val="24"/>
          <w:szCs w:val="24"/>
        </w:rPr>
        <w:t>Indonesia</w:t>
      </w:r>
    </w:p>
    <w:p w14:paraId="3C82FC31" w14:textId="77777777" w:rsidR="00E8702A" w:rsidRPr="003444AD" w:rsidRDefault="000E1093">
      <w:pPr>
        <w:spacing w:before="1" w:after="50"/>
        <w:ind w:left="8" w:right="7"/>
        <w:jc w:val="center"/>
        <w:rPr>
          <w:rFonts w:asciiTheme="majorHAnsi" w:hAnsiTheme="majorHAnsi"/>
          <w:i/>
          <w:sz w:val="24"/>
          <w:szCs w:val="24"/>
          <w:lang w:val="en-US"/>
        </w:rPr>
      </w:pPr>
      <w:r w:rsidRPr="003444AD">
        <w:rPr>
          <w:rFonts w:asciiTheme="majorHAnsi" w:hAnsiTheme="majorHAnsi"/>
          <w:i/>
          <w:sz w:val="24"/>
          <w:szCs w:val="24"/>
        </w:rPr>
        <w:t>Corresponding</w:t>
      </w:r>
      <w:r w:rsidRPr="003444AD">
        <w:rPr>
          <w:rFonts w:asciiTheme="majorHAnsi" w:hAnsiTheme="majorHAnsi"/>
          <w:i/>
          <w:spacing w:val="-4"/>
          <w:sz w:val="24"/>
          <w:szCs w:val="24"/>
        </w:rPr>
        <w:t xml:space="preserve"> </w:t>
      </w:r>
      <w:r w:rsidRPr="003444AD">
        <w:rPr>
          <w:rFonts w:asciiTheme="majorHAnsi" w:hAnsiTheme="majorHAnsi"/>
          <w:i/>
          <w:sz w:val="24"/>
          <w:szCs w:val="24"/>
        </w:rPr>
        <w:t>author</w:t>
      </w:r>
      <w:r w:rsidRPr="003444AD">
        <w:rPr>
          <w:rFonts w:asciiTheme="majorHAnsi" w:hAnsiTheme="majorHAnsi"/>
          <w:i/>
          <w:spacing w:val="-4"/>
          <w:sz w:val="24"/>
          <w:szCs w:val="24"/>
        </w:rPr>
        <w:t xml:space="preserve"> </w:t>
      </w:r>
      <w:r w:rsidRPr="003444AD">
        <w:rPr>
          <w:rFonts w:asciiTheme="majorHAnsi" w:hAnsiTheme="majorHAnsi"/>
          <w:i/>
          <w:sz w:val="24"/>
          <w:szCs w:val="24"/>
        </w:rPr>
        <w:t>e-mail</w:t>
      </w:r>
      <w:r w:rsidRPr="003444AD">
        <w:rPr>
          <w:rFonts w:asciiTheme="majorHAnsi" w:hAnsiTheme="majorHAnsi"/>
          <w:b/>
          <w:i/>
          <w:sz w:val="24"/>
          <w:szCs w:val="24"/>
        </w:rPr>
        <w:t>:</w:t>
      </w:r>
      <w:r w:rsidRPr="003444AD">
        <w:rPr>
          <w:rFonts w:asciiTheme="majorHAnsi" w:hAnsiTheme="majorHAnsi"/>
          <w:b/>
          <w:i/>
          <w:spacing w:val="40"/>
          <w:sz w:val="24"/>
          <w:szCs w:val="24"/>
        </w:rPr>
        <w:t xml:space="preserve"> </w:t>
      </w:r>
      <w:r w:rsidRPr="003444AD">
        <w:rPr>
          <w:rFonts w:asciiTheme="majorHAnsi" w:hAnsiTheme="majorHAnsi"/>
          <w:sz w:val="24"/>
          <w:szCs w:val="24"/>
          <w:lang w:val="en-US"/>
        </w:rPr>
        <w:t>rhanyzahira85@gmail.com</w:t>
      </w:r>
    </w:p>
    <w:p w14:paraId="3352EB41" w14:textId="77777777" w:rsidR="00E8702A" w:rsidRPr="003444AD" w:rsidRDefault="000E1093" w:rsidP="003444AD">
      <w:pPr>
        <w:spacing w:before="101" w:after="50"/>
        <w:ind w:left="90"/>
        <w:jc w:val="center"/>
        <w:rPr>
          <w:rFonts w:asciiTheme="majorHAnsi" w:hAnsiTheme="majorHAnsi"/>
          <w:b/>
          <w:i/>
          <w:sz w:val="20"/>
          <w:szCs w:val="20"/>
        </w:rPr>
      </w:pPr>
      <w:r>
        <w:rPr>
          <w:b/>
          <w:i/>
          <w:sz w:val="20"/>
        </w:rPr>
        <w:t>ABSTRACT</w:t>
      </w:r>
    </w:p>
    <w:p w14:paraId="637D9C66" w14:textId="41AE8417" w:rsidR="00E8702A" w:rsidRPr="0057412E" w:rsidRDefault="000E1093" w:rsidP="0057412E">
      <w:pPr>
        <w:spacing w:before="36" w:after="50"/>
        <w:ind w:leftChars="40" w:left="88" w:right="159"/>
        <w:jc w:val="both"/>
        <w:rPr>
          <w:rFonts w:asciiTheme="majorHAnsi" w:hAnsiTheme="majorHAnsi"/>
          <w:bCs/>
          <w:sz w:val="20"/>
          <w:szCs w:val="20"/>
        </w:rPr>
      </w:pPr>
      <w:r w:rsidRPr="0057412E">
        <w:rPr>
          <w:bCs/>
          <w:sz w:val="20"/>
        </w:rPr>
        <w:t>Background: Coronary heart disease (CHD) remains a major component of the cardiovascular disease burden, including in Indonesia. Dyslipidemia plays an important role in atherogenesis, particularly through exposure to atherogenic LDL cholesterol and the loss of some protective functions associated with HDL. This study aimed to analyze the association of HDL and LDL levels with CHD among patients at the Cardiology Clinic of Bahteramas Regional General Hospital, Southeast Sulawesi Province.</w:t>
      </w:r>
      <w:r w:rsidR="0057412E" w:rsidRPr="0057412E">
        <w:rPr>
          <w:rFonts w:asciiTheme="majorHAnsi" w:hAnsiTheme="majorHAnsi"/>
          <w:bCs/>
          <w:sz w:val="20"/>
          <w:szCs w:val="20"/>
        </w:rPr>
        <w:t xml:space="preserve"> </w:t>
      </w:r>
      <w:r w:rsidRPr="0057412E">
        <w:rPr>
          <w:bCs/>
          <w:sz w:val="20"/>
        </w:rPr>
        <w:t>Methods: This observational analytic study used a retrospective cross-sectional design based on medical record data from visits between January and December 2025. A total of 56 patients met the study criteria, comprising 34 patients with CHD and 22 without CHD. The associations of HDL and LDL with CHD were analyzed using the Chi-square test, while the strength of association was reported as crude odds ratios (ORs) with 95% confidence intervals (CIs).</w:t>
      </w:r>
      <w:r w:rsidR="0057412E" w:rsidRPr="0057412E">
        <w:rPr>
          <w:rFonts w:asciiTheme="majorHAnsi" w:hAnsiTheme="majorHAnsi"/>
          <w:bCs/>
          <w:sz w:val="20"/>
          <w:szCs w:val="20"/>
        </w:rPr>
        <w:t xml:space="preserve"> </w:t>
      </w:r>
      <w:r w:rsidRPr="0057412E">
        <w:rPr>
          <w:bCs/>
          <w:sz w:val="20"/>
        </w:rPr>
        <w:t>Results: Low HDL was found in 82.3% of patients with CHD compared with 36.4% of</w:t>
      </w:r>
      <w:r w:rsidR="0057412E" w:rsidRPr="0057412E">
        <w:rPr>
          <w:bCs/>
          <w:sz w:val="20"/>
        </w:rPr>
        <w:t xml:space="preserve"> </w:t>
      </w:r>
      <w:r w:rsidRPr="0057412E">
        <w:rPr>
          <w:bCs/>
          <w:sz w:val="20"/>
        </w:rPr>
        <w:t>patients without CHD and was significantly associated with CHD (p=0.003; OR=8.17; 95% CI 2.37-28.16). High LDL was found in 76.5% of patients with CHD compared with 27.3% of patients without CHD and was also significantly associated with CHD (p=0.002; OR=8.67; 95% CI 2.54-29.60).</w:t>
      </w:r>
      <w:r w:rsidR="0057412E" w:rsidRPr="0057412E">
        <w:rPr>
          <w:rFonts w:asciiTheme="majorHAnsi" w:hAnsiTheme="majorHAnsi"/>
          <w:bCs/>
          <w:sz w:val="20"/>
          <w:szCs w:val="20"/>
        </w:rPr>
        <w:t xml:space="preserve"> </w:t>
      </w:r>
      <w:r w:rsidRPr="0057412E">
        <w:rPr>
          <w:bCs/>
          <w:sz w:val="20"/>
        </w:rPr>
        <w:t>Conclusion: In this clinical population, low HDL and high LDL showed strong associations with CHD. The findings demonstrate a consistent atherogenic lipid pattern; however, they do not establish a causal relationship because of the cross-sectional design and the absence of multivariable adjustment.</w:t>
      </w:r>
    </w:p>
    <w:p w14:paraId="64E5DCE7" w14:textId="77777777" w:rsidR="00E8702A" w:rsidRPr="003444AD" w:rsidRDefault="00E8702A" w:rsidP="003444AD"/>
    <w:p w14:paraId="615880AD" w14:textId="3067A7B2" w:rsidR="00E8702A" w:rsidRPr="0057412E" w:rsidRDefault="000E1093" w:rsidP="0057412E">
      <w:pPr>
        <w:ind w:left="1260" w:hanging="1170"/>
        <w:jc w:val="both"/>
        <w:rPr>
          <w:rFonts w:asciiTheme="majorHAnsi" w:hAnsiTheme="majorHAnsi"/>
          <w:bCs/>
          <w:i/>
          <w:sz w:val="24"/>
          <w:szCs w:val="24"/>
        </w:rPr>
      </w:pPr>
      <w:r>
        <w:rPr>
          <w:b/>
        </w:rPr>
        <w:t xml:space="preserve">Keywords: </w:t>
      </w:r>
      <w:r w:rsidRPr="0057412E">
        <w:rPr>
          <w:bCs/>
        </w:rPr>
        <w:t>High-density lipoprotein; Low-density lipoprotein; Coronary heart disease; Dyslipidemia; Atherosclerosis.</w:t>
      </w:r>
    </w:p>
    <w:p w14:paraId="11917351" w14:textId="77777777" w:rsidR="00E8702A" w:rsidRDefault="00E8702A">
      <w:pPr>
        <w:spacing w:line="276" w:lineRule="auto"/>
        <w:ind w:leftChars="-500" w:left="-1100"/>
        <w:jc w:val="both"/>
        <w:rPr>
          <w:rFonts w:asciiTheme="majorHAnsi" w:hAnsiTheme="majorHAnsi"/>
          <w:i/>
          <w:sz w:val="24"/>
          <w:szCs w:val="24"/>
        </w:rPr>
      </w:pPr>
    </w:p>
    <w:p w14:paraId="1B4D693B" w14:textId="35EC99E2" w:rsidR="0057412E" w:rsidRPr="003444AD" w:rsidRDefault="0057412E">
      <w:pPr>
        <w:spacing w:line="276" w:lineRule="auto"/>
        <w:ind w:leftChars="-500" w:left="-1100"/>
        <w:jc w:val="both"/>
        <w:rPr>
          <w:rFonts w:asciiTheme="majorHAnsi" w:hAnsiTheme="majorHAnsi"/>
          <w:i/>
          <w:sz w:val="24"/>
          <w:szCs w:val="24"/>
        </w:rPr>
        <w:sectPr w:rsidR="0057412E" w:rsidRPr="003444AD" w:rsidSect="003444AD">
          <w:type w:val="continuous"/>
          <w:pgSz w:w="11910" w:h="16840"/>
          <w:pgMar w:top="1701" w:right="1701" w:bottom="1701" w:left="1701" w:header="763" w:footer="1469" w:gutter="0"/>
          <w:cols w:space="360"/>
        </w:sectPr>
      </w:pPr>
    </w:p>
    <w:p w14:paraId="03CAC3FE" w14:textId="77777777" w:rsidR="00E8702A" w:rsidRPr="003444AD" w:rsidRDefault="000E1093" w:rsidP="0057412E">
      <w:pPr>
        <w:pStyle w:val="Heading1"/>
        <w:spacing w:line="276" w:lineRule="auto"/>
        <w:rPr>
          <w:rFonts w:asciiTheme="majorHAnsi" w:hAnsiTheme="majorHAnsi"/>
        </w:rPr>
      </w:pPr>
      <w:r>
        <w:t>INTRODUCTION</w:t>
      </w:r>
    </w:p>
    <w:p w14:paraId="14CDACA9" w14:textId="77777777" w:rsidR="00E8702A" w:rsidRPr="003444AD" w:rsidRDefault="00C1695E" w:rsidP="0057412E">
      <w:pPr>
        <w:pStyle w:val="BodyText"/>
        <w:spacing w:line="276" w:lineRule="auto"/>
        <w:ind w:left="164" w:right="40" w:firstLine="567"/>
        <w:rPr>
          <w:rFonts w:asciiTheme="majorHAnsi" w:hAnsiTheme="majorHAnsi"/>
        </w:rPr>
      </w:pPr>
      <w:r>
        <w:t xml:space="preserve">Cardiovascular disease remains a leading cause of death and loss of healthy life years worldwide. Global Burden of Disease (GBD) analyses show that ischemic heart disease is one of the largest contributors to cardiovascular deaths and disability-adjusted life years (DALYs), while its absolute burden continues to increase because of population growth and aging (Mensah et al., 2023). In the ASEAN region, cardiovascular disease also remains a leading cause of mortality and disease burden; in 2021, Indonesia was among the countries with a high age-standardized cardiovascular mortality </w:t>
      </w:r>
      <w:r>
        <w:t>rate in the region (Goh et al., 2025).</w:t>
      </w:r>
    </w:p>
    <w:p w14:paraId="31658A84" w14:textId="77777777" w:rsidR="00C1695E" w:rsidRPr="003444AD" w:rsidRDefault="00C1695E" w:rsidP="0057412E">
      <w:pPr>
        <w:pStyle w:val="BodyText"/>
        <w:spacing w:line="276" w:lineRule="auto"/>
        <w:ind w:left="164" w:right="40" w:firstLine="567"/>
        <w:rPr>
          <w:rFonts w:asciiTheme="majorHAnsi" w:hAnsiTheme="majorHAnsi"/>
        </w:rPr>
      </w:pPr>
      <w:r>
        <w:t xml:space="preserve">The Indonesian context reflects similar urgency. A national GBD-based analysis reported that cardiovascular mortality, morbidity, and prevalence increased over the past three decades, with ischemic heart disease remaining one of the major contributors to the cardiovascular burden (Muharram et al., 2024). A cross-provincial analysis in Indonesia also found that increased exposure to high LDL was associated with a higher incidence of ischemic heart disease after accounting for the time lag of exposure, indicating that lipid control should be positioned as an important </w:t>
      </w:r>
      <w:r>
        <w:lastRenderedPageBreak/>
        <w:t>component of prevention strategies (Harmadha et al., 2023).</w:t>
      </w:r>
    </w:p>
    <w:p w14:paraId="1F7FA97F" w14:textId="77777777" w:rsidR="00C1695E" w:rsidRPr="003444AD" w:rsidRDefault="00C1695E" w:rsidP="0057412E">
      <w:pPr>
        <w:pStyle w:val="BodyText"/>
        <w:spacing w:line="276" w:lineRule="auto"/>
        <w:ind w:left="164" w:right="40" w:firstLine="567"/>
        <w:rPr>
          <w:rFonts w:asciiTheme="majorHAnsi" w:hAnsiTheme="majorHAnsi"/>
        </w:rPr>
      </w:pPr>
      <w:r>
        <w:t>CHD is a clinical manifestation of coronary atherosclerosis that develops through the retention of atherogenic lipoproteins in the arterial wall, endothelial dysfunction, inflammation, foam-cell formation, plaque growth, and, in some patients, progression to plaque rupture and coronary thrombosis. Contemporary evidence positions LDL-C not merely as a risk marker but as a major causal factor in the development and progression of atherosclerosis; the longer and greater the LDL exposure, the higher the cumulative atherosclerotic burden (Pedro-Botet et al., 2024).</w:t>
      </w:r>
    </w:p>
    <w:p w14:paraId="7F9621CF" w14:textId="77777777" w:rsidR="00C1695E" w:rsidRPr="003444AD" w:rsidRDefault="00C1695E" w:rsidP="0057412E">
      <w:pPr>
        <w:pStyle w:val="BodyText"/>
        <w:spacing w:line="276" w:lineRule="auto"/>
        <w:ind w:left="164" w:right="40" w:firstLine="567"/>
        <w:rPr>
          <w:rFonts w:asciiTheme="majorHAnsi" w:hAnsiTheme="majorHAnsi"/>
        </w:rPr>
      </w:pPr>
      <w:r>
        <w:t>Dyslipidemia is one of the most modifiable risk factors. LDL transports cholesterol to peripheral tissues, and LDL particles retained in the intima may undergo oxidative modification, triggering inflammatory responses and plaque formation. Conversely, intensive LDL lowering has been shown to be associated with stabilization and even regression of coronary plaque components in intravascular imaging studies, strengthening the biological relationship between LDL burden and coronary atherosclerosis (Dawson et al., 2022; Di Giovanni &amp; Nicholls, 2022).</w:t>
      </w:r>
    </w:p>
    <w:p w14:paraId="3D9BF6A3" w14:textId="77777777" w:rsidR="00C1695E" w:rsidRPr="003444AD" w:rsidRDefault="00C1695E" w:rsidP="0057412E">
      <w:pPr>
        <w:pStyle w:val="BodyText"/>
        <w:spacing w:line="276" w:lineRule="auto"/>
        <w:ind w:left="164" w:right="40" w:firstLine="567"/>
        <w:rPr>
          <w:rFonts w:asciiTheme="majorHAnsi" w:hAnsiTheme="majorHAnsi"/>
        </w:rPr>
      </w:pPr>
      <w:r>
        <w:t xml:space="preserve">HDL has traditionally been regarded as protective because it is involved in reverse cholesterol transport, cholesterol efflux, antioxidant and anti-inflammatory activities, and maintenance of endothelial function. However, current understanding emphasizes that HDL-C concentration is not always equivalent to HDL function. Genetic studies and intervention trials have shown that simply increasing HDL-C </w:t>
      </w:r>
      <w:r>
        <w:t>does not consistently reduce cardiovascular events; therefore, interpretation of HDL should consider particle quality and functionality (Endo et al., 2023; Kjeldsen et al., 2022).</w:t>
      </w:r>
    </w:p>
    <w:p w14:paraId="2351AF8C" w14:textId="77777777" w:rsidR="00C1695E" w:rsidRPr="003444AD" w:rsidRDefault="00C1695E" w:rsidP="0057412E">
      <w:pPr>
        <w:pStyle w:val="BodyText"/>
        <w:spacing w:line="276" w:lineRule="auto"/>
        <w:ind w:left="164" w:right="40" w:firstLine="567"/>
        <w:rPr>
          <w:rFonts w:asciiTheme="majorHAnsi" w:hAnsiTheme="majorHAnsi"/>
        </w:rPr>
      </w:pPr>
      <w:r>
        <w:t>The combination of high LDL and low HDL may reflect an imbalance between atherogenic lipoprotein burden and the protective capacity associated with HDL. Studies of lipid indices indicate that composite measures, including the LDL-C/HDL-C ratio, may provide additional information about interactions among lipid fractions compared with a single parameter assessed in isolation (Gaggini et al., 2023). A recent meta-analysis also showed that the LDL-C/HDL-C ratio is higher in patients with coronary heart disease than in those without the disease (Hu et al., 2024).</w:t>
      </w:r>
    </w:p>
    <w:p w14:paraId="0FC849A8" w14:textId="77777777" w:rsidR="00891C20" w:rsidRPr="003444AD" w:rsidRDefault="00891C20" w:rsidP="0057412E">
      <w:pPr>
        <w:pStyle w:val="BodyText"/>
        <w:spacing w:line="276" w:lineRule="auto"/>
        <w:ind w:left="164" w:right="40" w:firstLine="567"/>
        <w:rPr>
          <w:rFonts w:asciiTheme="majorHAnsi" w:hAnsiTheme="majorHAnsi"/>
        </w:rPr>
      </w:pPr>
      <w:r>
        <w:t xml:space="preserve">LDL-C-based risk assessment remains a clinical foundation; however, LDL-C concentration essentially reflects the amount of cholesterol carried by LDL particles and is not always identical to the number of circulating atherogenic particles. This distinction becomes important when particle composition changes, for example when many particles each carry relatively small amounts of cholesterol. Apolipoprotein B (ApoB) provides different information because each atherogenic lipoprotein particle generally carries one ApoB molecule. The PRECISE study involving 3,043 participants showed that discordantly higher ApoB relative to LDL-C or non-HDL-C was associated with a greater presence and burden of coronary atherosclerotic plaque. These findings confirm that LDL-C remains highly useful, but in some patients measurement of </w:t>
      </w:r>
      <w:r>
        <w:lastRenderedPageBreak/>
        <w:t>particle number through ApoB may provide additional risk information, particularly when the conventional lipid profile does not fully correspond to the atherosclerotic burden (Su et al., 2022). In the context of the present study, the focus on LDL-C and HDL-C remains relevant because both are routinely available in medical records, although their interpretation should be placed within the broader spectrum of lipid-related risk.</w:t>
      </w:r>
    </w:p>
    <w:p w14:paraId="11BE6390" w14:textId="77777777" w:rsidR="00891C20" w:rsidRPr="003444AD" w:rsidRDefault="00891C20" w:rsidP="0057412E">
      <w:pPr>
        <w:pStyle w:val="BodyText"/>
        <w:spacing w:line="276" w:lineRule="auto"/>
        <w:ind w:left="164" w:right="40" w:firstLine="567"/>
        <w:rPr>
          <w:rFonts w:asciiTheme="majorHAnsi" w:hAnsiTheme="majorHAnsi"/>
        </w:rPr>
      </w:pPr>
      <w:r>
        <w:t>Heterogeneity of LDL particles may also help explain why patients with apparently similar LDL-C levels can have different coronary risks. Small dense LDL (sdLDL) particles are smaller and are biologically considered more capable of penetrating the intima, more susceptible to oxidation, and able to remain in circulation longer than larger LDL particles. In an analysis of the Multi-Ethnic Study of Atherosclerosis among individuals with normal fasting glucose, sdLDL-C, ApoB, and LDL particle number generally showed comparable ability to predict coronary heart disease events during follow-up. These findings do not imply that sdLDL should replace LDL-C in routine practice, but they demonstrate that the LDL fraction is not homogeneous and that particle characteristics may provide additional context for measured LDL-C values (Nomura et al., 2023). This supports interpreting the finding of high LDL among patients with CHD at Bahteramas Regional General Hospital as an important indicator of atherogenic burden, while also creating opportunities for future studies to examine the quality and number of atherogenic particles in greater detail.</w:t>
      </w:r>
    </w:p>
    <w:p w14:paraId="4FFE4143" w14:textId="77777777" w:rsidR="00891C20" w:rsidRPr="003444AD" w:rsidRDefault="00891C20" w:rsidP="0057412E">
      <w:pPr>
        <w:pStyle w:val="BodyText"/>
        <w:spacing w:line="276" w:lineRule="auto"/>
        <w:ind w:left="164" w:right="40" w:firstLine="567"/>
        <w:rPr>
          <w:rFonts w:asciiTheme="majorHAnsi" w:hAnsiTheme="majorHAnsi"/>
        </w:rPr>
      </w:pPr>
      <w:r>
        <w:t xml:space="preserve">In addition to LDL-C, increasing </w:t>
      </w:r>
      <w:r>
        <w:t>international attention has been directed toward residual lipid risk that may persist even after LDL targets have been achieved. Remnant cholesterol, defined as cholesterol contained in triglyceride-rich lipoproteins and their remnant particles, has been associated with cardiovascular events independently of several traditional lipid indicators. A meta-analysis of 31 studies showed that higher remnant cholesterol levels were associated with increased risks of cardiovascular events and coronary heart disease, suggesting that this fraction may complement LDL-C-based risk assessment (Yang et al., 2023). Lipoprotein(a), or Lp(a), is another atherosclerotic risk factor that is largely genetically determined. The European Atherosclerosis Society consensus statement emphasized a causal and continuous relationship between Lp(a) levels and ASCVD risk across populations, including when LDL-C levels are already low (Kronenberg et al., 2022). Thus, the HDL and LDL associations analyzed in the present study represent an important but incomplete part of the overall lipid-risk landscape in CHD.</w:t>
      </w:r>
    </w:p>
    <w:p w14:paraId="681A78C9" w14:textId="77777777" w:rsidR="00C1695E" w:rsidRPr="003444AD" w:rsidRDefault="00C1695E" w:rsidP="0057412E">
      <w:pPr>
        <w:pStyle w:val="BodyText"/>
        <w:spacing w:line="276" w:lineRule="auto"/>
        <w:ind w:left="164" w:right="40" w:firstLine="567"/>
        <w:rPr>
          <w:rFonts w:asciiTheme="majorHAnsi" w:hAnsiTheme="majorHAnsi"/>
        </w:rPr>
      </w:pPr>
      <w:r>
        <w:t>Although the relationships among LDL, HDL, and atherosclerosis have been widely studied, the magnitude of association may differ according to population characteristics, risk-factor patterns, use of lipid-lowering therapy, and healthcare context. Data from referral hospitals outside Indonesia's major research centers remain limited, even though local information may illustrate how these lipid patterns appear in real-world clinical populations.</w:t>
      </w:r>
    </w:p>
    <w:p w14:paraId="5A98A1DE" w14:textId="77777777" w:rsidR="00891C20" w:rsidRPr="003444AD" w:rsidRDefault="00891C20" w:rsidP="0057412E">
      <w:pPr>
        <w:pStyle w:val="BodyText"/>
        <w:spacing w:line="276" w:lineRule="auto"/>
        <w:ind w:left="164" w:right="40" w:firstLine="567"/>
        <w:rPr>
          <w:rFonts w:asciiTheme="majorHAnsi" w:hAnsiTheme="majorHAnsi"/>
        </w:rPr>
      </w:pPr>
      <w:r>
        <w:t xml:space="preserve">Limited access to advanced </w:t>
      </w:r>
      <w:r>
        <w:lastRenderedPageBreak/>
        <w:t>biomarker testing in many healthcare settings means that standard lipid profiles continue to have high practical value. HDL-C and LDL-C are widely available, relatively inexpensive, easy to interpret, and useful for identifying lipid patterns that warrant clinical attention. Therefore, hospital-based studies examining the association of these two parameters can still provide important information, particularly when results are reported not only through p-values but also through effect measures. The use of odds ratios in this study allows readers to assess how much the odds of CHD differ across lipid categories, so the contribution of the study extends beyond merely stating that 'an association exists.' This approach also provides a starting point for developing more comprehensive risk models in the local population by incorporating ApoB, non-HDL-C, sdLDL-C, remnant cholesterol, or Lp(a) in future research.</w:t>
      </w:r>
    </w:p>
    <w:p w14:paraId="2C869C3D" w14:textId="77777777" w:rsidR="00C1695E" w:rsidRPr="003444AD" w:rsidRDefault="00C1695E" w:rsidP="0057412E">
      <w:pPr>
        <w:pStyle w:val="BodyText"/>
        <w:spacing w:line="276" w:lineRule="auto"/>
        <w:ind w:left="164" w:right="40" w:firstLine="567"/>
        <w:rPr>
          <w:rFonts w:asciiTheme="majorHAnsi" w:hAnsiTheme="majorHAnsi"/>
        </w:rPr>
      </w:pPr>
      <w:r>
        <w:t>The novelty of this study lies in presenting contextual clinical evidence from a referral hospital in Southeast Sulawesi Province by assessing HDL and LDL simultaneously among patients who passed medical-record selection, including the exclusion of patients who had already received cholesterol-lowering therapy and those with several major metabolic comorbidities. In addition to testing statistical significance, this study quantifies the strength of association for each lipid fraction using ORs and 95% CIs, providing effect estimates that are more informative for comparison with international evidence.</w:t>
      </w:r>
    </w:p>
    <w:p w14:paraId="6E530DEC" w14:textId="33962942" w:rsidR="00C1695E" w:rsidRPr="003444AD" w:rsidRDefault="00C1695E" w:rsidP="0057412E">
      <w:pPr>
        <w:pStyle w:val="BodyText"/>
        <w:spacing w:line="276" w:lineRule="auto"/>
        <w:ind w:left="164" w:right="40" w:firstLine="567"/>
        <w:rPr>
          <w:rFonts w:asciiTheme="majorHAnsi" w:hAnsiTheme="majorHAnsi"/>
        </w:rPr>
      </w:pPr>
      <w:r>
        <w:t xml:space="preserve">This study aimed to analyze the association of HDL and LDL levels with CHD among patients at the Cardiology </w:t>
      </w:r>
      <w:r>
        <w:t>Clinic of Bahteramas Regional General Hospital, Southeast Sulawesi Province. The findings are expected to strengthen the clinical basis for lipid-profile screening and to provide a foundation for future research integrating lipid ratios, non-HDL-C, apolipoprotein B, and other cardiometabolic risk factors.</w:t>
      </w:r>
    </w:p>
    <w:p w14:paraId="034A0F13" w14:textId="77777777" w:rsidR="00E8702A" w:rsidRPr="003444AD" w:rsidRDefault="000E1093" w:rsidP="0057412E">
      <w:pPr>
        <w:pStyle w:val="Heading1"/>
        <w:spacing w:line="276" w:lineRule="auto"/>
        <w:rPr>
          <w:rFonts w:asciiTheme="majorHAnsi" w:hAnsiTheme="majorHAnsi"/>
        </w:rPr>
      </w:pPr>
      <w:r>
        <w:t>METHODS</w:t>
      </w:r>
    </w:p>
    <w:p w14:paraId="4B30F497" w14:textId="77777777" w:rsidR="00E8702A" w:rsidRPr="003444AD" w:rsidRDefault="00C1695E" w:rsidP="0057412E">
      <w:pPr>
        <w:pStyle w:val="BodyText"/>
        <w:spacing w:line="276" w:lineRule="auto"/>
        <w:ind w:left="164" w:right="40" w:firstLine="567"/>
        <w:rPr>
          <w:rFonts w:asciiTheme="majorHAnsi" w:hAnsiTheme="majorHAnsi"/>
        </w:rPr>
      </w:pPr>
      <w:r>
        <w:t>This study was an observational analytic study with a retrospective cross-sectional design. Data were obtained from the medical records of patients attending the Cardiology Clinic of Bahteramas Regional General Hospital, Southeast Sulawesi Province. The study was conducted from May to July 2026 using visit data from January to December 2025.</w:t>
      </w:r>
    </w:p>
    <w:p w14:paraId="30241089" w14:textId="77777777" w:rsidR="00C1695E" w:rsidRPr="003444AD" w:rsidRDefault="00C1695E" w:rsidP="0057412E">
      <w:pPr>
        <w:pStyle w:val="BodyText"/>
        <w:spacing w:line="276" w:lineRule="auto"/>
        <w:ind w:left="164" w:right="40" w:firstLine="567"/>
        <w:rPr>
          <w:rFonts w:asciiTheme="majorHAnsi" w:hAnsiTheme="majorHAnsi"/>
        </w:rPr>
      </w:pPr>
      <w:r>
        <w:t>The accessible population comprised all 550 outpatients recorded at the Cardiology Clinic of Bahteramas Regional General Hospital from January to December 2025. All medical records in the accessible population were screened according to the inclusion and exclusion criteria, and all records meeting the criteria were included. After selection, 56 patients with complete data were obtained, comprising 34 patients with CHD and 22 without CHD.</w:t>
      </w:r>
    </w:p>
    <w:p w14:paraId="729B33C7" w14:textId="77777777" w:rsidR="00C1695E" w:rsidRPr="003444AD" w:rsidRDefault="00C1695E" w:rsidP="0057412E">
      <w:pPr>
        <w:pStyle w:val="BodyText"/>
        <w:spacing w:line="276" w:lineRule="auto"/>
        <w:ind w:left="164" w:right="40" w:firstLine="567"/>
        <w:rPr>
          <w:rFonts w:asciiTheme="majorHAnsi" w:hAnsiTheme="majorHAnsi"/>
        </w:rPr>
      </w:pPr>
      <w:r>
        <w:t>The inclusion criteria comprised patients aged ≥45 years who underwent evaluation at the Cardiology Clinic, had a clinical diagnosis allowing classification as CHD or non-CHD, and had HDL and LDL test results. The exclusion criteria included use of cholesterol-lowering therapy before lipid testing, diabetes mellitus, obesity, chronic obstructive pulmonary disease, other recorded metabolic disorders, and incomplete medical records.</w:t>
      </w:r>
    </w:p>
    <w:p w14:paraId="471E5B98" w14:textId="77777777" w:rsidR="00C1695E" w:rsidRPr="003444AD" w:rsidRDefault="00C1695E" w:rsidP="0057412E">
      <w:pPr>
        <w:pStyle w:val="BodyText"/>
        <w:spacing w:line="276" w:lineRule="auto"/>
        <w:ind w:left="164" w:right="40" w:firstLine="567"/>
        <w:rPr>
          <w:rFonts w:asciiTheme="majorHAnsi" w:hAnsiTheme="majorHAnsi"/>
        </w:rPr>
      </w:pPr>
      <w:r>
        <w:lastRenderedPageBreak/>
        <w:t>The dependent variable was CHD status, categorized as CHD or non-CHD based on diagnoses recorded in the medical records. The independent variables were HDL and LDL levels in mg/dL. Because the study used secondary data, diagnostic classification and laboratory results followed the clinical documentation available in the medical records.</w:t>
      </w:r>
    </w:p>
    <w:p w14:paraId="72ACAB42" w14:textId="77777777" w:rsidR="00C1695E" w:rsidRPr="003444AD" w:rsidRDefault="00C1695E" w:rsidP="0057412E">
      <w:pPr>
        <w:pStyle w:val="BodyText"/>
        <w:spacing w:line="276" w:lineRule="auto"/>
        <w:ind w:left="164" w:right="40" w:firstLine="567"/>
        <w:rPr>
          <w:rFonts w:asciiTheme="majorHAnsi" w:hAnsiTheme="majorHAnsi"/>
        </w:rPr>
      </w:pPr>
      <w:r>
        <w:t>HDL and LDL levels were classified according to the operational definitions in the study dataset. HDL was categorized as low at &lt;40 mg/dL and normal at ≥60 mg/dL, whereas LDL was categorized as normal at &lt;100 mg/dL and high at ≥130 mg/dL. The analytical categories followed the available medical-record coding. The handling of HDL values of 40-59 mg/dL and LDL values of 100-129 mg/dL in the raw data needs to be confirmed before manuscript submission so that all subjects have transparent and reproducible classifications.</w:t>
      </w:r>
    </w:p>
    <w:p w14:paraId="65330965" w14:textId="77777777" w:rsidR="00C1695E" w:rsidRPr="003444AD" w:rsidRDefault="00C1695E" w:rsidP="0057412E">
      <w:pPr>
        <w:pStyle w:val="BodyText"/>
        <w:spacing w:line="276" w:lineRule="auto"/>
        <w:ind w:left="164" w:right="40" w:firstLine="567"/>
        <w:rPr>
          <w:rFonts w:asciiTheme="majorHAnsi" w:hAnsiTheme="majorHAnsi"/>
        </w:rPr>
      </w:pPr>
      <w:r>
        <w:t>Data were collected using a structured data extraction form. Patient identities were coded to maintain anonymity. The data were checked for completeness, categorized according to the operational definitions, and then processed using statistical software.</w:t>
      </w:r>
    </w:p>
    <w:p w14:paraId="71FC62CC" w14:textId="77777777" w:rsidR="00C1695E" w:rsidRPr="003444AD" w:rsidRDefault="00C1695E" w:rsidP="0057412E">
      <w:pPr>
        <w:pStyle w:val="BodyText"/>
        <w:spacing w:line="276" w:lineRule="auto"/>
        <w:ind w:left="164" w:right="40" w:firstLine="567"/>
        <w:rPr>
          <w:rFonts w:asciiTheme="majorHAnsi" w:hAnsiTheme="majorHAnsi"/>
        </w:rPr>
      </w:pPr>
      <w:r>
        <w:t>Univariate analysis was used to describe the frequency and percentage distributions of CHD status, HDL levels, and LDL levels. Bivariate analysis using the Chi-square test was performed to assess the associations of HDL and LDL with CHD status at a 95% confidence level.</w:t>
      </w:r>
    </w:p>
    <w:p w14:paraId="7A6716A7" w14:textId="77777777" w:rsidR="00C1695E" w:rsidRPr="003444AD" w:rsidRDefault="00C1695E" w:rsidP="0057412E">
      <w:pPr>
        <w:pStyle w:val="BodyText"/>
        <w:spacing w:line="276" w:lineRule="auto"/>
        <w:ind w:left="164" w:right="40" w:firstLine="567"/>
        <w:rPr>
          <w:rFonts w:asciiTheme="majorHAnsi" w:hAnsiTheme="majorHAnsi"/>
        </w:rPr>
      </w:pPr>
      <w:r>
        <w:t xml:space="preserve">Bivariate analysis was performed using the Chi-square test. The magnitude of association was reported as a crude odds ratio (OR) with a 95% confidence </w:t>
      </w:r>
      <w:r>
        <w:t>interval (95% CI) derived from a 2×2 contingency table. A p-value &lt;0.05 was considered statistically significant. Reporting the OR and 95% CI alongside the p-value allowed the results to be evaluated in terms of both statistical significance and the magnitude of association.</w:t>
      </w:r>
    </w:p>
    <w:p w14:paraId="3EC59D1A" w14:textId="312F245D" w:rsidR="00E8702A" w:rsidRPr="003444AD" w:rsidRDefault="00C1695E" w:rsidP="0057412E">
      <w:pPr>
        <w:pStyle w:val="BodyText"/>
        <w:spacing w:line="276" w:lineRule="auto"/>
        <w:ind w:left="164" w:right="40" w:firstLine="567"/>
        <w:rPr>
          <w:rFonts w:asciiTheme="majorHAnsi" w:hAnsiTheme="majorHAnsi"/>
        </w:rPr>
      </w:pPr>
      <w:r>
        <w:t>The study applied the principles of data confidentiality and anonymity; patient identities were not included in the analytical database. Permission to use the data was obtained from Bahteramas Regional General Hospital. The ethics approval number was not stated in the source document and should be added to the final version in accordance with the applicable ethical clearance document.</w:t>
      </w:r>
    </w:p>
    <w:p w14:paraId="3E28C237" w14:textId="77777777" w:rsidR="00E8702A" w:rsidRPr="003444AD" w:rsidRDefault="000E1093" w:rsidP="0057412E">
      <w:pPr>
        <w:pStyle w:val="Heading1"/>
        <w:spacing w:line="276" w:lineRule="auto"/>
        <w:rPr>
          <w:rFonts w:asciiTheme="majorHAnsi" w:hAnsiTheme="majorHAnsi"/>
        </w:rPr>
      </w:pPr>
      <w:r>
        <w:t>RESULTS</w:t>
      </w:r>
    </w:p>
    <w:p w14:paraId="3CAF94AB" w14:textId="77777777" w:rsidR="00E8702A" w:rsidRPr="003444AD" w:rsidRDefault="00C1695E" w:rsidP="0057412E">
      <w:pPr>
        <w:pStyle w:val="BodyText"/>
        <w:spacing w:line="276" w:lineRule="auto"/>
        <w:ind w:left="164" w:right="40" w:firstLine="567"/>
        <w:rPr>
          <w:rFonts w:asciiTheme="majorHAnsi" w:hAnsiTheme="majorHAnsi"/>
        </w:rPr>
      </w:pPr>
      <w:r>
        <w:t>A total of 56 patients met the study criteria, comprising 34 patients with CHD (60.7%) and 22 patients without CHD (39.3%). The distributions of HDL and LDL according to CHD status are presented in Table 1.</w:t>
      </w:r>
    </w:p>
    <w:p w14:paraId="36E7320C" w14:textId="316D7E1D" w:rsidR="0015781A" w:rsidRPr="003444AD" w:rsidRDefault="00850953" w:rsidP="0057412E">
      <w:pPr>
        <w:spacing w:line="276" w:lineRule="auto"/>
        <w:jc w:val="center"/>
        <w:rPr>
          <w:rFonts w:asciiTheme="majorHAnsi" w:hAnsiTheme="majorHAnsi"/>
          <w:bCs/>
          <w:sz w:val="24"/>
          <w:szCs w:val="24"/>
        </w:rPr>
      </w:pPr>
      <w:r>
        <w:rPr>
          <w:b/>
          <w:sz w:val="24"/>
        </w:rPr>
        <w:t>Table 1. Distribution of HDL and LDL Levels by Coronary Heart Disease Status</w:t>
      </w:r>
    </w:p>
    <w:tbl>
      <w:tblPr>
        <w:tblStyle w:val="TableGrid"/>
        <w:tblW w:w="0" w:type="auto"/>
        <w:tblLook w:val="04A0" w:firstRow="1" w:lastRow="0" w:firstColumn="1" w:lastColumn="0" w:noHBand="0" w:noVBand="1"/>
      </w:tblPr>
      <w:tblGrid>
        <w:gridCol w:w="1004"/>
        <w:gridCol w:w="1057"/>
        <w:gridCol w:w="795"/>
        <w:gridCol w:w="817"/>
        <w:gridCol w:w="817"/>
      </w:tblGrid>
      <w:tr w:rsidR="003444AD" w14:paraId="52FE333F" w14:textId="3C316294" w:rsidTr="00B53390">
        <w:tc>
          <w:tcPr>
            <w:tcW w:w="1004" w:type="dxa"/>
            <w:vAlign w:val="center"/>
          </w:tcPr>
          <w:p w14:paraId="70A63723" w14:textId="0DA4BC8B" w:rsidR="003444AD" w:rsidRDefault="003444AD" w:rsidP="0057412E">
            <w:pPr>
              <w:spacing w:line="276" w:lineRule="auto"/>
              <w:jc w:val="center"/>
              <w:rPr>
                <w:rFonts w:asciiTheme="majorHAnsi" w:hAnsiTheme="majorHAnsi"/>
                <w:sz w:val="24"/>
                <w:szCs w:val="24"/>
              </w:rPr>
            </w:pPr>
            <w:r>
              <w:t>Variable</w:t>
            </w:r>
          </w:p>
        </w:tc>
        <w:tc>
          <w:tcPr>
            <w:tcW w:w="1022" w:type="dxa"/>
            <w:vAlign w:val="center"/>
          </w:tcPr>
          <w:p w14:paraId="339E1DE5" w14:textId="03E1C8E3" w:rsidR="003444AD" w:rsidRDefault="003444AD" w:rsidP="0057412E">
            <w:pPr>
              <w:spacing w:line="276" w:lineRule="auto"/>
              <w:jc w:val="center"/>
              <w:rPr>
                <w:rFonts w:asciiTheme="majorHAnsi" w:hAnsiTheme="majorHAnsi"/>
                <w:sz w:val="24"/>
                <w:szCs w:val="24"/>
              </w:rPr>
            </w:pPr>
            <w:r>
              <w:t>Category</w:t>
            </w:r>
          </w:p>
        </w:tc>
        <w:tc>
          <w:tcPr>
            <w:tcW w:w="796" w:type="dxa"/>
            <w:vAlign w:val="center"/>
          </w:tcPr>
          <w:p w14:paraId="53EDAE7C" w14:textId="07E45C46" w:rsidR="003444AD" w:rsidRDefault="003444AD" w:rsidP="0057412E">
            <w:pPr>
              <w:spacing w:line="276" w:lineRule="auto"/>
              <w:jc w:val="center"/>
              <w:rPr>
                <w:rFonts w:asciiTheme="majorHAnsi" w:hAnsiTheme="majorHAnsi"/>
                <w:sz w:val="24"/>
                <w:szCs w:val="24"/>
              </w:rPr>
            </w:pPr>
            <w:r>
              <w:t>CHD n (%)</w:t>
            </w:r>
          </w:p>
        </w:tc>
        <w:tc>
          <w:tcPr>
            <w:tcW w:w="834" w:type="dxa"/>
            <w:vAlign w:val="center"/>
          </w:tcPr>
          <w:p w14:paraId="604BB226" w14:textId="5EB4988F" w:rsidR="003444AD" w:rsidRDefault="003444AD" w:rsidP="0057412E">
            <w:pPr>
              <w:spacing w:line="276" w:lineRule="auto"/>
              <w:jc w:val="center"/>
              <w:rPr>
                <w:rFonts w:asciiTheme="majorHAnsi" w:hAnsiTheme="majorHAnsi"/>
                <w:sz w:val="24"/>
                <w:szCs w:val="24"/>
              </w:rPr>
            </w:pPr>
            <w:r>
              <w:t>Non-CHD n (%)</w:t>
            </w:r>
          </w:p>
        </w:tc>
        <w:tc>
          <w:tcPr>
            <w:tcW w:w="834" w:type="dxa"/>
            <w:vAlign w:val="center"/>
          </w:tcPr>
          <w:p w14:paraId="4D9F90D2" w14:textId="514D8974" w:rsidR="003444AD" w:rsidRDefault="003444AD" w:rsidP="0057412E">
            <w:pPr>
              <w:spacing w:line="276" w:lineRule="auto"/>
              <w:jc w:val="center"/>
              <w:rPr>
                <w:rFonts w:asciiTheme="majorHAnsi" w:hAnsiTheme="majorHAnsi"/>
                <w:sz w:val="24"/>
                <w:szCs w:val="24"/>
              </w:rPr>
            </w:pPr>
            <w:r>
              <w:t>Total n (%)</w:t>
            </w:r>
          </w:p>
        </w:tc>
      </w:tr>
      <w:tr w:rsidR="003444AD" w14:paraId="1EBCD7A5" w14:textId="7D83A5F2" w:rsidTr="00B53390">
        <w:tc>
          <w:tcPr>
            <w:tcW w:w="1004" w:type="dxa"/>
            <w:vAlign w:val="center"/>
          </w:tcPr>
          <w:p w14:paraId="7D00D0C0" w14:textId="269F0960" w:rsidR="003444AD" w:rsidRDefault="003444AD" w:rsidP="0057412E">
            <w:pPr>
              <w:spacing w:line="276" w:lineRule="auto"/>
              <w:jc w:val="center"/>
              <w:rPr>
                <w:rFonts w:asciiTheme="majorHAnsi" w:hAnsiTheme="majorHAnsi"/>
                <w:sz w:val="24"/>
                <w:szCs w:val="24"/>
              </w:rPr>
            </w:pPr>
            <w:r w:rsidRPr="003444AD">
              <w:t>HDL</w:t>
            </w:r>
          </w:p>
        </w:tc>
        <w:tc>
          <w:tcPr>
            <w:tcW w:w="1022" w:type="dxa"/>
            <w:vAlign w:val="center"/>
          </w:tcPr>
          <w:p w14:paraId="23553FED" w14:textId="3E37605F" w:rsidR="003444AD" w:rsidRDefault="003444AD" w:rsidP="0057412E">
            <w:pPr>
              <w:spacing w:line="276" w:lineRule="auto"/>
              <w:jc w:val="center"/>
              <w:rPr>
                <w:rFonts w:asciiTheme="majorHAnsi" w:hAnsiTheme="majorHAnsi"/>
                <w:sz w:val="24"/>
                <w:szCs w:val="24"/>
              </w:rPr>
            </w:pPr>
            <w:r>
              <w:t>Normal</w:t>
            </w:r>
          </w:p>
        </w:tc>
        <w:tc>
          <w:tcPr>
            <w:tcW w:w="796" w:type="dxa"/>
            <w:vAlign w:val="center"/>
          </w:tcPr>
          <w:p w14:paraId="18822969" w14:textId="6D78F4B3" w:rsidR="003444AD" w:rsidRDefault="003444AD" w:rsidP="0057412E">
            <w:pPr>
              <w:spacing w:line="276" w:lineRule="auto"/>
              <w:jc w:val="center"/>
              <w:rPr>
                <w:rFonts w:asciiTheme="majorHAnsi" w:hAnsiTheme="majorHAnsi"/>
                <w:sz w:val="24"/>
                <w:szCs w:val="24"/>
              </w:rPr>
            </w:pPr>
            <w:r>
              <w:t>6 (17.6)</w:t>
            </w:r>
          </w:p>
        </w:tc>
        <w:tc>
          <w:tcPr>
            <w:tcW w:w="834" w:type="dxa"/>
            <w:vAlign w:val="center"/>
          </w:tcPr>
          <w:p w14:paraId="547B7177" w14:textId="54506F36" w:rsidR="003444AD" w:rsidRDefault="003444AD" w:rsidP="0057412E">
            <w:pPr>
              <w:spacing w:line="276" w:lineRule="auto"/>
              <w:jc w:val="center"/>
              <w:rPr>
                <w:rFonts w:asciiTheme="majorHAnsi" w:hAnsiTheme="majorHAnsi"/>
                <w:sz w:val="24"/>
                <w:szCs w:val="24"/>
              </w:rPr>
            </w:pPr>
            <w:r>
              <w:t>14 (63.6)</w:t>
            </w:r>
          </w:p>
        </w:tc>
        <w:tc>
          <w:tcPr>
            <w:tcW w:w="834" w:type="dxa"/>
            <w:vAlign w:val="center"/>
          </w:tcPr>
          <w:p w14:paraId="3E823711" w14:textId="2CC751F2" w:rsidR="003444AD" w:rsidRDefault="003444AD" w:rsidP="0057412E">
            <w:pPr>
              <w:spacing w:line="276" w:lineRule="auto"/>
              <w:jc w:val="center"/>
              <w:rPr>
                <w:rFonts w:asciiTheme="majorHAnsi" w:hAnsiTheme="majorHAnsi"/>
                <w:sz w:val="24"/>
                <w:szCs w:val="24"/>
              </w:rPr>
            </w:pPr>
            <w:r>
              <w:t>20 (35.7)</w:t>
            </w:r>
          </w:p>
        </w:tc>
      </w:tr>
      <w:tr w:rsidR="003444AD" w14:paraId="656F7750" w14:textId="24874E49" w:rsidTr="00B53390">
        <w:tc>
          <w:tcPr>
            <w:tcW w:w="1004" w:type="dxa"/>
            <w:vAlign w:val="center"/>
          </w:tcPr>
          <w:p w14:paraId="4DA9A09E" w14:textId="77777777" w:rsidR="003444AD" w:rsidRDefault="003444AD" w:rsidP="0057412E">
            <w:pPr>
              <w:spacing w:line="276" w:lineRule="auto"/>
              <w:jc w:val="center"/>
              <w:rPr>
                <w:rFonts w:asciiTheme="majorHAnsi" w:hAnsiTheme="majorHAnsi"/>
                <w:sz w:val="24"/>
                <w:szCs w:val="24"/>
              </w:rPr>
            </w:pPr>
          </w:p>
        </w:tc>
        <w:tc>
          <w:tcPr>
            <w:tcW w:w="1022" w:type="dxa"/>
            <w:vAlign w:val="center"/>
          </w:tcPr>
          <w:p w14:paraId="7F83B8C4" w14:textId="759F76E5" w:rsidR="003444AD" w:rsidRDefault="003444AD" w:rsidP="0057412E">
            <w:pPr>
              <w:spacing w:line="276" w:lineRule="auto"/>
              <w:jc w:val="center"/>
              <w:rPr>
                <w:rFonts w:asciiTheme="majorHAnsi" w:hAnsiTheme="majorHAnsi"/>
                <w:sz w:val="24"/>
                <w:szCs w:val="24"/>
              </w:rPr>
            </w:pPr>
            <w:r>
              <w:t>Low</w:t>
            </w:r>
          </w:p>
        </w:tc>
        <w:tc>
          <w:tcPr>
            <w:tcW w:w="796" w:type="dxa"/>
            <w:vAlign w:val="center"/>
          </w:tcPr>
          <w:p w14:paraId="7B544291" w14:textId="01A12210" w:rsidR="003444AD" w:rsidRDefault="003444AD" w:rsidP="0057412E">
            <w:pPr>
              <w:spacing w:line="276" w:lineRule="auto"/>
              <w:jc w:val="center"/>
              <w:rPr>
                <w:rFonts w:asciiTheme="majorHAnsi" w:hAnsiTheme="majorHAnsi"/>
                <w:sz w:val="24"/>
                <w:szCs w:val="24"/>
              </w:rPr>
            </w:pPr>
            <w:r>
              <w:t>28 (82.3)</w:t>
            </w:r>
          </w:p>
        </w:tc>
        <w:tc>
          <w:tcPr>
            <w:tcW w:w="834" w:type="dxa"/>
            <w:vAlign w:val="center"/>
          </w:tcPr>
          <w:p w14:paraId="6A8AAF2E" w14:textId="1DA45E76" w:rsidR="003444AD" w:rsidRDefault="003444AD" w:rsidP="0057412E">
            <w:pPr>
              <w:spacing w:line="276" w:lineRule="auto"/>
              <w:jc w:val="center"/>
              <w:rPr>
                <w:rFonts w:asciiTheme="majorHAnsi" w:hAnsiTheme="majorHAnsi"/>
                <w:sz w:val="24"/>
                <w:szCs w:val="24"/>
              </w:rPr>
            </w:pPr>
            <w:r>
              <w:t>8 (36.4)</w:t>
            </w:r>
          </w:p>
        </w:tc>
        <w:tc>
          <w:tcPr>
            <w:tcW w:w="834" w:type="dxa"/>
            <w:vAlign w:val="center"/>
          </w:tcPr>
          <w:p w14:paraId="75D30874" w14:textId="45C89382" w:rsidR="003444AD" w:rsidRDefault="003444AD" w:rsidP="0057412E">
            <w:pPr>
              <w:spacing w:line="276" w:lineRule="auto"/>
              <w:jc w:val="center"/>
              <w:rPr>
                <w:rFonts w:asciiTheme="majorHAnsi" w:hAnsiTheme="majorHAnsi"/>
                <w:sz w:val="24"/>
                <w:szCs w:val="24"/>
              </w:rPr>
            </w:pPr>
            <w:r>
              <w:t>36 (64.3)</w:t>
            </w:r>
          </w:p>
        </w:tc>
      </w:tr>
      <w:tr w:rsidR="003444AD" w14:paraId="4B9FA08E" w14:textId="3BF84459" w:rsidTr="00B53390">
        <w:tc>
          <w:tcPr>
            <w:tcW w:w="1004" w:type="dxa"/>
            <w:vAlign w:val="center"/>
          </w:tcPr>
          <w:p w14:paraId="00411EB8" w14:textId="3ACFC1E0" w:rsidR="003444AD" w:rsidRDefault="003444AD" w:rsidP="0057412E">
            <w:pPr>
              <w:spacing w:line="276" w:lineRule="auto"/>
              <w:jc w:val="center"/>
              <w:rPr>
                <w:rFonts w:asciiTheme="majorHAnsi" w:hAnsiTheme="majorHAnsi"/>
                <w:sz w:val="24"/>
                <w:szCs w:val="24"/>
              </w:rPr>
            </w:pPr>
            <w:r w:rsidRPr="003444AD">
              <w:t>LDL</w:t>
            </w:r>
          </w:p>
        </w:tc>
        <w:tc>
          <w:tcPr>
            <w:tcW w:w="1022" w:type="dxa"/>
            <w:vAlign w:val="center"/>
          </w:tcPr>
          <w:p w14:paraId="5D442679" w14:textId="4F4D6FDD" w:rsidR="003444AD" w:rsidRDefault="003444AD" w:rsidP="0057412E">
            <w:pPr>
              <w:spacing w:line="276" w:lineRule="auto"/>
              <w:jc w:val="center"/>
              <w:rPr>
                <w:rFonts w:asciiTheme="majorHAnsi" w:hAnsiTheme="majorHAnsi"/>
                <w:sz w:val="24"/>
                <w:szCs w:val="24"/>
              </w:rPr>
            </w:pPr>
            <w:r>
              <w:t>Normal</w:t>
            </w:r>
          </w:p>
        </w:tc>
        <w:tc>
          <w:tcPr>
            <w:tcW w:w="796" w:type="dxa"/>
            <w:vAlign w:val="center"/>
          </w:tcPr>
          <w:p w14:paraId="1A84E18D" w14:textId="68C941AE" w:rsidR="003444AD" w:rsidRDefault="003444AD" w:rsidP="0057412E">
            <w:pPr>
              <w:spacing w:line="276" w:lineRule="auto"/>
              <w:jc w:val="center"/>
              <w:rPr>
                <w:rFonts w:asciiTheme="majorHAnsi" w:hAnsiTheme="majorHAnsi"/>
                <w:sz w:val="24"/>
                <w:szCs w:val="24"/>
              </w:rPr>
            </w:pPr>
            <w:r>
              <w:t>8 (23.5)</w:t>
            </w:r>
          </w:p>
        </w:tc>
        <w:tc>
          <w:tcPr>
            <w:tcW w:w="834" w:type="dxa"/>
            <w:vAlign w:val="center"/>
          </w:tcPr>
          <w:p w14:paraId="76CDAE2B" w14:textId="0BE9AC98" w:rsidR="003444AD" w:rsidRDefault="003444AD" w:rsidP="0057412E">
            <w:pPr>
              <w:spacing w:line="276" w:lineRule="auto"/>
              <w:jc w:val="center"/>
              <w:rPr>
                <w:rFonts w:asciiTheme="majorHAnsi" w:hAnsiTheme="majorHAnsi"/>
                <w:sz w:val="24"/>
                <w:szCs w:val="24"/>
              </w:rPr>
            </w:pPr>
            <w:r>
              <w:t>16 (72.7)</w:t>
            </w:r>
          </w:p>
        </w:tc>
        <w:tc>
          <w:tcPr>
            <w:tcW w:w="834" w:type="dxa"/>
            <w:vAlign w:val="center"/>
          </w:tcPr>
          <w:p w14:paraId="3E62EE10" w14:textId="1E8F0AC7" w:rsidR="003444AD" w:rsidRDefault="003444AD" w:rsidP="0057412E">
            <w:pPr>
              <w:spacing w:line="276" w:lineRule="auto"/>
              <w:jc w:val="center"/>
              <w:rPr>
                <w:rFonts w:asciiTheme="majorHAnsi" w:hAnsiTheme="majorHAnsi"/>
                <w:sz w:val="24"/>
                <w:szCs w:val="24"/>
              </w:rPr>
            </w:pPr>
            <w:r>
              <w:t>24 (42.8)</w:t>
            </w:r>
          </w:p>
        </w:tc>
      </w:tr>
      <w:tr w:rsidR="003444AD" w14:paraId="62559C28" w14:textId="7453AC95" w:rsidTr="00B53390">
        <w:tc>
          <w:tcPr>
            <w:tcW w:w="1004" w:type="dxa"/>
            <w:vAlign w:val="center"/>
          </w:tcPr>
          <w:p w14:paraId="45DF4805" w14:textId="77777777" w:rsidR="003444AD" w:rsidRDefault="003444AD" w:rsidP="0057412E">
            <w:pPr>
              <w:spacing w:line="276" w:lineRule="auto"/>
              <w:jc w:val="center"/>
              <w:rPr>
                <w:rFonts w:asciiTheme="majorHAnsi" w:hAnsiTheme="majorHAnsi"/>
                <w:sz w:val="24"/>
                <w:szCs w:val="24"/>
              </w:rPr>
            </w:pPr>
          </w:p>
        </w:tc>
        <w:tc>
          <w:tcPr>
            <w:tcW w:w="1022" w:type="dxa"/>
            <w:vAlign w:val="center"/>
          </w:tcPr>
          <w:p w14:paraId="21DAB8E4" w14:textId="709D39AD" w:rsidR="003444AD" w:rsidRDefault="003444AD" w:rsidP="0057412E">
            <w:pPr>
              <w:spacing w:line="276" w:lineRule="auto"/>
              <w:jc w:val="center"/>
              <w:rPr>
                <w:rFonts w:asciiTheme="majorHAnsi" w:hAnsiTheme="majorHAnsi"/>
                <w:sz w:val="24"/>
                <w:szCs w:val="24"/>
              </w:rPr>
            </w:pPr>
            <w:r>
              <w:t>High</w:t>
            </w:r>
          </w:p>
        </w:tc>
        <w:tc>
          <w:tcPr>
            <w:tcW w:w="796" w:type="dxa"/>
            <w:vAlign w:val="center"/>
          </w:tcPr>
          <w:p w14:paraId="5EF3CAD5" w14:textId="5ABA8354" w:rsidR="003444AD" w:rsidRDefault="003444AD" w:rsidP="0057412E">
            <w:pPr>
              <w:spacing w:line="276" w:lineRule="auto"/>
              <w:jc w:val="center"/>
              <w:rPr>
                <w:rFonts w:asciiTheme="majorHAnsi" w:hAnsiTheme="majorHAnsi"/>
                <w:sz w:val="24"/>
                <w:szCs w:val="24"/>
              </w:rPr>
            </w:pPr>
            <w:r>
              <w:t>26 (76.5)</w:t>
            </w:r>
          </w:p>
        </w:tc>
        <w:tc>
          <w:tcPr>
            <w:tcW w:w="834" w:type="dxa"/>
            <w:vAlign w:val="center"/>
          </w:tcPr>
          <w:p w14:paraId="49B93C92" w14:textId="404D137E" w:rsidR="003444AD" w:rsidRDefault="003444AD" w:rsidP="0057412E">
            <w:pPr>
              <w:spacing w:line="276" w:lineRule="auto"/>
              <w:jc w:val="center"/>
              <w:rPr>
                <w:rFonts w:asciiTheme="majorHAnsi" w:hAnsiTheme="majorHAnsi"/>
                <w:sz w:val="24"/>
                <w:szCs w:val="24"/>
              </w:rPr>
            </w:pPr>
            <w:r>
              <w:t>6 (27.3)</w:t>
            </w:r>
          </w:p>
        </w:tc>
        <w:tc>
          <w:tcPr>
            <w:tcW w:w="834" w:type="dxa"/>
            <w:vAlign w:val="center"/>
          </w:tcPr>
          <w:p w14:paraId="4910C8FD" w14:textId="67F1AAC7" w:rsidR="003444AD" w:rsidRDefault="003444AD" w:rsidP="0057412E">
            <w:pPr>
              <w:spacing w:line="276" w:lineRule="auto"/>
              <w:jc w:val="center"/>
              <w:rPr>
                <w:rFonts w:asciiTheme="majorHAnsi" w:hAnsiTheme="majorHAnsi"/>
                <w:sz w:val="24"/>
                <w:szCs w:val="24"/>
              </w:rPr>
            </w:pPr>
            <w:r>
              <w:t>32 (57.2)</w:t>
            </w:r>
          </w:p>
        </w:tc>
      </w:tr>
    </w:tbl>
    <w:p w14:paraId="3093110C" w14:textId="5F346F72" w:rsidR="00F561D6" w:rsidRPr="0057412E" w:rsidRDefault="00850953" w:rsidP="0057412E">
      <w:pPr>
        <w:tabs>
          <w:tab w:val="left" w:pos="90"/>
        </w:tabs>
        <w:spacing w:line="276" w:lineRule="auto"/>
        <w:ind w:left="-90"/>
        <w:jc w:val="both"/>
        <w:rPr>
          <w:rFonts w:asciiTheme="majorHAnsi" w:hAnsiTheme="majorHAnsi"/>
          <w:bCs/>
          <w:iCs/>
          <w:sz w:val="24"/>
          <w:szCs w:val="24"/>
        </w:rPr>
      </w:pPr>
      <w:r>
        <w:rPr>
          <w:b/>
          <w:sz w:val="24"/>
        </w:rPr>
        <w:t xml:space="preserve">Source: </w:t>
      </w:r>
      <w:r w:rsidRPr="0057412E">
        <w:rPr>
          <w:bCs/>
          <w:sz w:val="24"/>
        </w:rPr>
        <w:t>Secondary data, 2025.</w:t>
      </w:r>
    </w:p>
    <w:p w14:paraId="1501C976" w14:textId="77777777" w:rsidR="00C1695E" w:rsidRPr="003444AD" w:rsidRDefault="00C1695E" w:rsidP="0057412E">
      <w:pPr>
        <w:pStyle w:val="BodyText"/>
        <w:spacing w:line="276" w:lineRule="auto"/>
        <w:ind w:left="164" w:right="40" w:firstLine="567"/>
        <w:rPr>
          <w:rFonts w:asciiTheme="majorHAnsi" w:hAnsiTheme="majorHAnsi"/>
          <w:bCs/>
        </w:rPr>
      </w:pPr>
      <w:r>
        <w:t xml:space="preserve">Table 1 shows a more atherogenic lipid-profile pattern in the CHD group. Low HDL was found in 28 of 34 patients with CHD (82.3%), whereas only 8 of 22 </w:t>
      </w:r>
      <w:r>
        <w:lastRenderedPageBreak/>
        <w:t>patients without CHD (36.4%) had low HDL. Conversely, the proportion of normal HDL was higher in the non-CHD group (63.6%) than in the CHD group (17.6%). For LDL, high levels were found in 76.5% of patients with CHD and 27.3% of patients without CHD.</w:t>
      </w:r>
    </w:p>
    <w:p w14:paraId="009A6E04" w14:textId="77777777" w:rsidR="00C1695E" w:rsidRPr="003444AD" w:rsidRDefault="00C1695E" w:rsidP="0057412E">
      <w:pPr>
        <w:pStyle w:val="BodyText"/>
        <w:spacing w:line="276" w:lineRule="auto"/>
        <w:ind w:left="164" w:right="40" w:firstLine="567"/>
        <w:rPr>
          <w:rFonts w:asciiTheme="majorHAnsi" w:hAnsiTheme="majorHAnsi"/>
        </w:rPr>
      </w:pPr>
      <w:r>
        <w:t>The results of the bivariate analysis of the associations of HDL and LDL with CHD are presented in Table 2. Low HDL was significantly associated with CHD (p=0.003), with a crude OR of 8.17 (95% CI 2.37-28.16). This means that, in this sample, the odds of CHD among patients with low HDL were approximately eight times the odds among patients with normal HDL.</w:t>
      </w:r>
    </w:p>
    <w:p w14:paraId="3F7B4122" w14:textId="3B331165" w:rsidR="0015781A" w:rsidRPr="003444AD" w:rsidRDefault="00850953" w:rsidP="0057412E">
      <w:pPr>
        <w:spacing w:line="276" w:lineRule="auto"/>
        <w:jc w:val="center"/>
        <w:rPr>
          <w:rFonts w:asciiTheme="majorHAnsi" w:hAnsiTheme="majorHAnsi"/>
          <w:bCs/>
          <w:sz w:val="24"/>
          <w:szCs w:val="24"/>
        </w:rPr>
      </w:pPr>
      <w:r>
        <w:rPr>
          <w:b/>
          <w:sz w:val="24"/>
        </w:rPr>
        <w:t>Table 2. Association of HDL and LDL Levels with Coronary Heart Disease</w:t>
      </w:r>
    </w:p>
    <w:tbl>
      <w:tblPr>
        <w:tblStyle w:val="TableGrid"/>
        <w:tblW w:w="4878" w:type="dxa"/>
        <w:tblLook w:val="04A0" w:firstRow="1" w:lastRow="0" w:firstColumn="1" w:lastColumn="0" w:noHBand="0" w:noVBand="1"/>
      </w:tblPr>
      <w:tblGrid>
        <w:gridCol w:w="911"/>
        <w:gridCol w:w="1028"/>
        <w:gridCol w:w="808"/>
        <w:gridCol w:w="882"/>
        <w:gridCol w:w="1249"/>
      </w:tblGrid>
      <w:tr w:rsidR="003444AD" w14:paraId="6544065D" w14:textId="77777777" w:rsidTr="003444AD">
        <w:trPr>
          <w:cantSplit/>
        </w:trPr>
        <w:tc>
          <w:tcPr>
            <w:tcW w:w="893" w:type="dxa"/>
            <w:tcMar>
              <w:top w:w="35" w:type="dxa"/>
              <w:left w:w="35" w:type="dxa"/>
              <w:bottom w:w="35" w:type="dxa"/>
              <w:right w:w="35" w:type="dxa"/>
            </w:tcMar>
            <w:vAlign w:val="center"/>
          </w:tcPr>
          <w:p w14:paraId="673B9DCC" w14:textId="1993A763" w:rsidR="003444AD" w:rsidRDefault="003444AD" w:rsidP="0057412E">
            <w:pPr>
              <w:spacing w:line="276" w:lineRule="auto"/>
              <w:jc w:val="center"/>
              <w:rPr>
                <w:rFonts w:asciiTheme="majorHAnsi" w:hAnsiTheme="majorHAnsi"/>
                <w:sz w:val="24"/>
                <w:szCs w:val="24"/>
              </w:rPr>
            </w:pPr>
            <w:r>
              <w:rPr>
                <w:b/>
                <w:sz w:val="17"/>
              </w:rPr>
              <w:t>Variable</w:t>
            </w:r>
          </w:p>
        </w:tc>
        <w:tc>
          <w:tcPr>
            <w:tcW w:w="1008" w:type="dxa"/>
            <w:tcMar>
              <w:top w:w="35" w:type="dxa"/>
              <w:left w:w="35" w:type="dxa"/>
              <w:bottom w:w="35" w:type="dxa"/>
              <w:right w:w="35" w:type="dxa"/>
            </w:tcMar>
            <w:vAlign w:val="center"/>
          </w:tcPr>
          <w:p w14:paraId="75219A69" w14:textId="3C73D04A" w:rsidR="003444AD" w:rsidRDefault="003444AD" w:rsidP="0057412E">
            <w:pPr>
              <w:spacing w:line="276" w:lineRule="auto"/>
              <w:jc w:val="center"/>
              <w:rPr>
                <w:rFonts w:asciiTheme="majorHAnsi" w:hAnsiTheme="majorHAnsi"/>
                <w:sz w:val="24"/>
                <w:szCs w:val="24"/>
              </w:rPr>
            </w:pPr>
            <w:r>
              <w:rPr>
                <w:b/>
                <w:sz w:val="17"/>
              </w:rPr>
              <w:t>Risk category</w:t>
            </w:r>
          </w:p>
        </w:tc>
        <w:tc>
          <w:tcPr>
            <w:tcW w:w="792" w:type="dxa"/>
            <w:tcMar>
              <w:top w:w="35" w:type="dxa"/>
              <w:left w:w="35" w:type="dxa"/>
              <w:bottom w:w="35" w:type="dxa"/>
              <w:right w:w="35" w:type="dxa"/>
            </w:tcMar>
            <w:vAlign w:val="center"/>
          </w:tcPr>
          <w:p w14:paraId="252D9F4A" w14:textId="281009D9" w:rsidR="003444AD" w:rsidRDefault="003444AD" w:rsidP="0057412E">
            <w:pPr>
              <w:spacing w:line="276" w:lineRule="auto"/>
              <w:jc w:val="center"/>
              <w:rPr>
                <w:rFonts w:asciiTheme="majorHAnsi" w:hAnsiTheme="majorHAnsi"/>
                <w:sz w:val="24"/>
                <w:szCs w:val="24"/>
              </w:rPr>
            </w:pPr>
            <w:r>
              <w:rPr>
                <w:b/>
                <w:sz w:val="17"/>
              </w:rPr>
              <w:t>CHD n (%)</w:t>
            </w:r>
          </w:p>
        </w:tc>
        <w:tc>
          <w:tcPr>
            <w:tcW w:w="864" w:type="dxa"/>
            <w:tcMar>
              <w:top w:w="35" w:type="dxa"/>
              <w:left w:w="35" w:type="dxa"/>
              <w:bottom w:w="35" w:type="dxa"/>
              <w:right w:w="35" w:type="dxa"/>
            </w:tcMar>
            <w:vAlign w:val="center"/>
          </w:tcPr>
          <w:p w14:paraId="62449825" w14:textId="33CFC8D6" w:rsidR="003444AD" w:rsidRDefault="003444AD" w:rsidP="0057412E">
            <w:pPr>
              <w:spacing w:line="276" w:lineRule="auto"/>
              <w:jc w:val="center"/>
              <w:rPr>
                <w:rFonts w:asciiTheme="majorHAnsi" w:hAnsiTheme="majorHAnsi"/>
                <w:sz w:val="24"/>
                <w:szCs w:val="24"/>
              </w:rPr>
            </w:pPr>
            <w:r>
              <w:rPr>
                <w:b/>
                <w:sz w:val="17"/>
              </w:rPr>
              <w:t>Non-CHD n (%)</w:t>
            </w:r>
          </w:p>
        </w:tc>
        <w:tc>
          <w:tcPr>
            <w:tcW w:w="1224" w:type="dxa"/>
            <w:tcMar>
              <w:top w:w="35" w:type="dxa"/>
              <w:left w:w="35" w:type="dxa"/>
              <w:bottom w:w="35" w:type="dxa"/>
              <w:right w:w="35" w:type="dxa"/>
            </w:tcMar>
            <w:vAlign w:val="center"/>
          </w:tcPr>
          <w:p w14:paraId="7C8DC178" w14:textId="718D1386" w:rsidR="003444AD" w:rsidRDefault="003444AD" w:rsidP="0057412E">
            <w:pPr>
              <w:spacing w:line="276" w:lineRule="auto"/>
              <w:jc w:val="center"/>
              <w:rPr>
                <w:rFonts w:asciiTheme="majorHAnsi" w:hAnsiTheme="majorHAnsi"/>
                <w:sz w:val="24"/>
                <w:szCs w:val="24"/>
              </w:rPr>
            </w:pPr>
            <w:r>
              <w:rPr>
                <w:b/>
                <w:sz w:val="17"/>
              </w:rPr>
              <w:t>OR (95% CI)</w:t>
            </w:r>
          </w:p>
        </w:tc>
      </w:tr>
      <w:tr w:rsidR="003444AD" w14:paraId="5810D127" w14:textId="77777777" w:rsidTr="003444AD">
        <w:trPr>
          <w:cantSplit/>
        </w:trPr>
        <w:tc>
          <w:tcPr>
            <w:tcW w:w="893" w:type="dxa"/>
            <w:tcMar>
              <w:top w:w="35" w:type="dxa"/>
              <w:left w:w="35" w:type="dxa"/>
              <w:bottom w:w="35" w:type="dxa"/>
              <w:right w:w="35" w:type="dxa"/>
            </w:tcMar>
            <w:vAlign w:val="center"/>
          </w:tcPr>
          <w:p w14:paraId="7DB4FBAB" w14:textId="58833B0A" w:rsidR="003444AD" w:rsidRDefault="003444AD" w:rsidP="0057412E">
            <w:pPr>
              <w:spacing w:line="276" w:lineRule="auto"/>
              <w:jc w:val="center"/>
              <w:rPr>
                <w:rFonts w:asciiTheme="majorHAnsi" w:hAnsiTheme="majorHAnsi"/>
                <w:sz w:val="24"/>
                <w:szCs w:val="24"/>
              </w:rPr>
            </w:pPr>
            <w:r w:rsidRPr="003444AD">
              <w:rPr>
                <w:rFonts w:asciiTheme="majorHAnsi" w:hAnsiTheme="majorHAnsi"/>
                <w:sz w:val="17"/>
                <w:szCs w:val="24"/>
              </w:rPr>
              <w:t>HDL</w:t>
            </w:r>
          </w:p>
        </w:tc>
        <w:tc>
          <w:tcPr>
            <w:tcW w:w="1008" w:type="dxa"/>
            <w:tcMar>
              <w:top w:w="35" w:type="dxa"/>
              <w:left w:w="35" w:type="dxa"/>
              <w:bottom w:w="35" w:type="dxa"/>
              <w:right w:w="35" w:type="dxa"/>
            </w:tcMar>
            <w:vAlign w:val="center"/>
          </w:tcPr>
          <w:p w14:paraId="2327BFD1" w14:textId="7A84D4B3" w:rsidR="003444AD" w:rsidRDefault="003444AD" w:rsidP="0057412E">
            <w:pPr>
              <w:spacing w:line="276" w:lineRule="auto"/>
              <w:jc w:val="center"/>
              <w:rPr>
                <w:rFonts w:asciiTheme="majorHAnsi" w:hAnsiTheme="majorHAnsi"/>
                <w:sz w:val="24"/>
                <w:szCs w:val="24"/>
              </w:rPr>
            </w:pPr>
            <w:r>
              <w:rPr>
                <w:sz w:val="17"/>
              </w:rPr>
              <w:t>Low</w:t>
            </w:r>
          </w:p>
        </w:tc>
        <w:tc>
          <w:tcPr>
            <w:tcW w:w="792" w:type="dxa"/>
            <w:tcMar>
              <w:top w:w="35" w:type="dxa"/>
              <w:left w:w="35" w:type="dxa"/>
              <w:bottom w:w="35" w:type="dxa"/>
              <w:right w:w="35" w:type="dxa"/>
            </w:tcMar>
            <w:vAlign w:val="center"/>
          </w:tcPr>
          <w:p w14:paraId="46F66F98" w14:textId="4EB0FB25" w:rsidR="003444AD" w:rsidRDefault="003444AD" w:rsidP="0057412E">
            <w:pPr>
              <w:spacing w:line="276" w:lineRule="auto"/>
              <w:jc w:val="center"/>
              <w:rPr>
                <w:rFonts w:asciiTheme="majorHAnsi" w:hAnsiTheme="majorHAnsi"/>
                <w:sz w:val="24"/>
                <w:szCs w:val="24"/>
              </w:rPr>
            </w:pPr>
            <w:r>
              <w:rPr>
                <w:sz w:val="17"/>
              </w:rPr>
              <w:t>28 (82.3)</w:t>
            </w:r>
          </w:p>
        </w:tc>
        <w:tc>
          <w:tcPr>
            <w:tcW w:w="864" w:type="dxa"/>
            <w:tcMar>
              <w:top w:w="35" w:type="dxa"/>
              <w:left w:w="35" w:type="dxa"/>
              <w:bottom w:w="35" w:type="dxa"/>
              <w:right w:w="35" w:type="dxa"/>
            </w:tcMar>
            <w:vAlign w:val="center"/>
          </w:tcPr>
          <w:p w14:paraId="7723FCAC" w14:textId="6521E7A4" w:rsidR="003444AD" w:rsidRDefault="003444AD" w:rsidP="0057412E">
            <w:pPr>
              <w:spacing w:line="276" w:lineRule="auto"/>
              <w:jc w:val="center"/>
              <w:rPr>
                <w:rFonts w:asciiTheme="majorHAnsi" w:hAnsiTheme="majorHAnsi"/>
                <w:sz w:val="24"/>
                <w:szCs w:val="24"/>
              </w:rPr>
            </w:pPr>
            <w:r>
              <w:rPr>
                <w:sz w:val="17"/>
              </w:rPr>
              <w:t>8 (36.4)</w:t>
            </w:r>
          </w:p>
        </w:tc>
        <w:tc>
          <w:tcPr>
            <w:tcW w:w="1224" w:type="dxa"/>
            <w:tcMar>
              <w:top w:w="35" w:type="dxa"/>
              <w:left w:w="35" w:type="dxa"/>
              <w:bottom w:w="35" w:type="dxa"/>
              <w:right w:w="35" w:type="dxa"/>
            </w:tcMar>
            <w:vAlign w:val="center"/>
          </w:tcPr>
          <w:p w14:paraId="3AA14640" w14:textId="533CD6CB" w:rsidR="003444AD" w:rsidRDefault="003444AD" w:rsidP="0057412E">
            <w:pPr>
              <w:spacing w:line="276" w:lineRule="auto"/>
              <w:jc w:val="center"/>
              <w:rPr>
                <w:rFonts w:asciiTheme="majorHAnsi" w:hAnsiTheme="majorHAnsi"/>
                <w:sz w:val="24"/>
                <w:szCs w:val="24"/>
              </w:rPr>
            </w:pPr>
            <w:r>
              <w:rPr>
                <w:sz w:val="17"/>
              </w:rPr>
              <w:t>8.17 (2.37–28.16)</w:t>
            </w:r>
          </w:p>
        </w:tc>
      </w:tr>
      <w:tr w:rsidR="003444AD" w14:paraId="489AE4C3" w14:textId="77777777" w:rsidTr="003444AD">
        <w:trPr>
          <w:cantSplit/>
        </w:trPr>
        <w:tc>
          <w:tcPr>
            <w:tcW w:w="893" w:type="dxa"/>
            <w:tcMar>
              <w:top w:w="35" w:type="dxa"/>
              <w:left w:w="35" w:type="dxa"/>
              <w:bottom w:w="35" w:type="dxa"/>
              <w:right w:w="35" w:type="dxa"/>
            </w:tcMar>
            <w:vAlign w:val="center"/>
          </w:tcPr>
          <w:p w14:paraId="18349F16" w14:textId="6009115F" w:rsidR="003444AD" w:rsidRDefault="003444AD" w:rsidP="0057412E">
            <w:pPr>
              <w:spacing w:line="276" w:lineRule="auto"/>
              <w:jc w:val="center"/>
              <w:rPr>
                <w:rFonts w:asciiTheme="majorHAnsi" w:hAnsiTheme="majorHAnsi"/>
                <w:sz w:val="24"/>
                <w:szCs w:val="24"/>
              </w:rPr>
            </w:pPr>
            <w:r w:rsidRPr="003444AD">
              <w:rPr>
                <w:rFonts w:asciiTheme="majorHAnsi" w:hAnsiTheme="majorHAnsi"/>
                <w:sz w:val="17"/>
                <w:szCs w:val="24"/>
              </w:rPr>
              <w:t>LDL</w:t>
            </w:r>
          </w:p>
        </w:tc>
        <w:tc>
          <w:tcPr>
            <w:tcW w:w="1008" w:type="dxa"/>
            <w:tcMar>
              <w:top w:w="35" w:type="dxa"/>
              <w:left w:w="35" w:type="dxa"/>
              <w:bottom w:w="35" w:type="dxa"/>
              <w:right w:w="35" w:type="dxa"/>
            </w:tcMar>
            <w:vAlign w:val="center"/>
          </w:tcPr>
          <w:p w14:paraId="35C7C145" w14:textId="42143788" w:rsidR="003444AD" w:rsidRDefault="003444AD" w:rsidP="0057412E">
            <w:pPr>
              <w:spacing w:line="276" w:lineRule="auto"/>
              <w:jc w:val="center"/>
              <w:rPr>
                <w:rFonts w:asciiTheme="majorHAnsi" w:hAnsiTheme="majorHAnsi"/>
                <w:sz w:val="24"/>
                <w:szCs w:val="24"/>
              </w:rPr>
            </w:pPr>
            <w:r>
              <w:rPr>
                <w:sz w:val="17"/>
              </w:rPr>
              <w:t>High</w:t>
            </w:r>
          </w:p>
        </w:tc>
        <w:tc>
          <w:tcPr>
            <w:tcW w:w="792" w:type="dxa"/>
            <w:tcMar>
              <w:top w:w="35" w:type="dxa"/>
              <w:left w:w="35" w:type="dxa"/>
              <w:bottom w:w="35" w:type="dxa"/>
              <w:right w:w="35" w:type="dxa"/>
            </w:tcMar>
            <w:vAlign w:val="center"/>
          </w:tcPr>
          <w:p w14:paraId="4B4E4956" w14:textId="397C620E" w:rsidR="003444AD" w:rsidRDefault="003444AD" w:rsidP="0057412E">
            <w:pPr>
              <w:spacing w:line="276" w:lineRule="auto"/>
              <w:jc w:val="center"/>
              <w:rPr>
                <w:rFonts w:asciiTheme="majorHAnsi" w:hAnsiTheme="majorHAnsi"/>
                <w:sz w:val="24"/>
                <w:szCs w:val="24"/>
              </w:rPr>
            </w:pPr>
            <w:r>
              <w:rPr>
                <w:sz w:val="17"/>
              </w:rPr>
              <w:t>26 (76.5)</w:t>
            </w:r>
          </w:p>
        </w:tc>
        <w:tc>
          <w:tcPr>
            <w:tcW w:w="864" w:type="dxa"/>
            <w:tcMar>
              <w:top w:w="35" w:type="dxa"/>
              <w:left w:w="35" w:type="dxa"/>
              <w:bottom w:w="35" w:type="dxa"/>
              <w:right w:w="35" w:type="dxa"/>
            </w:tcMar>
            <w:vAlign w:val="center"/>
          </w:tcPr>
          <w:p w14:paraId="156036D8" w14:textId="3B765E51" w:rsidR="003444AD" w:rsidRDefault="003444AD" w:rsidP="0057412E">
            <w:pPr>
              <w:spacing w:line="276" w:lineRule="auto"/>
              <w:jc w:val="center"/>
              <w:rPr>
                <w:rFonts w:asciiTheme="majorHAnsi" w:hAnsiTheme="majorHAnsi"/>
                <w:sz w:val="24"/>
                <w:szCs w:val="24"/>
              </w:rPr>
            </w:pPr>
            <w:r>
              <w:rPr>
                <w:sz w:val="17"/>
              </w:rPr>
              <w:t>6 (27.3)</w:t>
            </w:r>
          </w:p>
        </w:tc>
        <w:tc>
          <w:tcPr>
            <w:tcW w:w="1224" w:type="dxa"/>
            <w:tcMar>
              <w:top w:w="35" w:type="dxa"/>
              <w:left w:w="35" w:type="dxa"/>
              <w:bottom w:w="35" w:type="dxa"/>
              <w:right w:w="35" w:type="dxa"/>
            </w:tcMar>
            <w:vAlign w:val="center"/>
          </w:tcPr>
          <w:p w14:paraId="2724C4B4" w14:textId="5AAAA06E" w:rsidR="003444AD" w:rsidRDefault="003444AD" w:rsidP="0057412E">
            <w:pPr>
              <w:spacing w:line="276" w:lineRule="auto"/>
              <w:jc w:val="center"/>
              <w:rPr>
                <w:rFonts w:asciiTheme="majorHAnsi" w:hAnsiTheme="majorHAnsi"/>
                <w:sz w:val="24"/>
                <w:szCs w:val="24"/>
              </w:rPr>
            </w:pPr>
            <w:r>
              <w:rPr>
                <w:sz w:val="17"/>
              </w:rPr>
              <w:t>8.67 (2.54–29.60)</w:t>
            </w:r>
          </w:p>
        </w:tc>
      </w:tr>
    </w:tbl>
    <w:p w14:paraId="53A3F779" w14:textId="77777777" w:rsidR="0015781A" w:rsidRPr="0057412E" w:rsidRDefault="00850953" w:rsidP="0057412E">
      <w:pPr>
        <w:ind w:left="-90"/>
        <w:jc w:val="both"/>
        <w:rPr>
          <w:rFonts w:asciiTheme="majorHAnsi" w:hAnsiTheme="majorHAnsi"/>
          <w:iCs/>
          <w:sz w:val="24"/>
          <w:szCs w:val="24"/>
        </w:rPr>
      </w:pPr>
      <w:r w:rsidRPr="0057412E">
        <w:rPr>
          <w:iCs/>
          <w:sz w:val="24"/>
        </w:rPr>
        <w:t>Chi-square test; OR = crude odds ratio; 95% CI = 95% confidence interval. Reference categories: normal HDL and normal LDL.</w:t>
      </w:r>
    </w:p>
    <w:p w14:paraId="5459B4D9" w14:textId="77777777" w:rsidR="00C1695E" w:rsidRPr="003444AD" w:rsidRDefault="00C1695E" w:rsidP="0057412E">
      <w:pPr>
        <w:pStyle w:val="BodyText"/>
        <w:spacing w:line="276" w:lineRule="auto"/>
        <w:ind w:left="164" w:right="40" w:firstLine="567"/>
        <w:rPr>
          <w:rFonts w:asciiTheme="majorHAnsi" w:hAnsiTheme="majorHAnsi"/>
        </w:rPr>
      </w:pPr>
      <w:r>
        <w:t>High LDL was also significantly associated with CHD (p=0.002), with a crude OR of 8.67 (95% CI 2.54-29.60). The confidence intervals for both estimates did not cross 1, but they were relatively wide, reflecting imprecision due to the limited sample size.</w:t>
      </w:r>
    </w:p>
    <w:p w14:paraId="7746EDE3" w14:textId="49A90C0B" w:rsidR="00E8702A" w:rsidRDefault="00C1695E" w:rsidP="0057412E">
      <w:pPr>
        <w:pStyle w:val="BodyText"/>
        <w:spacing w:line="276" w:lineRule="auto"/>
        <w:ind w:left="164" w:right="40" w:firstLine="567"/>
      </w:pPr>
      <w:r>
        <w:t>Because this study used a retrospective cross-sectional design and the reported analysis remained bivariate, these findings were interpreted as associations within the studied clinical population rather than as causal relationships or independent effects after adjustment for confounding factors.</w:t>
      </w:r>
    </w:p>
    <w:p w14:paraId="555C62F9" w14:textId="77777777" w:rsidR="0057412E" w:rsidRPr="003444AD" w:rsidRDefault="0057412E" w:rsidP="0057412E">
      <w:pPr>
        <w:pStyle w:val="BodyText"/>
        <w:spacing w:line="276" w:lineRule="auto"/>
        <w:ind w:left="164" w:right="40" w:firstLine="567"/>
        <w:rPr>
          <w:rFonts w:asciiTheme="majorHAnsi" w:hAnsiTheme="majorHAnsi"/>
        </w:rPr>
      </w:pPr>
    </w:p>
    <w:p w14:paraId="01F1E234" w14:textId="6932B56C" w:rsidR="00C77999" w:rsidRDefault="000E1093" w:rsidP="0057412E">
      <w:pPr>
        <w:pStyle w:val="Heading1"/>
        <w:spacing w:line="276" w:lineRule="auto"/>
        <w:rPr>
          <w:rFonts w:asciiTheme="majorHAnsi" w:hAnsiTheme="majorHAnsi"/>
        </w:rPr>
      </w:pPr>
      <w:r>
        <w:t>DISCUSSION</w:t>
      </w:r>
    </w:p>
    <w:p w14:paraId="3677D2A6" w14:textId="77777777" w:rsidR="00C77999" w:rsidRPr="00C77999" w:rsidRDefault="00C77999" w:rsidP="0057412E">
      <w:pPr>
        <w:pStyle w:val="BodyText"/>
        <w:spacing w:line="276" w:lineRule="auto"/>
        <w:ind w:left="164" w:right="40" w:firstLine="360"/>
        <w:rPr>
          <w:rFonts w:asciiTheme="majorHAnsi" w:hAnsiTheme="majorHAnsi"/>
        </w:rPr>
      </w:pPr>
      <w:r>
        <w:t>The main findings of this study show strong associations between the lipid profile and CHD among patients at the Cardiology Clinic of Bahteramas Regional General Hospital. Low HDL was associated with higher odds of CHD, as was high LDL, with relatively similar crude OR magnitudes. This pattern indicates that patients with CHD in the sample more frequently had a combination of increased atherogenic lipid burden and low HDL. Nevertheless, because the analysis did not use a multivariable model, these relationships should be understood as statistical associations and cannot yet be considered independent effects of the individual lipid fractions.</w:t>
      </w:r>
    </w:p>
    <w:p w14:paraId="2DD9033F" w14:textId="05A37D94" w:rsidR="00C77999" w:rsidRPr="00C77999" w:rsidRDefault="00C77999" w:rsidP="0057412E">
      <w:pPr>
        <w:pStyle w:val="BodyText"/>
        <w:spacing w:line="276" w:lineRule="auto"/>
        <w:ind w:left="164" w:right="40" w:firstLine="360"/>
        <w:rPr>
          <w:rFonts w:asciiTheme="majorHAnsi" w:hAnsiTheme="majorHAnsi"/>
        </w:rPr>
      </w:pPr>
      <w:r>
        <w:t>The association between high LDL and CHD is consistent with international evidence that identifies LDL-C as a major causal factor in atherosclerosis. High and prolonged LDL exposure increases the likelihood of atherogenic particle retention within the intima, followed by lipid oxidation, endothelial activation, inflammation, foam-cell formation, and plaque development (Pedro-Botet et al., 2024). In the Western Denmark Heart Registry, the association between LDL-C and ASCVD events also appeared strongest among individuals with evidence of coronary atherosclerosis (Mortensen et al., 2023). Therefore, the finding in the present study that high LDL predominated in the CHD group shows strong biological and epidemiological consistency.</w:t>
      </w:r>
    </w:p>
    <w:p w14:paraId="795E52A9" w14:textId="0D5B0CD1" w:rsidR="00C77999" w:rsidRPr="00C77999" w:rsidRDefault="00C77999" w:rsidP="0057412E">
      <w:pPr>
        <w:pStyle w:val="BodyText"/>
        <w:spacing w:line="276" w:lineRule="auto"/>
        <w:ind w:left="164" w:right="40" w:firstLine="360"/>
        <w:rPr>
          <w:rFonts w:asciiTheme="majorHAnsi" w:hAnsiTheme="majorHAnsi"/>
        </w:rPr>
      </w:pPr>
      <w:r>
        <w:t xml:space="preserve">The clinical relevance of LDL is further reinforced by evidence that LDL lowering not only reduces cardiovascular events but can also influence plaque </w:t>
      </w:r>
      <w:r>
        <w:lastRenderedPageBreak/>
        <w:t>characteristics. Intravascular imaging studies have shown that intensive lipid-lowering therapy is associated with reduced atheroma volume and improved plaque stability (Dawson et al., 2022; Di Giovanni &amp; Nicholls, 2022). A meta-analysis by Li et al. (2021) also demonstrated coronary plaque regression after lipid-lowering therapy, while Ota et al. (2022) reported that adding a PCSK9 inhibitor to statin therapy was associated with reductions in atheroma volume and lipid plaque components. Broader evidence from Berro Rivera et al. (2024) confirmed that various lipid-lowering strategies are associated with plaque regression, with effects particularly evident with high-intensity statin therapy.</w:t>
      </w:r>
    </w:p>
    <w:p w14:paraId="3296283D" w14:textId="46B5DC0B" w:rsidR="00C77999" w:rsidRPr="00C77999" w:rsidRDefault="00C77999" w:rsidP="0057412E">
      <w:pPr>
        <w:pStyle w:val="BodyText"/>
        <w:spacing w:line="276" w:lineRule="auto"/>
        <w:ind w:left="164" w:right="40" w:firstLine="360"/>
        <w:rPr>
          <w:rFonts w:asciiTheme="majorHAnsi" w:hAnsiTheme="majorHAnsi"/>
        </w:rPr>
      </w:pPr>
      <w:r>
        <w:t>These findings are important when interpreting high LDL among patients with CHD in the present study. A high LDL value does not merely represent a laboratory abnormality; it indicates exposure to atherogenic particles that biologically contribute to disease progression. A systematic review of PCSK9 inhibitor use in patients already receiving statins also showed improvements in parameters of plaque regression and stabilization (Hakim et al., 2024). Therefore, the clinical implications of the present study are stronger when directed toward the importance of early and intensive identification and control of LDL according to risk level, rather than relying solely on normal-versus-high classification.</w:t>
      </w:r>
    </w:p>
    <w:p w14:paraId="459275F7" w14:textId="35524090" w:rsidR="00C77999" w:rsidRPr="00C77999" w:rsidRDefault="00C77999" w:rsidP="0057412E">
      <w:pPr>
        <w:pStyle w:val="BodyText"/>
        <w:spacing w:line="276" w:lineRule="auto"/>
        <w:ind w:left="164" w:right="40" w:firstLine="360"/>
        <w:rPr>
          <w:rFonts w:asciiTheme="majorHAnsi" w:hAnsiTheme="majorHAnsi"/>
        </w:rPr>
      </w:pPr>
      <w:r>
        <w:t xml:space="preserve">Interpretation of HDL requires greater caution. Low HDL-C remains an epidemiological marker associated with cardiovascular risk, but HDL-C concentration does not always reflect the </w:t>
      </w:r>
      <w:r>
        <w:t>biological function of HDL. Recent literature shows a shift from a quantity-based paradigm toward HDL quality and functionality, including reverse cholesterol transport, antioxidant and anti-inflammatory activities, and cholesterol efflux capacity (Cho, 2022; Endo et al., 2023). A meta-analysis by Lee et al. (2021) found that higher cholesterol efflux capacity was associated with a lower risk of cardiovascular events even after HDL-C levels were taken into account. Similar results were reported by Cheng et al. (2022), who showed that low efflux capacity was associated with coronary artery disease events independently of HDL-C levels.</w:t>
      </w:r>
    </w:p>
    <w:p w14:paraId="1EC45B5A" w14:textId="080C4590" w:rsidR="00C77999" w:rsidRPr="00C77999" w:rsidRDefault="00C77999" w:rsidP="0057412E">
      <w:pPr>
        <w:pStyle w:val="BodyText"/>
        <w:spacing w:line="276" w:lineRule="auto"/>
        <w:ind w:left="164" w:right="40" w:firstLine="360"/>
        <w:rPr>
          <w:rFonts w:asciiTheme="majorHAnsi" w:hAnsiTheme="majorHAnsi"/>
        </w:rPr>
      </w:pPr>
      <w:r>
        <w:t>Accordingly, low HDL in the present study should be interpreted as part of a risk phenotype rather than as evidence that pharmacologically increasing the HDL-C value would automatically reduce CHD events. Previous genetic evidence and clinical trials also do not support strategies focused solely on increasing HDL-C (Kjeldsen et al., 2022). Razavi et al. (2023) even emphasized a U-shaped relationship between HDL-C and ASCVD risk, indicating that very high HDL levels are not always protective. This perspective reinforces the importance of evaluating HDL in the context of biological function and the overall cardiometabolic risk profile.</w:t>
      </w:r>
    </w:p>
    <w:p w14:paraId="6DF13E45" w14:textId="3DFAE9E2" w:rsidR="00C77999" w:rsidRPr="00C77999" w:rsidRDefault="00C77999" w:rsidP="0057412E">
      <w:pPr>
        <w:pStyle w:val="BodyText"/>
        <w:spacing w:line="276" w:lineRule="auto"/>
        <w:ind w:left="164" w:right="40" w:firstLine="360"/>
        <w:rPr>
          <w:rFonts w:asciiTheme="majorHAnsi" w:hAnsiTheme="majorHAnsi"/>
        </w:rPr>
      </w:pPr>
      <w:r>
        <w:t xml:space="preserve">The combination of high LDL and low HDL supports the concept of an atherogenic lipid imbalance. Composite indices such as the LDL-C/HDL-C ratio may capture the interaction between the atherogenic fraction and the fraction epidemiologically associated with protection. Gaggini et al. (2022) explained </w:t>
      </w:r>
      <w:r>
        <w:lastRenderedPageBreak/>
        <w:t>that calculated lipid indices can provide additional information for risk assessment, while the meta-analysis by Hu et al. (2024) found a higher LDL-C/HDL-C ratio among patients with coronary heart disease. The present findings provide a basis for examining this ratio in the Bahteramas Regional General Hospital population because both fractions showed consistent directions of association.</w:t>
      </w:r>
    </w:p>
    <w:p w14:paraId="5AEECE35" w14:textId="5AF904C6" w:rsidR="00C77999" w:rsidRPr="00C77999" w:rsidRDefault="00C77999" w:rsidP="0057412E">
      <w:pPr>
        <w:pStyle w:val="BodyText"/>
        <w:spacing w:line="276" w:lineRule="auto"/>
        <w:ind w:left="164" w:right="40" w:firstLine="360"/>
        <w:rPr>
          <w:rFonts w:asciiTheme="majorHAnsi" w:hAnsiTheme="majorHAnsi"/>
        </w:rPr>
      </w:pPr>
      <w:r>
        <w:t>However, LDL-C is also not always equivalent to the number of atherogenic particles. ApoB reflects the number of particles containing apolipoprotein B and may provide additional information when discordance with LDL-C occurs. Su et al. (2022) showed that discordantly high ApoB relative to LDL-C was associated with a greater coronary atherosclerotic burden. Kim et al. (2021) also reported that discordance between ApoB and LDL-C was associated with progression of coronary artery calcification. At a larger population scale, Sniderman et al. (2024) showed that ApoB retained residual predictive information for ASCVD events after LDL-C, non-HDL-C, or triglycerides were accounted for. These findings indicate that LDL-C remains important but does not fully capture the total number of atherogenic particles.</w:t>
      </w:r>
    </w:p>
    <w:p w14:paraId="1669ABE3" w14:textId="2A16B074" w:rsidR="00C77999" w:rsidRPr="00C77999" w:rsidRDefault="00C77999" w:rsidP="0057412E">
      <w:pPr>
        <w:pStyle w:val="BodyText"/>
        <w:spacing w:line="276" w:lineRule="auto"/>
        <w:ind w:left="164" w:right="40" w:firstLine="360"/>
        <w:rPr>
          <w:rFonts w:asciiTheme="majorHAnsi" w:hAnsiTheme="majorHAnsi"/>
        </w:rPr>
      </w:pPr>
      <w:r>
        <w:t xml:space="preserve">Residual lipid risk should also be considered. Remnant cholesterol is associated with cardiovascular events and coronary heart disease (Yang et al., 2023), and the meta-analysis by Bian et al. (2024) showed a dose-response relationship between increasing remnant cholesterol and the risk of major adverse cardiovascular events. Gao et al. (2022) also found that remnant cholesterol had prognostic value for cardiovascular events </w:t>
      </w:r>
      <w:r>
        <w:t>in patients with myocardial infarction with nonobstructive coronary arteries. Meanwhile, Raggi et al. (2024) positioned remnant cholesterol as a potential additional lipid target because of its contribution to residual atherosclerotic risk.</w:t>
      </w:r>
    </w:p>
    <w:p w14:paraId="6EF3D4C4" w14:textId="16318447" w:rsidR="00C77999" w:rsidRPr="00C77999" w:rsidRDefault="00C77999" w:rsidP="0057412E">
      <w:pPr>
        <w:pStyle w:val="BodyText"/>
        <w:spacing w:line="276" w:lineRule="auto"/>
        <w:ind w:left="164" w:right="40" w:firstLine="360"/>
        <w:rPr>
          <w:rFonts w:asciiTheme="majorHAnsi" w:hAnsiTheme="majorHAnsi"/>
        </w:rPr>
      </w:pPr>
      <w:r>
        <w:t>The interaction between remnant cholesterol and HDL has also attracted attention. Pan et al. (2024) showed that an increased remnant cholesterol/HDL-C ratio was associated with the risk and severity of coronary artery disease, including the Gensini score and multivessel disease. In addition, Seehusen et al. (2024) reported that VLDL-C and discordance between VLDL-C and LDL-C were associated with an increased incidence of ASCVD. Conceptually, these findings support the possibility that patients whose LDL does not appear markedly elevated may still have meaningful atherogenic risk if they have a high burden of triglyceride-rich lipoproteins or remnant particles.</w:t>
      </w:r>
    </w:p>
    <w:p w14:paraId="1B3650FA" w14:textId="432CE191" w:rsidR="00C77999" w:rsidRPr="00C77999" w:rsidRDefault="00C77999" w:rsidP="0057412E">
      <w:pPr>
        <w:pStyle w:val="BodyText"/>
        <w:spacing w:line="276" w:lineRule="auto"/>
        <w:ind w:left="164" w:right="40" w:firstLine="360"/>
        <w:rPr>
          <w:rFonts w:asciiTheme="majorHAnsi" w:hAnsiTheme="majorHAnsi"/>
        </w:rPr>
      </w:pPr>
      <w:r>
        <w:t>Lipoprotein(a) is another component that was not assessed in the present study. The European Atherosclerosis Society consensus statement emphasizes that Lp(a) is a causal, continuous, and predominantly genetically determined risk factor for ASCVD (Kronenberg et al., 2022). Because Lp(a) levels may continue to contribute to risk even when LDL-C is controlled, measuring Lp(a) in future studies may help explain interpatient variation in risk, particularly among patients who develop CHD at a relatively younger age, have a strong family history, or have disease severity disproportionate to their conventional lipid profile.</w:t>
      </w:r>
    </w:p>
    <w:p w14:paraId="0DCD3E58" w14:textId="77777777" w:rsidR="00C77999" w:rsidRPr="00C77999" w:rsidRDefault="00C77999" w:rsidP="0057412E">
      <w:pPr>
        <w:pStyle w:val="BodyText"/>
        <w:spacing w:line="276" w:lineRule="auto"/>
        <w:ind w:left="164" w:right="40" w:firstLine="360"/>
        <w:rPr>
          <w:rFonts w:asciiTheme="majorHAnsi" w:hAnsiTheme="majorHAnsi"/>
        </w:rPr>
      </w:pPr>
      <w:r>
        <w:t xml:space="preserve">The contribution of this study is </w:t>
      </w:r>
      <w:r>
        <w:lastRenderedPageBreak/>
        <w:t>primarily contextual and clinical. The data were obtained from a referral hospital in Southeast Sulawesi Province, representing a population that is relatively underrepresented in international cardiovascular publications. HDL and LDL were assessed simultaneously in patients who met the selection criteria, and the magnitude of association was reported using ORs and 95% CIs. Thus, the novelty of this study does not lie in the discovery of a new mechanism, but in quantifying the atherogenic lipid pattern in a local clinical population and identifying association signals that may serve as a basis for larger prospective studies.</w:t>
      </w:r>
    </w:p>
    <w:p w14:paraId="15DD804D" w14:textId="50C54511" w:rsidR="00C77999" w:rsidRPr="00C77999" w:rsidRDefault="00C77999" w:rsidP="0057412E">
      <w:pPr>
        <w:pStyle w:val="BodyText"/>
        <w:spacing w:line="276" w:lineRule="auto"/>
        <w:ind w:left="164" w:right="40" w:firstLine="360"/>
        <w:rPr>
          <w:rFonts w:asciiTheme="majorHAnsi" w:hAnsiTheme="majorHAnsi"/>
        </w:rPr>
      </w:pPr>
      <w:r>
        <w:t>Clinically, the findings support the importance of lipid-profile assessment as part of CHD risk stratification. Therapeutic priorities should remain centered on LDL lowering because the causal and interventional evidence is strongest for LDL (Dimitriadis et al., 2024). In high-risk patients, more intensive LDL control may provide benefits for plaque burden and stability, whereas HDL-C should be positioned as a component of risk assessment rather than as a stand-alone therapeutic target. Adding non-HDL-C, ApoB, triglycerides, remnant cholesterol, and Lp(a) to patient evaluation may provide more comprehensive risk characterization.</w:t>
      </w:r>
    </w:p>
    <w:p w14:paraId="6D8FC4A4" w14:textId="77777777" w:rsidR="00C77999" w:rsidRPr="00C77999" w:rsidRDefault="00C77999" w:rsidP="0057412E">
      <w:pPr>
        <w:pStyle w:val="BodyText"/>
        <w:spacing w:line="276" w:lineRule="auto"/>
        <w:ind w:left="164" w:right="40" w:firstLine="360"/>
        <w:rPr>
          <w:rFonts w:asciiTheme="majorHAnsi" w:hAnsiTheme="majorHAnsi"/>
        </w:rPr>
      </w:pPr>
      <w:r>
        <w:t xml:space="preserve">This study has several limitations. The retrospective cross-sectional design does not allow determination of temporal sequence and therefore cannot confirm that lipid changes preceded the development of CHD. Only 56 patients were analyzed from 550 screened medical records, so the possibility of selection bias </w:t>
      </w:r>
      <w:r>
        <w:t>and limited generalizability should be considered. The wide OR confidence intervals also indicate limited precision of the estimates, and the findings are therefore more appropriately viewed as preliminary evidence requiring confirmation.</w:t>
      </w:r>
    </w:p>
    <w:p w14:paraId="3F77AA09" w14:textId="12898467" w:rsidR="00C77999" w:rsidRPr="00C77999" w:rsidRDefault="00C77999" w:rsidP="0057412E">
      <w:pPr>
        <w:pStyle w:val="BodyText"/>
        <w:spacing w:line="276" w:lineRule="auto"/>
        <w:ind w:left="164" w:right="40" w:firstLine="360"/>
        <w:rPr>
          <w:rFonts w:asciiTheme="majorHAnsi" w:hAnsiTheme="majorHAnsi"/>
        </w:rPr>
      </w:pPr>
      <w:r>
        <w:t>Another important limitation is the absence of multivariable regression. Factors such as hypertension, smoking, renal function, physical activity, diet, family history, and socioeconomic conditions were not controlled simultaneously; therefore, the reported ORs are crude ORs and cannot be used to infer independent effects of HDL or LDL. Future studies should use prospective or case-control designs with larger sample sizes, multivariable analysis, and a broader range of lipid indicators. Li et al. (2023) showed that discordance between lipid and apolipoprotein measures can influence prediction of myocardial infarction in statin-treated patients with CAD; therefore, future studies in the local population should include ApoB, non-HDL-C, the LDL-C/HDL-C ratio, remnant cholesterol, VLDL-C, and Lp(a) to obtain more accurate risk estimates.</w:t>
      </w:r>
    </w:p>
    <w:p w14:paraId="33FE1BA8" w14:textId="77777777" w:rsidR="00C77999" w:rsidRPr="003444AD" w:rsidRDefault="00C77999" w:rsidP="0057412E">
      <w:pPr>
        <w:pStyle w:val="BodyText"/>
        <w:spacing w:line="276" w:lineRule="auto"/>
        <w:ind w:left="164" w:right="40" w:firstLine="567"/>
        <w:rPr>
          <w:rFonts w:asciiTheme="majorHAnsi" w:hAnsiTheme="majorHAnsi"/>
        </w:rPr>
      </w:pPr>
    </w:p>
    <w:p w14:paraId="401BEBC3" w14:textId="77777777" w:rsidR="00E8702A" w:rsidRPr="003444AD" w:rsidRDefault="000E1093" w:rsidP="0057412E">
      <w:pPr>
        <w:pStyle w:val="Heading1"/>
        <w:spacing w:line="276" w:lineRule="auto"/>
        <w:rPr>
          <w:rFonts w:asciiTheme="majorHAnsi" w:hAnsiTheme="majorHAnsi"/>
        </w:rPr>
      </w:pPr>
      <w:r>
        <w:t>CONCLUSION</w:t>
      </w:r>
    </w:p>
    <w:p w14:paraId="7F9A10F9" w14:textId="241AB42E" w:rsidR="00E8702A" w:rsidRPr="003444AD" w:rsidRDefault="00C1695E" w:rsidP="0057412E">
      <w:pPr>
        <w:pStyle w:val="BodyText"/>
        <w:spacing w:line="276" w:lineRule="auto"/>
        <w:ind w:left="164" w:right="40" w:firstLine="567"/>
        <w:rPr>
          <w:rFonts w:asciiTheme="majorHAnsi" w:hAnsiTheme="majorHAnsi"/>
        </w:rPr>
      </w:pPr>
      <w:r>
        <w:t xml:space="preserve">Among patients at the Cardiology Clinic of Bahteramas Regional General Hospital who met the study criteria, low HDL was associated with CHD (p=0.003; crude OR=8.17; 95% CI 2.37-28.16), and high LDL was associated with CHD (p=0.002; crude OR=8.67; 95% CI 2.54-29.60). The findings indicate a strong atherogenic lipid pattern in the CHD group, but they do not establish causality or demonstrate independent effects </w:t>
      </w:r>
      <w:r>
        <w:lastRenderedPageBreak/>
        <w:t>because multivariable analysis was not performed.</w:t>
      </w:r>
    </w:p>
    <w:p w14:paraId="548A29BA" w14:textId="77777777" w:rsidR="00E8702A" w:rsidRPr="003444AD" w:rsidRDefault="000E1093" w:rsidP="0057412E">
      <w:pPr>
        <w:pStyle w:val="Heading1"/>
        <w:spacing w:line="276" w:lineRule="auto"/>
        <w:ind w:left="177"/>
        <w:rPr>
          <w:rFonts w:asciiTheme="majorHAnsi" w:hAnsiTheme="majorHAnsi"/>
        </w:rPr>
      </w:pPr>
      <w:r>
        <w:t>RECOMMENDATIONS</w:t>
      </w:r>
    </w:p>
    <w:p w14:paraId="536F956B" w14:textId="77777777" w:rsidR="00E8702A" w:rsidRPr="003444AD" w:rsidRDefault="00C1695E" w:rsidP="0057412E">
      <w:pPr>
        <w:pStyle w:val="BodyText"/>
        <w:spacing w:line="276" w:lineRule="auto"/>
        <w:ind w:left="164" w:right="40" w:firstLine="567"/>
        <w:rPr>
          <w:rFonts w:asciiTheme="majorHAnsi" w:hAnsiTheme="majorHAnsi"/>
        </w:rPr>
      </w:pPr>
      <w:r>
        <w:t>Bahteramas Regional General Hospital is advised to strengthen the completeness of documentation on lipid profiles and cardiovascular risk factors in medical records to support clinical evaluation and future research.</w:t>
      </w:r>
    </w:p>
    <w:p w14:paraId="7AC40355" w14:textId="77777777" w:rsidR="00C1695E" w:rsidRPr="003444AD" w:rsidRDefault="00C1695E" w:rsidP="0057412E">
      <w:pPr>
        <w:pStyle w:val="BodyText"/>
        <w:spacing w:line="276" w:lineRule="auto"/>
        <w:ind w:left="164" w:right="40" w:firstLine="567"/>
        <w:rPr>
          <w:rFonts w:asciiTheme="majorHAnsi" w:hAnsiTheme="majorHAnsi"/>
        </w:rPr>
      </w:pPr>
      <w:r>
        <w:t>In clinical practice, LDL-C should remain the primary target for dyslipidemia control, whereas HDL-C should be used as part of comprehensive cardiovascular risk assessment rather than as a stand-alone therapeutic target.</w:t>
      </w:r>
    </w:p>
    <w:p w14:paraId="4CC0CF6F" w14:textId="77777777" w:rsidR="00C1695E" w:rsidRPr="003444AD" w:rsidRDefault="00C1695E" w:rsidP="0057412E">
      <w:pPr>
        <w:pStyle w:val="BodyText"/>
        <w:spacing w:line="276" w:lineRule="auto"/>
        <w:ind w:left="164" w:right="40" w:firstLine="567"/>
        <w:rPr>
          <w:rFonts w:asciiTheme="majorHAnsi" w:hAnsiTheme="majorHAnsi"/>
        </w:rPr>
      </w:pPr>
      <w:r>
        <w:t>Future studies are recommended to use larger samples, prospective or case-control designs, multivariable regression analysis, and additional lipid indicators such as the LDL-C/HDL-C ratio, non-HDL-C, ApoB, remnant cholesterol, and Lp(a). The classification of HDL values of 40-59 mg/dL and LDL values of 100-129 mg/dL, as well as the ethics approval number, should also be confirmed in the final manuscript.</w:t>
      </w:r>
    </w:p>
    <w:p w14:paraId="0D77A0BB" w14:textId="77777777" w:rsidR="003444AD" w:rsidRPr="003444AD" w:rsidRDefault="000E1093" w:rsidP="0057412E">
      <w:pPr>
        <w:pStyle w:val="Heading1"/>
        <w:spacing w:line="276" w:lineRule="auto"/>
        <w:rPr>
          <w:rFonts w:asciiTheme="majorHAnsi" w:hAnsiTheme="majorHAnsi"/>
          <w:b w:val="0"/>
          <w:bCs w:val="0"/>
        </w:rPr>
      </w:pPr>
      <w:r>
        <w:t>REFERENCES</w:t>
      </w:r>
    </w:p>
    <w:p w14:paraId="1254E5D1" w14:textId="19873D3B" w:rsidR="00706669" w:rsidRPr="00706669" w:rsidRDefault="003444AD" w:rsidP="00706669">
      <w:pPr>
        <w:adjustRightInd w:val="0"/>
        <w:spacing w:before="42" w:after="50"/>
        <w:ind w:left="731" w:right="40" w:hanging="567"/>
        <w:jc w:val="both"/>
        <w:rPr>
          <w:rFonts w:cs="Times New Roman"/>
          <w:noProof/>
          <w:sz w:val="24"/>
        </w:rPr>
      </w:pPr>
      <w:r w:rsidRPr="003444AD">
        <w:rPr>
          <w:rFonts w:asciiTheme="majorHAnsi" w:hAnsiTheme="majorHAnsi"/>
          <w:sz w:val="24"/>
          <w:szCs w:val="24"/>
        </w:rPr>
        <w:fldChar w:fldCharType="begin" w:fldLock="1"/>
      </w:r>
      <w:r w:rsidRPr="003444AD">
        <w:rPr>
          <w:rFonts w:asciiTheme="majorHAnsi" w:hAnsiTheme="majorHAnsi"/>
          <w:sz w:val="24"/>
          <w:szCs w:val="24"/>
        </w:rPr>
        <w:instrText xml:space="preserve">ADDIN Mendeley Bibliography CSL_BIBLIOGRAPHY </w:instrText>
      </w:r>
      <w:r w:rsidRPr="003444AD">
        <w:rPr>
          <w:rFonts w:asciiTheme="majorHAnsi" w:hAnsiTheme="majorHAnsi"/>
          <w:sz w:val="24"/>
          <w:szCs w:val="24"/>
        </w:rPr>
        <w:fldChar w:fldCharType="separate"/>
      </w:r>
      <w:r w:rsidR="00706669" w:rsidRPr="00706669">
        <w:rPr>
          <w:rFonts w:cs="Times New Roman"/>
          <w:noProof/>
          <w:sz w:val="24"/>
        </w:rPr>
        <w:t xml:space="preserve">Berro Rivera, F., Cha, S. W., Varona, M. C., Co, E. M. F., Magalong, J. V, Aparece, J. P., De Oliveira-Gomes, D., Kaur, G., &amp; Gulati, M. (2024). Atherosclerotic coronary plaque regression from lipid-lowering therapies: A meta-analysis and meta-regression. </w:t>
      </w:r>
      <w:r w:rsidR="00706669" w:rsidRPr="00706669">
        <w:rPr>
          <w:rFonts w:cs="Times New Roman"/>
          <w:i/>
          <w:iCs/>
          <w:noProof/>
          <w:sz w:val="24"/>
        </w:rPr>
        <w:t>American Journal of Preventive Cardiology</w:t>
      </w:r>
      <w:r w:rsidR="00706669" w:rsidRPr="00706669">
        <w:rPr>
          <w:rFonts w:cs="Times New Roman"/>
          <w:noProof/>
          <w:sz w:val="24"/>
        </w:rPr>
        <w:t xml:space="preserve">, </w:t>
      </w:r>
      <w:r w:rsidR="00706669" w:rsidRPr="00706669">
        <w:rPr>
          <w:rFonts w:cs="Times New Roman"/>
          <w:i/>
          <w:iCs/>
          <w:noProof/>
          <w:sz w:val="24"/>
        </w:rPr>
        <w:t>18</w:t>
      </w:r>
      <w:r w:rsidR="00706669" w:rsidRPr="00706669">
        <w:rPr>
          <w:rFonts w:cs="Times New Roman"/>
          <w:noProof/>
          <w:sz w:val="24"/>
        </w:rPr>
        <w:t>, 100645. https://doi.org/10.1016/j.ajpc.2024.100645</w:t>
      </w:r>
    </w:p>
    <w:p w14:paraId="5E0147C9"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Bian, X., Zhang, Y., Shao, M., Li, J., Ge, J., Li, Z., Peng, H., &amp; Zhang, M. (2024). Remnant cholesterol and risk of major adverse cardiovascular events: A systematic review and dose-response meta-analysis of </w:t>
      </w:r>
      <w:r w:rsidRPr="00706669">
        <w:rPr>
          <w:rFonts w:cs="Times New Roman"/>
          <w:noProof/>
          <w:sz w:val="24"/>
        </w:rPr>
        <w:t xml:space="preserve">cohort studies.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(5), 413–421. https://doi.org/10.1097/MCA.0000000000001361</w:t>
      </w:r>
    </w:p>
    <w:p w14:paraId="722BC11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Cheng, W., Rosolowski, M., Boettner, J., Desch, S., Jobs, A., Thiele, H., &amp; Buettner, P. (2022). High-density lipoprotein cholesterol efflux capacity and incidence of coronary artery disease and cardiovascular mortality: A systematic review and meta-analysis. </w:t>
      </w:r>
      <w:r w:rsidRPr="00706669">
        <w:rPr>
          <w:rFonts w:cs="Times New Roman"/>
          <w:i/>
          <w:iCs/>
          <w:noProof/>
          <w:sz w:val="24"/>
        </w:rPr>
        <w:t>Lipids in Health and Disease</w:t>
      </w:r>
      <w:r w:rsidRPr="00706669">
        <w:rPr>
          <w:rFonts w:cs="Times New Roman"/>
          <w:noProof/>
          <w:sz w:val="24"/>
        </w:rPr>
        <w:t xml:space="preserve">, </w:t>
      </w:r>
      <w:r w:rsidRPr="00706669">
        <w:rPr>
          <w:rFonts w:cs="Times New Roman"/>
          <w:i/>
          <w:iCs/>
          <w:noProof/>
          <w:sz w:val="24"/>
        </w:rPr>
        <w:t>21</w:t>
      </w:r>
      <w:r w:rsidRPr="00706669">
        <w:rPr>
          <w:rFonts w:cs="Times New Roman"/>
          <w:noProof/>
          <w:sz w:val="24"/>
        </w:rPr>
        <w:t>, 47. https://doi.org/10.1186/s12944-022-01657-3</w:t>
      </w:r>
    </w:p>
    <w:p w14:paraId="139B456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Cho, K.-H. (2022). The current status of research on high-density lipoproteins (HDL): a paradigm shift from HDL quantity to HDL quality and HDL functionality. </w:t>
      </w:r>
      <w:r w:rsidRPr="00706669">
        <w:rPr>
          <w:rFonts w:cs="Times New Roman"/>
          <w:i/>
          <w:iCs/>
          <w:noProof/>
          <w:sz w:val="24"/>
        </w:rPr>
        <w:t>International Journal of Molecular Sciences</w:t>
      </w:r>
      <w:r w:rsidRPr="00706669">
        <w:rPr>
          <w:rFonts w:cs="Times New Roman"/>
          <w:noProof/>
          <w:sz w:val="24"/>
        </w:rPr>
        <w:t xml:space="preserve">, </w:t>
      </w:r>
      <w:r w:rsidRPr="00706669">
        <w:rPr>
          <w:rFonts w:cs="Times New Roman"/>
          <w:i/>
          <w:iCs/>
          <w:noProof/>
          <w:sz w:val="24"/>
        </w:rPr>
        <w:t>23</w:t>
      </w:r>
      <w:r w:rsidRPr="00706669">
        <w:rPr>
          <w:rFonts w:cs="Times New Roman"/>
          <w:noProof/>
          <w:sz w:val="24"/>
        </w:rPr>
        <w:t>(7), 3967. https://doi.org/10.3390/ijms23073967</w:t>
      </w:r>
    </w:p>
    <w:p w14:paraId="46C172BA"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Dawson, L. P., Lum, M., Nerleker, N., Nicholls, S. J., &amp; Layland, J. (2022). Coronary atherosclerotic plaque regression: JACC state-of-the-art review. </w:t>
      </w:r>
      <w:r w:rsidRPr="00706669">
        <w:rPr>
          <w:rFonts w:cs="Times New Roman"/>
          <w:i/>
          <w:iCs/>
          <w:noProof/>
          <w:sz w:val="24"/>
        </w:rPr>
        <w:t>Journal of the American College of Cardiology</w:t>
      </w:r>
      <w:r w:rsidRPr="00706669">
        <w:rPr>
          <w:rFonts w:cs="Times New Roman"/>
          <w:noProof/>
          <w:sz w:val="24"/>
        </w:rPr>
        <w:t xml:space="preserve">, </w:t>
      </w:r>
      <w:r w:rsidRPr="00706669">
        <w:rPr>
          <w:rFonts w:cs="Times New Roman"/>
          <w:i/>
          <w:iCs/>
          <w:noProof/>
          <w:sz w:val="24"/>
        </w:rPr>
        <w:t>79</w:t>
      </w:r>
      <w:r w:rsidRPr="00706669">
        <w:rPr>
          <w:rFonts w:cs="Times New Roman"/>
          <w:noProof/>
          <w:sz w:val="24"/>
        </w:rPr>
        <w:t>(1), 66–82. https://doi.org/10.1016/j.jacc.2021.10.035</w:t>
      </w:r>
    </w:p>
    <w:p w14:paraId="065B374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Di Giovanni, G., &amp; Nicholls, S. J. (2022). Intensive lipid lowering agents and coronary atherosclerosis: Insights from intravascular imaging. </w:t>
      </w:r>
      <w:r w:rsidRPr="00706669">
        <w:rPr>
          <w:rFonts w:cs="Times New Roman"/>
          <w:i/>
          <w:iCs/>
          <w:noProof/>
          <w:sz w:val="24"/>
        </w:rPr>
        <w:t>American Journal of Preventive Cardiology</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 100366. https://doi.org/10.1016/j.ajpc.2022.100366</w:t>
      </w:r>
    </w:p>
    <w:p w14:paraId="7464028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Dimitriadis, K., Theofilis, P., Iliakis, P., Pyrpyris, N., Dri, E., Sakalidis, A., Soulaidopoulos, S., Tsioufis, P., Fragkoulis, C., Chrysohoou, C., &amp; others. (2024). Management of dyslipidemia in coronary artery disease: the present and the future.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(6), 516–</w:t>
      </w:r>
      <w:r w:rsidRPr="00706669">
        <w:rPr>
          <w:rFonts w:cs="Times New Roman"/>
          <w:noProof/>
          <w:sz w:val="24"/>
        </w:rPr>
        <w:lastRenderedPageBreak/>
        <w:t>524. https://doi.org/10.1097/MCA.0000000000001375</w:t>
      </w:r>
    </w:p>
    <w:p w14:paraId="3BC27C57"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Endo, Y., Fujita, M., &amp; Ikewaki, K. (2023). HDL Functions—Current Status and Future Perspectives. </w:t>
      </w:r>
      <w:r w:rsidRPr="00706669">
        <w:rPr>
          <w:rFonts w:cs="Times New Roman"/>
          <w:i/>
          <w:iCs/>
          <w:noProof/>
          <w:sz w:val="24"/>
        </w:rPr>
        <w:t>Biomolecules</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(1), 105. https://doi.org/10.3390/biom13010105</w:t>
      </w:r>
    </w:p>
    <w:p w14:paraId="2F28FA89"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Gaggini, M., Gorini, F., &amp; Vassalle, C. (2022). Lipids in atherosclerosis: pathophysiology and the role of calculated lipid indices in assessing cardiovascular risk in patients with hyperlipidemia. </w:t>
      </w:r>
      <w:r w:rsidRPr="00706669">
        <w:rPr>
          <w:rFonts w:cs="Times New Roman"/>
          <w:i/>
          <w:iCs/>
          <w:noProof/>
          <w:sz w:val="24"/>
        </w:rPr>
        <w:t>International Journal of Molecular Sciences</w:t>
      </w:r>
      <w:r w:rsidRPr="00706669">
        <w:rPr>
          <w:rFonts w:cs="Times New Roman"/>
          <w:noProof/>
          <w:sz w:val="24"/>
        </w:rPr>
        <w:t xml:space="preserve">, </w:t>
      </w:r>
      <w:r w:rsidRPr="00706669">
        <w:rPr>
          <w:rFonts w:cs="Times New Roman"/>
          <w:i/>
          <w:iCs/>
          <w:noProof/>
          <w:sz w:val="24"/>
        </w:rPr>
        <w:t>24</w:t>
      </w:r>
      <w:r w:rsidRPr="00706669">
        <w:rPr>
          <w:rFonts w:cs="Times New Roman"/>
          <w:noProof/>
          <w:sz w:val="24"/>
        </w:rPr>
        <w:t>(1), 75. https://doi.org/10.3390/ijms24010075</w:t>
      </w:r>
    </w:p>
    <w:p w14:paraId="522026F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Gao, S., Xu, H., Ma, W., Yuan, J., &amp; Yu, M. (2022). Remnant cholesterol predicts risk of cardiovascular events in patients with myocardial infarction with nonobstructive coronary arteries. </w:t>
      </w:r>
      <w:r w:rsidRPr="00706669">
        <w:rPr>
          <w:rFonts w:cs="Times New Roman"/>
          <w:i/>
          <w:iCs/>
          <w:noProof/>
          <w:sz w:val="24"/>
        </w:rPr>
        <w:t>Journal of the American Heart Association</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(10), e024366. https://doi.org/10.1161/JAHA.121.024366</w:t>
      </w:r>
    </w:p>
    <w:p w14:paraId="3682EF3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Goh, L. H., Chong, B., van der Lubbe, S. C. C., Jayabaskaran, J., Nagarajan, S., Chia, J., Johnson, C. O., Dai, X., Valderas, J. M., Aji, B., &amp; others. (2025). The epidemiology and burden of cardiovascular diseases in countries of the Association of Southeast Asian Nations (ASEAN), 1990--2021: findings from the Global Burden of Disease Study 2021. </w:t>
      </w:r>
      <w:r w:rsidRPr="00706669">
        <w:rPr>
          <w:rFonts w:cs="Times New Roman"/>
          <w:i/>
          <w:iCs/>
          <w:noProof/>
          <w:sz w:val="24"/>
        </w:rPr>
        <w:t>The Lancet Public Health</w:t>
      </w:r>
      <w:r w:rsidRPr="00706669">
        <w:rPr>
          <w:rFonts w:cs="Times New Roman"/>
          <w:noProof/>
          <w:sz w:val="24"/>
        </w:rPr>
        <w:t xml:space="preserve">, </w:t>
      </w:r>
      <w:r w:rsidRPr="00706669">
        <w:rPr>
          <w:rFonts w:cs="Times New Roman"/>
          <w:i/>
          <w:iCs/>
          <w:noProof/>
          <w:sz w:val="24"/>
        </w:rPr>
        <w:t>10</w:t>
      </w:r>
      <w:r w:rsidRPr="00706669">
        <w:rPr>
          <w:rFonts w:cs="Times New Roman"/>
          <w:noProof/>
          <w:sz w:val="24"/>
        </w:rPr>
        <w:t>(6), e467--e479.</w:t>
      </w:r>
    </w:p>
    <w:p w14:paraId="581F56D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Hakim, D. I., Qhabibi, F. R., Yusuf, M., Amar, N., Prasetya, I., &amp; Ambari, A. M. (2024). Safety and efficacy of PCSK9 inhibitors and effect on coronary plaque phenotype in statin-treated patients following acute coronary syndrome: A systematic review and meta-analysis. </w:t>
      </w:r>
      <w:r w:rsidRPr="00706669">
        <w:rPr>
          <w:rFonts w:cs="Times New Roman"/>
          <w:i/>
          <w:iCs/>
          <w:noProof/>
          <w:sz w:val="24"/>
        </w:rPr>
        <w:t xml:space="preserve">The Egyptian Heart </w:t>
      </w:r>
      <w:r w:rsidRPr="00706669">
        <w:rPr>
          <w:rFonts w:cs="Times New Roman"/>
          <w:i/>
          <w:iCs/>
          <w:noProof/>
          <w:sz w:val="24"/>
        </w:rPr>
        <w:t>Journal</w:t>
      </w:r>
      <w:r w:rsidRPr="00706669">
        <w:rPr>
          <w:rFonts w:cs="Times New Roman"/>
          <w:noProof/>
          <w:sz w:val="24"/>
        </w:rPr>
        <w:t xml:space="preserve">, </w:t>
      </w:r>
      <w:r w:rsidRPr="00706669">
        <w:rPr>
          <w:rFonts w:cs="Times New Roman"/>
          <w:i/>
          <w:iCs/>
          <w:noProof/>
          <w:sz w:val="24"/>
        </w:rPr>
        <w:t>76</w:t>
      </w:r>
      <w:r w:rsidRPr="00706669">
        <w:rPr>
          <w:rFonts w:cs="Times New Roman"/>
          <w:noProof/>
          <w:sz w:val="24"/>
        </w:rPr>
        <w:t>(1), 135. https://doi.org/10.1186/s43044-024-00567-2</w:t>
      </w:r>
    </w:p>
    <w:p w14:paraId="45532B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Harmadha, W. S. P., Muharram, F. R., Gaspar, R. S., Azimuth, Z., Sulistya, H. A., Firmansyah, F., Multazam, C. E. C. Z., Harits, M., &amp; Putra, R. M. (2023). Explaining the increase of incidence and mortality from cardiovascular disease in Indonesia: A global burden of disease study analysis (2000--2019). </w:t>
      </w:r>
      <w:r w:rsidRPr="00706669">
        <w:rPr>
          <w:rFonts w:cs="Times New Roman"/>
          <w:i/>
          <w:iCs/>
          <w:noProof/>
          <w:sz w:val="24"/>
        </w:rPr>
        <w:t>PLoS One</w:t>
      </w:r>
      <w:r w:rsidRPr="00706669">
        <w:rPr>
          <w:rFonts w:cs="Times New Roman"/>
          <w:noProof/>
          <w:sz w:val="24"/>
        </w:rPr>
        <w:t xml:space="preserve">, </w:t>
      </w:r>
      <w:r w:rsidRPr="00706669">
        <w:rPr>
          <w:rFonts w:cs="Times New Roman"/>
          <w:i/>
          <w:iCs/>
          <w:noProof/>
          <w:sz w:val="24"/>
        </w:rPr>
        <w:t>18</w:t>
      </w:r>
      <w:r w:rsidRPr="00706669">
        <w:rPr>
          <w:rFonts w:cs="Times New Roman"/>
          <w:noProof/>
          <w:sz w:val="24"/>
        </w:rPr>
        <w:t>(12), e0294128. https://doi.org/10.1371/journal.pone.0294128</w:t>
      </w:r>
    </w:p>
    <w:p w14:paraId="22B407B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Hu, S., Fan, H., Zhang, S., Chen, C., You, Y., Wang, C., Li, J., Luo, L., Cheng, Y., Zhou, M., &amp; others. (2024). Association of LDL-C/HDL-C ratio with coronary heart disease: A meta-analysis. </w:t>
      </w:r>
      <w:r w:rsidRPr="00706669">
        <w:rPr>
          <w:rFonts w:cs="Times New Roman"/>
          <w:i/>
          <w:iCs/>
          <w:noProof/>
          <w:sz w:val="24"/>
        </w:rPr>
        <w:t>Indian Heart Journal</w:t>
      </w:r>
      <w:r w:rsidRPr="00706669">
        <w:rPr>
          <w:rFonts w:cs="Times New Roman"/>
          <w:noProof/>
          <w:sz w:val="24"/>
        </w:rPr>
        <w:t xml:space="preserve">, </w:t>
      </w:r>
      <w:r w:rsidRPr="00706669">
        <w:rPr>
          <w:rFonts w:cs="Times New Roman"/>
          <w:i/>
          <w:iCs/>
          <w:noProof/>
          <w:sz w:val="24"/>
        </w:rPr>
        <w:t>76</w:t>
      </w:r>
      <w:r w:rsidRPr="00706669">
        <w:rPr>
          <w:rFonts w:cs="Times New Roman"/>
          <w:noProof/>
          <w:sz w:val="24"/>
        </w:rPr>
        <w:t>(2), 79–85. https://doi.org/10.1016/j.ihj.2024.01.014</w:t>
      </w:r>
    </w:p>
    <w:p w14:paraId="6F98213C"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Kim, C.-W., Hong, S., Chang, Y., Lee, J. A., Shin, H., &amp; Ryu, S. (2021). Discordance between apolipoprotein B and low-density lipoprotein cholesterol and progression of coronary artery calcification in middle age. </w:t>
      </w:r>
      <w:r w:rsidRPr="00706669">
        <w:rPr>
          <w:rFonts w:cs="Times New Roman"/>
          <w:i/>
          <w:iCs/>
          <w:noProof/>
          <w:sz w:val="24"/>
        </w:rPr>
        <w:t>Circulation Journal</w:t>
      </w:r>
      <w:r w:rsidRPr="00706669">
        <w:rPr>
          <w:rFonts w:cs="Times New Roman"/>
          <w:noProof/>
          <w:sz w:val="24"/>
        </w:rPr>
        <w:t xml:space="preserve">, </w:t>
      </w:r>
      <w:r w:rsidRPr="00706669">
        <w:rPr>
          <w:rFonts w:cs="Times New Roman"/>
          <w:i/>
          <w:iCs/>
          <w:noProof/>
          <w:sz w:val="24"/>
        </w:rPr>
        <w:t>85</w:t>
      </w:r>
      <w:r w:rsidRPr="00706669">
        <w:rPr>
          <w:rFonts w:cs="Times New Roman"/>
          <w:noProof/>
          <w:sz w:val="24"/>
        </w:rPr>
        <w:t>(6), 900–907. https://doi.org/10.1253/circj.CJ-20-0692</w:t>
      </w:r>
    </w:p>
    <w:p w14:paraId="3A3FF8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Kjeldsen, E. W., Thomassen, J. Q., &amp; Frikke-Schmidt, R. (2022). HDL cholesterol concentrations and risk of atherosclerotic cardiovascular disease--Insights from randomized clinical trials and human genetics. </w:t>
      </w:r>
      <w:r w:rsidRPr="00706669">
        <w:rPr>
          <w:rFonts w:cs="Times New Roman"/>
          <w:i/>
          <w:iCs/>
          <w:noProof/>
          <w:sz w:val="24"/>
        </w:rPr>
        <w:t>Biochimica et Biophysica Acta (BBA)-Molecular and Cell Biology of Lipids</w:t>
      </w:r>
      <w:r w:rsidRPr="00706669">
        <w:rPr>
          <w:rFonts w:cs="Times New Roman"/>
          <w:noProof/>
          <w:sz w:val="24"/>
        </w:rPr>
        <w:t xml:space="preserve">, </w:t>
      </w:r>
      <w:r w:rsidRPr="00706669">
        <w:rPr>
          <w:rFonts w:cs="Times New Roman"/>
          <w:i/>
          <w:iCs/>
          <w:noProof/>
          <w:sz w:val="24"/>
        </w:rPr>
        <w:t>1867</w:t>
      </w:r>
      <w:r w:rsidRPr="00706669">
        <w:rPr>
          <w:rFonts w:cs="Times New Roman"/>
          <w:noProof/>
          <w:sz w:val="24"/>
        </w:rPr>
        <w:t>(1), 159063. https://doi.org/10.1016/j.bbalip.2021.159063</w:t>
      </w:r>
    </w:p>
    <w:p w14:paraId="4328653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Kronenberg, F., Mora, S., Stroes, E. S. G., Ference, B. A., Arsenault, B. J., Berglund, L., Dweck, M. R., </w:t>
      </w:r>
      <w:r w:rsidRPr="00706669">
        <w:rPr>
          <w:rFonts w:cs="Times New Roman"/>
          <w:noProof/>
          <w:sz w:val="24"/>
        </w:rPr>
        <w:lastRenderedPageBreak/>
        <w:t xml:space="preserve">Koschinsky, M., Lambert, G., Mach, F., &amp; others. (2022). Lipoprotein (a) in atherosclerotic cardiovascular disease and aortic stenosis: a European Atherosclerosis Society consensus statement. </w:t>
      </w:r>
      <w:r w:rsidRPr="00706669">
        <w:rPr>
          <w:rFonts w:cs="Times New Roman"/>
          <w:i/>
          <w:iCs/>
          <w:noProof/>
          <w:sz w:val="24"/>
        </w:rPr>
        <w:t>European Heart Journal</w:t>
      </w:r>
      <w:r w:rsidRPr="00706669">
        <w:rPr>
          <w:rFonts w:cs="Times New Roman"/>
          <w:noProof/>
          <w:sz w:val="24"/>
        </w:rPr>
        <w:t xml:space="preserve">, </w:t>
      </w:r>
      <w:r w:rsidRPr="00706669">
        <w:rPr>
          <w:rFonts w:cs="Times New Roman"/>
          <w:i/>
          <w:iCs/>
          <w:noProof/>
          <w:sz w:val="24"/>
        </w:rPr>
        <w:t>43</w:t>
      </w:r>
      <w:r w:rsidRPr="00706669">
        <w:rPr>
          <w:rFonts w:cs="Times New Roman"/>
          <w:noProof/>
          <w:sz w:val="24"/>
        </w:rPr>
        <w:t>(39), 3925–3946. https://doi.org/10.1093/eurheartj/ehac361</w:t>
      </w:r>
    </w:p>
    <w:p w14:paraId="7FBF25B2"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Lee, J. J., Chi, G., Fitzgerald, C., Kazmi, S. H. A., Kalayci, A., Korjian, S., Duffy, D., Shaunik, A., Kingwell, B., Yeh, R. W., Bhatt, D. L., &amp; Gibson, C. M. (2021). Cholesterol efflux capacity and its association with adverse cardiovascular events: A systematic review and meta-analysis. </w:t>
      </w:r>
      <w:r w:rsidRPr="00706669">
        <w:rPr>
          <w:rFonts w:cs="Times New Roman"/>
          <w:i/>
          <w:iCs/>
          <w:noProof/>
          <w:sz w:val="24"/>
        </w:rPr>
        <w:t>Frontiers in Cardiovascular Medicine</w:t>
      </w:r>
      <w:r w:rsidRPr="00706669">
        <w:rPr>
          <w:rFonts w:cs="Times New Roman"/>
          <w:noProof/>
          <w:sz w:val="24"/>
        </w:rPr>
        <w:t xml:space="preserve">, </w:t>
      </w:r>
      <w:r w:rsidRPr="00706669">
        <w:rPr>
          <w:rFonts w:cs="Times New Roman"/>
          <w:i/>
          <w:iCs/>
          <w:noProof/>
          <w:sz w:val="24"/>
        </w:rPr>
        <w:t>8</w:t>
      </w:r>
      <w:r w:rsidRPr="00706669">
        <w:rPr>
          <w:rFonts w:cs="Times New Roman"/>
          <w:noProof/>
          <w:sz w:val="24"/>
        </w:rPr>
        <w:t>, 774418. https://doi.org/10.3389/fcvm.2021.774418</w:t>
      </w:r>
    </w:p>
    <w:p w14:paraId="63162B80"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Li, T.-Y., Zhu, P., Song, Y., Tang, X.-F., Gao, Z., Gao, R.-L., &amp; Yuan, J.-Q. (2023). Discordance analysis for apolipoprotein and lipid measures for predicting myocardial infarction in statin-treated patients with coronary artery disease: A cohort study. </w:t>
      </w:r>
      <w:r w:rsidRPr="00706669">
        <w:rPr>
          <w:rFonts w:cs="Times New Roman"/>
          <w:i/>
          <w:iCs/>
          <w:noProof/>
          <w:sz w:val="24"/>
        </w:rPr>
        <w:t>Journal of Geriatric Cardiology</w:t>
      </w:r>
      <w:r w:rsidRPr="00706669">
        <w:rPr>
          <w:rFonts w:cs="Times New Roman"/>
          <w:noProof/>
          <w:sz w:val="24"/>
        </w:rPr>
        <w:t xml:space="preserve">, </w:t>
      </w:r>
      <w:r w:rsidRPr="00706669">
        <w:rPr>
          <w:rFonts w:cs="Times New Roman"/>
          <w:i/>
          <w:iCs/>
          <w:noProof/>
          <w:sz w:val="24"/>
        </w:rPr>
        <w:t>20</w:t>
      </w:r>
      <w:r w:rsidRPr="00706669">
        <w:rPr>
          <w:rFonts w:cs="Times New Roman"/>
          <w:noProof/>
          <w:sz w:val="24"/>
        </w:rPr>
        <w:t>(12), 845–854. https://doi.org/10.26599/1671-5411.2023.12.001</w:t>
      </w:r>
    </w:p>
    <w:p w14:paraId="648FC7D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Li, Y., Deng, S., Liu, B., Yan, Y., Du, J., Li, Y., Jing, X., Liu, Y., Wang, J., Du, J., &amp; She, Q. (2021). The effects of lipid-lowering therapy on coronary plaque regression: A systematic review and meta-analysis. </w:t>
      </w:r>
      <w:r w:rsidRPr="00706669">
        <w:rPr>
          <w:rFonts w:cs="Times New Roman"/>
          <w:i/>
          <w:iCs/>
          <w:noProof/>
          <w:sz w:val="24"/>
        </w:rPr>
        <w:t>Scientific Reports</w:t>
      </w:r>
      <w:r w:rsidRPr="00706669">
        <w:rPr>
          <w:rFonts w:cs="Times New Roman"/>
          <w:noProof/>
          <w:sz w:val="24"/>
        </w:rPr>
        <w:t xml:space="preserve">, </w:t>
      </w:r>
      <w:r w:rsidRPr="00706669">
        <w:rPr>
          <w:rFonts w:cs="Times New Roman"/>
          <w:i/>
          <w:iCs/>
          <w:noProof/>
          <w:sz w:val="24"/>
        </w:rPr>
        <w:t>11</w:t>
      </w:r>
      <w:r w:rsidRPr="00706669">
        <w:rPr>
          <w:rFonts w:cs="Times New Roman"/>
          <w:noProof/>
          <w:sz w:val="24"/>
        </w:rPr>
        <w:t>, 7999. https://doi.org/10.1038/s41598-021-87528-w</w:t>
      </w:r>
    </w:p>
    <w:p w14:paraId="7AF30E2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Mensah, G. A., Fuster, V., Murray, C. J. L., Roth, G. A., Abate, Y. H., Abbasian, M., Abd-Allah, F., Abdollahi, A., Abdollahi, M., Abdulah, D. M., &amp; others. (2023). Global burden of cardiovascular diseases and risks, 1990-2022. </w:t>
      </w:r>
      <w:r w:rsidRPr="00706669">
        <w:rPr>
          <w:rFonts w:cs="Times New Roman"/>
          <w:i/>
          <w:iCs/>
          <w:noProof/>
          <w:sz w:val="24"/>
        </w:rPr>
        <w:t xml:space="preserve">Journal of the American </w:t>
      </w:r>
      <w:r w:rsidRPr="00706669">
        <w:rPr>
          <w:rFonts w:cs="Times New Roman"/>
          <w:i/>
          <w:iCs/>
          <w:noProof/>
          <w:sz w:val="24"/>
        </w:rPr>
        <w:t>College of Cardiology</w:t>
      </w:r>
      <w:r w:rsidRPr="00706669">
        <w:rPr>
          <w:rFonts w:cs="Times New Roman"/>
          <w:noProof/>
          <w:sz w:val="24"/>
        </w:rPr>
        <w:t xml:space="preserve">, </w:t>
      </w:r>
      <w:r w:rsidRPr="00706669">
        <w:rPr>
          <w:rFonts w:cs="Times New Roman"/>
          <w:i/>
          <w:iCs/>
          <w:noProof/>
          <w:sz w:val="24"/>
        </w:rPr>
        <w:t>82</w:t>
      </w:r>
      <w:r w:rsidRPr="00706669">
        <w:rPr>
          <w:rFonts w:cs="Times New Roman"/>
          <w:noProof/>
          <w:sz w:val="24"/>
        </w:rPr>
        <w:t>(25), 2350–2473. https://doi.org/10.1016/j.jacc.2023.11.007</w:t>
      </w:r>
    </w:p>
    <w:p w14:paraId="5972AFB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Mortensen, M. B., Dzaye, O., Bøtker, H. E., Jensen, J. M., Maeng, M., Bentzon, J. F., Kanstrup, H., Sørensen, H. T., Leipsic, J., Blankstein, R., &amp; others. (2023). Low-density lipoprotein cholesterol is predominantly associated with atherosclerotic cardiovascular disease events in patients with evidence of coronary atherosclerosis: the Western Denmark Heart Registry. </w:t>
      </w:r>
      <w:r w:rsidRPr="00706669">
        <w:rPr>
          <w:rFonts w:cs="Times New Roman"/>
          <w:i/>
          <w:iCs/>
          <w:noProof/>
          <w:sz w:val="24"/>
        </w:rPr>
        <w:t>Circulation</w:t>
      </w:r>
      <w:r w:rsidRPr="00706669">
        <w:rPr>
          <w:rFonts w:cs="Times New Roman"/>
          <w:noProof/>
          <w:sz w:val="24"/>
        </w:rPr>
        <w:t xml:space="preserve">, </w:t>
      </w:r>
      <w:r w:rsidRPr="00706669">
        <w:rPr>
          <w:rFonts w:cs="Times New Roman"/>
          <w:i/>
          <w:iCs/>
          <w:noProof/>
          <w:sz w:val="24"/>
        </w:rPr>
        <w:t>147</w:t>
      </w:r>
      <w:r w:rsidRPr="00706669">
        <w:rPr>
          <w:rFonts w:cs="Times New Roman"/>
          <w:noProof/>
          <w:sz w:val="24"/>
        </w:rPr>
        <w:t>(14), 1053–1063. https://doi.org/10.1161/CIRCULATIONAHA.122.061010</w:t>
      </w:r>
    </w:p>
    <w:p w14:paraId="1FCC7061"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Muharram, F. R., Multazam, C. E. C. Z., Mustofa, A., Socha, W., Andrianto, Martini, S., Aminde, L., &amp; Yi-Li, C. (2024). The 30 years of shifting in the Indonesian cardiovascular burden—analysis of the global burden of disease study. </w:t>
      </w:r>
      <w:r w:rsidRPr="00706669">
        <w:rPr>
          <w:rFonts w:cs="Times New Roman"/>
          <w:i/>
          <w:iCs/>
          <w:noProof/>
          <w:sz w:val="24"/>
        </w:rPr>
        <w:t>Journal of Epidemiology and Global Health</w:t>
      </w:r>
      <w:r w:rsidRPr="00706669">
        <w:rPr>
          <w:rFonts w:cs="Times New Roman"/>
          <w:noProof/>
          <w:sz w:val="24"/>
        </w:rPr>
        <w:t xml:space="preserve">, </w:t>
      </w:r>
      <w:r w:rsidRPr="00706669">
        <w:rPr>
          <w:rFonts w:cs="Times New Roman"/>
          <w:i/>
          <w:iCs/>
          <w:noProof/>
          <w:sz w:val="24"/>
        </w:rPr>
        <w:t>14</w:t>
      </w:r>
      <w:r w:rsidRPr="00706669">
        <w:rPr>
          <w:rFonts w:cs="Times New Roman"/>
          <w:noProof/>
          <w:sz w:val="24"/>
        </w:rPr>
        <w:t>(1), 193–212. https://doi.org/10.1007/s44197-024-00187-8</w:t>
      </w:r>
    </w:p>
    <w:p w14:paraId="00FFEBBE"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Nomura, S. O., Karger, A. B., Garg, P., Cao, J., Bhatia, H., Duran, E. K., Duprez, D., Guan, W., &amp; Tsai, M. Y. (2023). Small dense low-density lipoprotein cholesterol compared to other lipoprotein biomarkers for predicting coronary heart disease among individuals with normal fasting glucose: The Multi-Ethnic Study of Atherosclerosis. </w:t>
      </w:r>
      <w:r w:rsidRPr="00706669">
        <w:rPr>
          <w:rFonts w:cs="Times New Roman"/>
          <w:i/>
          <w:iCs/>
          <w:noProof/>
          <w:sz w:val="24"/>
        </w:rPr>
        <w:t>American Journal of Preventive Cardiology</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 100436. https://doi.org/10.1016/j.ajpc.2022.100436</w:t>
      </w:r>
    </w:p>
    <w:p w14:paraId="75039BD5"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Ota, H., Omori, H., Kawasaki, M., Hirakawa, A., &amp; Matsuo, H. (2022). Clinical impact of PCSK9 inhibitor on stabilization and regression of lipid-rich coronary plaques: A near-</w:t>
      </w:r>
      <w:r w:rsidRPr="00706669">
        <w:rPr>
          <w:rFonts w:cs="Times New Roman"/>
          <w:noProof/>
          <w:sz w:val="24"/>
        </w:rPr>
        <w:lastRenderedPageBreak/>
        <w:t xml:space="preserve">infrared spectroscopy study. </w:t>
      </w:r>
      <w:r w:rsidRPr="00706669">
        <w:rPr>
          <w:rFonts w:cs="Times New Roman"/>
          <w:i/>
          <w:iCs/>
          <w:noProof/>
          <w:sz w:val="24"/>
        </w:rPr>
        <w:t>European Heart Journal - Cardiovascular Imaging</w:t>
      </w:r>
      <w:r w:rsidRPr="00706669">
        <w:rPr>
          <w:rFonts w:cs="Times New Roman"/>
          <w:noProof/>
          <w:sz w:val="24"/>
        </w:rPr>
        <w:t xml:space="preserve">, </w:t>
      </w:r>
      <w:r w:rsidRPr="00706669">
        <w:rPr>
          <w:rFonts w:cs="Times New Roman"/>
          <w:i/>
          <w:iCs/>
          <w:noProof/>
          <w:sz w:val="24"/>
        </w:rPr>
        <w:t>23</w:t>
      </w:r>
      <w:r w:rsidRPr="00706669">
        <w:rPr>
          <w:rFonts w:cs="Times New Roman"/>
          <w:noProof/>
          <w:sz w:val="24"/>
        </w:rPr>
        <w:t>(2), 217–228. https://doi.org/10.1093/ehjci/jeab034</w:t>
      </w:r>
    </w:p>
    <w:p w14:paraId="267E22FB"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Pan, L., Jiang, W., Liao, L., Li, W., &amp; Wang, F. (2024). Association between the remnant cholesterol to high-density lipoprotein cholesterol ratio and the risk of coronary artery disease. </w:t>
      </w:r>
      <w:r w:rsidRPr="00706669">
        <w:rPr>
          <w:rFonts w:cs="Times New Roman"/>
          <w:i/>
          <w:iCs/>
          <w:noProof/>
          <w:sz w:val="24"/>
        </w:rPr>
        <w:t>Coronary Artery Disease</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(2), 114–121. https://doi.org/10.1097/MCA.0000000000001320</w:t>
      </w:r>
    </w:p>
    <w:p w14:paraId="5010CC14"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Pedro-Botet, J., Climent, E., &amp; Benaiges, D. (2024). LDL cholesterol as a causal agent of atherosclerosis. </w:t>
      </w:r>
      <w:r w:rsidRPr="00706669">
        <w:rPr>
          <w:rFonts w:cs="Times New Roman"/>
          <w:i/>
          <w:iCs/>
          <w:noProof/>
          <w:sz w:val="24"/>
        </w:rPr>
        <w:t>Clínica e Investigación En Arteriosclerosis (English Edition)</w:t>
      </w:r>
      <w:r w:rsidRPr="00706669">
        <w:rPr>
          <w:rFonts w:cs="Times New Roman"/>
          <w:noProof/>
          <w:sz w:val="24"/>
        </w:rPr>
        <w:t xml:space="preserve">, </w:t>
      </w:r>
      <w:r w:rsidRPr="00706669">
        <w:rPr>
          <w:rFonts w:cs="Times New Roman"/>
          <w:i/>
          <w:iCs/>
          <w:noProof/>
          <w:sz w:val="24"/>
        </w:rPr>
        <w:t>36</w:t>
      </w:r>
      <w:r w:rsidRPr="00706669">
        <w:rPr>
          <w:rFonts w:cs="Times New Roman"/>
          <w:noProof/>
          <w:sz w:val="24"/>
        </w:rPr>
        <w:t>, 100728. https://doi.org/10.1016/j.artere.2025.100728</w:t>
      </w:r>
    </w:p>
    <w:p w14:paraId="2F71ED63"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Raggi, P., Becciu, M. L., &amp; Navarese, E. P. (2024). Remnant cholesterol as a new lipid-lowering target to reduce cardiovascular events. </w:t>
      </w:r>
      <w:r w:rsidRPr="00706669">
        <w:rPr>
          <w:rFonts w:cs="Times New Roman"/>
          <w:i/>
          <w:iCs/>
          <w:noProof/>
          <w:sz w:val="24"/>
        </w:rPr>
        <w:t>Current Opinion in Lipidology</w:t>
      </w:r>
      <w:r w:rsidRPr="00706669">
        <w:rPr>
          <w:rFonts w:cs="Times New Roman"/>
          <w:noProof/>
          <w:sz w:val="24"/>
        </w:rPr>
        <w:t xml:space="preserve">, </w:t>
      </w:r>
      <w:r w:rsidRPr="00706669">
        <w:rPr>
          <w:rFonts w:cs="Times New Roman"/>
          <w:i/>
          <w:iCs/>
          <w:noProof/>
          <w:sz w:val="24"/>
        </w:rPr>
        <w:t>35</w:t>
      </w:r>
      <w:r w:rsidRPr="00706669">
        <w:rPr>
          <w:rFonts w:cs="Times New Roman"/>
          <w:noProof/>
          <w:sz w:val="24"/>
        </w:rPr>
        <w:t>(3), 110–116. https://doi.org/10.1097/MOL.0000000000000921</w:t>
      </w:r>
    </w:p>
    <w:p w14:paraId="40ACCBCD"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Razavi, A. C., Mehta, A., Jain, V., Patel, P., Liu, C., Patel, N., Eisenberg, S., Vaccarino, V., Isiadinso, I., Sperling, L. S., &amp; Quyyumi, A. A. (2023). High-density lipoprotein cholesterol in atherosclerotic cardiovascular disease risk assessment: Exploring and explaining the “U’’’-shaped curve.” </w:t>
      </w:r>
      <w:r w:rsidRPr="00706669">
        <w:rPr>
          <w:rFonts w:cs="Times New Roman"/>
          <w:i/>
          <w:iCs/>
          <w:noProof/>
          <w:sz w:val="24"/>
        </w:rPr>
        <w:t>Current Cardiology Reports</w:t>
      </w:r>
      <w:r w:rsidRPr="00706669">
        <w:rPr>
          <w:rFonts w:cs="Times New Roman"/>
          <w:noProof/>
          <w:sz w:val="24"/>
        </w:rPr>
        <w:t xml:space="preserve">, </w:t>
      </w:r>
      <w:r w:rsidRPr="00706669">
        <w:rPr>
          <w:rFonts w:cs="Times New Roman"/>
          <w:i/>
          <w:iCs/>
          <w:noProof/>
          <w:sz w:val="24"/>
        </w:rPr>
        <w:t>25</w:t>
      </w:r>
      <w:r w:rsidRPr="00706669">
        <w:rPr>
          <w:rFonts w:cs="Times New Roman"/>
          <w:noProof/>
          <w:sz w:val="24"/>
        </w:rPr>
        <w:t>(12), 1725–1733. https://doi.org/10.1007/s11886-023-01987-3</w:t>
      </w:r>
    </w:p>
    <w:p w14:paraId="40135356"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Seehusen, K. E., Remaley, A. T., Sampson, M., Meeusen, J. W., Larson, N. B., Decker, P. A., Killian, J. M., Takahashi, P. Y., Roger, V. L., Manemann, S. M., Lam, R., &amp; Bielinski, S. J. (2024). Discordance between very low-</w:t>
      </w:r>
      <w:r w:rsidRPr="00706669">
        <w:rPr>
          <w:rFonts w:cs="Times New Roman"/>
          <w:noProof/>
          <w:sz w:val="24"/>
        </w:rPr>
        <w:t xml:space="preserve">density lipoprotein cholesterol and low-density lipoprotein cholesterol increases cardiovascular disease risk in a geographically defined cohort. </w:t>
      </w:r>
      <w:r w:rsidRPr="00706669">
        <w:rPr>
          <w:rFonts w:cs="Times New Roman"/>
          <w:i/>
          <w:iCs/>
          <w:noProof/>
          <w:sz w:val="24"/>
        </w:rPr>
        <w:t>Journal of the American Heart Association</w:t>
      </w:r>
      <w:r w:rsidRPr="00706669">
        <w:rPr>
          <w:rFonts w:cs="Times New Roman"/>
          <w:noProof/>
          <w:sz w:val="24"/>
        </w:rPr>
        <w:t xml:space="preserve">, </w:t>
      </w:r>
      <w:r w:rsidRPr="00706669">
        <w:rPr>
          <w:rFonts w:cs="Times New Roman"/>
          <w:i/>
          <w:iCs/>
          <w:noProof/>
          <w:sz w:val="24"/>
        </w:rPr>
        <w:t>13</w:t>
      </w:r>
      <w:r w:rsidRPr="00706669">
        <w:rPr>
          <w:rFonts w:cs="Times New Roman"/>
          <w:noProof/>
          <w:sz w:val="24"/>
        </w:rPr>
        <w:t>(8), e031878. https://doi.org/10.1161/JAHA.123.031878</w:t>
      </w:r>
    </w:p>
    <w:p w14:paraId="4070D83E"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Sniderman, A. D., Dufresne, L., Pencina, K. M., Bilgic, S., Thanassoulis, G., &amp; Pencina, M. J. (2024). Discordance among apoB, non-high-density lipoprotein cholesterol, and triglycerides: Implications for cardiovascular prevention. </w:t>
      </w:r>
      <w:r w:rsidRPr="00706669">
        <w:rPr>
          <w:rFonts w:cs="Times New Roman"/>
          <w:i/>
          <w:iCs/>
          <w:noProof/>
          <w:sz w:val="24"/>
        </w:rPr>
        <w:t>European Heart Journal</w:t>
      </w:r>
      <w:r w:rsidRPr="00706669">
        <w:rPr>
          <w:rFonts w:cs="Times New Roman"/>
          <w:noProof/>
          <w:sz w:val="24"/>
        </w:rPr>
        <w:t xml:space="preserve">, </w:t>
      </w:r>
      <w:r w:rsidRPr="00706669">
        <w:rPr>
          <w:rFonts w:cs="Times New Roman"/>
          <w:i/>
          <w:iCs/>
          <w:noProof/>
          <w:sz w:val="24"/>
        </w:rPr>
        <w:t>45</w:t>
      </w:r>
      <w:r w:rsidRPr="00706669">
        <w:rPr>
          <w:rFonts w:cs="Times New Roman"/>
          <w:noProof/>
          <w:sz w:val="24"/>
        </w:rPr>
        <w:t>(27), 2410–2418. https://doi.org/10.1093/eurheartj/ehae258</w:t>
      </w:r>
    </w:p>
    <w:p w14:paraId="44249FBC" w14:textId="77777777" w:rsidR="00706669" w:rsidRPr="00706669" w:rsidRDefault="00706669" w:rsidP="00706669">
      <w:pPr>
        <w:adjustRightInd w:val="0"/>
        <w:spacing w:before="42" w:after="50"/>
        <w:ind w:left="731" w:right="40" w:hanging="567"/>
        <w:jc w:val="both"/>
        <w:rPr>
          <w:rFonts w:cs="Times New Roman"/>
          <w:noProof/>
          <w:sz w:val="24"/>
        </w:rPr>
      </w:pPr>
      <w:r w:rsidRPr="00706669">
        <w:rPr>
          <w:rFonts w:cs="Times New Roman"/>
          <w:noProof/>
          <w:sz w:val="24"/>
        </w:rPr>
        <w:t xml:space="preserve">Su, X., Cai, X., Pan, Y., Sun, J., Jing, J., Wang, M., Meng, X., Wang, Y., Wei, T., &amp; He, Y. (2022). Discordance of apolipoprotein B with low-density lipoprotein cholesterol or non-high-density lipoprotein cholesterol and coronary atherosclerosis. </w:t>
      </w:r>
      <w:r w:rsidRPr="00706669">
        <w:rPr>
          <w:rFonts w:cs="Times New Roman"/>
          <w:i/>
          <w:iCs/>
          <w:noProof/>
          <w:sz w:val="24"/>
        </w:rPr>
        <w:t>European Journal of Preventive Cardiology</w:t>
      </w:r>
      <w:r w:rsidRPr="00706669">
        <w:rPr>
          <w:rFonts w:cs="Times New Roman"/>
          <w:noProof/>
          <w:sz w:val="24"/>
        </w:rPr>
        <w:t xml:space="preserve">, </w:t>
      </w:r>
      <w:r w:rsidRPr="00706669">
        <w:rPr>
          <w:rFonts w:cs="Times New Roman"/>
          <w:i/>
          <w:iCs/>
          <w:noProof/>
          <w:sz w:val="24"/>
        </w:rPr>
        <w:t>29</w:t>
      </w:r>
      <w:r w:rsidRPr="00706669">
        <w:rPr>
          <w:rFonts w:cs="Times New Roman"/>
          <w:noProof/>
          <w:sz w:val="24"/>
        </w:rPr>
        <w:t>(18), 2349–2358. https://doi.org/10.1093/eurjpc/zwac223</w:t>
      </w:r>
    </w:p>
    <w:p w14:paraId="4C10C7A3" w14:textId="77777777" w:rsidR="00706669" w:rsidRPr="00706669" w:rsidRDefault="00706669" w:rsidP="00706669">
      <w:pPr>
        <w:adjustRightInd w:val="0"/>
        <w:spacing w:before="42" w:after="50"/>
        <w:ind w:left="731" w:right="40" w:hanging="567"/>
        <w:jc w:val="both"/>
        <w:rPr>
          <w:noProof/>
          <w:sz w:val="24"/>
        </w:rPr>
      </w:pPr>
      <w:r w:rsidRPr="00706669">
        <w:rPr>
          <w:rFonts w:cs="Times New Roman"/>
          <w:noProof/>
          <w:sz w:val="24"/>
        </w:rPr>
        <w:t xml:space="preserve">Yang, X. H., Zhang, B. L., Cheng, Y., Fu, S. K., &amp; Jin, H. M. (2023). Association of remnant cholesterol with risk of cardiovascular disease events, stroke, and mortality: a systemic review and meta-analysis. </w:t>
      </w:r>
      <w:r w:rsidRPr="00706669">
        <w:rPr>
          <w:rFonts w:cs="Times New Roman"/>
          <w:i/>
          <w:iCs/>
          <w:noProof/>
          <w:sz w:val="24"/>
        </w:rPr>
        <w:t>Atherosclerosis</w:t>
      </w:r>
      <w:r w:rsidRPr="00706669">
        <w:rPr>
          <w:rFonts w:cs="Times New Roman"/>
          <w:noProof/>
          <w:sz w:val="24"/>
        </w:rPr>
        <w:t xml:space="preserve">, </w:t>
      </w:r>
      <w:r w:rsidRPr="00706669">
        <w:rPr>
          <w:rFonts w:cs="Times New Roman"/>
          <w:i/>
          <w:iCs/>
          <w:noProof/>
          <w:sz w:val="24"/>
        </w:rPr>
        <w:t>371</w:t>
      </w:r>
      <w:r w:rsidRPr="00706669">
        <w:rPr>
          <w:rFonts w:cs="Times New Roman"/>
          <w:noProof/>
          <w:sz w:val="24"/>
        </w:rPr>
        <w:t>, 21–31. https://doi.org/10.1016/j.atherosclerosis.2023.03.012</w:t>
      </w:r>
    </w:p>
    <w:p w14:paraId="73774C40" w14:textId="3427A21B" w:rsidR="00F561D6" w:rsidRPr="00F561D6" w:rsidRDefault="003444AD" w:rsidP="00706669">
      <w:pPr>
        <w:adjustRightInd w:val="0"/>
        <w:spacing w:before="42" w:after="50"/>
        <w:ind w:left="731" w:right="40" w:hanging="567"/>
        <w:jc w:val="both"/>
        <w:rPr>
          <w:noProof/>
        </w:rPr>
      </w:pPr>
      <w:r w:rsidRPr="003444AD">
        <w:rPr>
          <w:rFonts w:asciiTheme="majorHAnsi" w:hAnsiTheme="majorHAnsi"/>
          <w:sz w:val="24"/>
          <w:szCs w:val="24"/>
        </w:rPr>
        <w:fldChar w:fldCharType="end"/>
      </w:r>
    </w:p>
    <w:sectPr w:rsidR="00F561D6" w:rsidRPr="00F561D6">
      <w:type w:val="continuous"/>
      <w:pgSz w:w="11910" w:h="16840"/>
      <w:pgMar w:top="1400" w:right="1275" w:bottom="1660" w:left="1275" w:header="756" w:footer="1472" w:gutter="0"/>
      <w:cols w:num="2" w:space="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3835AC" w14:textId="77777777" w:rsidR="00254CF9" w:rsidRDefault="00254CF9">
      <w:r>
        <w:separator/>
      </w:r>
    </w:p>
  </w:endnote>
  <w:endnote w:type="continuationSeparator" w:id="0">
    <w:p w14:paraId="65E26454" w14:textId="77777777" w:rsidR="00254CF9" w:rsidRDefault="00254C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C52C0" w14:textId="77777777" w:rsidR="00254CF9" w:rsidRDefault="00254CF9">
      <w:r>
        <w:separator/>
      </w:r>
    </w:p>
  </w:footnote>
  <w:footnote w:type="continuationSeparator" w:id="0">
    <w:p w14:paraId="006FB369" w14:textId="77777777" w:rsidR="00254CF9" w:rsidRDefault="00254CF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2A"/>
    <w:rsid w:val="0003318C"/>
    <w:rsid w:val="000E1093"/>
    <w:rsid w:val="0010367B"/>
    <w:rsid w:val="0015781A"/>
    <w:rsid w:val="00214C0C"/>
    <w:rsid w:val="00254CF9"/>
    <w:rsid w:val="002F2E7A"/>
    <w:rsid w:val="00301D39"/>
    <w:rsid w:val="003158B7"/>
    <w:rsid w:val="003444AD"/>
    <w:rsid w:val="0039118C"/>
    <w:rsid w:val="00497481"/>
    <w:rsid w:val="004C35A4"/>
    <w:rsid w:val="005552FE"/>
    <w:rsid w:val="0057412E"/>
    <w:rsid w:val="005838F2"/>
    <w:rsid w:val="006A2555"/>
    <w:rsid w:val="006F4FBC"/>
    <w:rsid w:val="006F6B42"/>
    <w:rsid w:val="00706669"/>
    <w:rsid w:val="00723C75"/>
    <w:rsid w:val="00735964"/>
    <w:rsid w:val="00763859"/>
    <w:rsid w:val="008341A6"/>
    <w:rsid w:val="00840303"/>
    <w:rsid w:val="00850953"/>
    <w:rsid w:val="00891C20"/>
    <w:rsid w:val="008B765C"/>
    <w:rsid w:val="00A219CF"/>
    <w:rsid w:val="00AC325E"/>
    <w:rsid w:val="00B1371B"/>
    <w:rsid w:val="00B53390"/>
    <w:rsid w:val="00B53E47"/>
    <w:rsid w:val="00B60B1C"/>
    <w:rsid w:val="00BC5578"/>
    <w:rsid w:val="00C1695E"/>
    <w:rsid w:val="00C77999"/>
    <w:rsid w:val="00E6540C"/>
    <w:rsid w:val="00E825B8"/>
    <w:rsid w:val="00E8702A"/>
    <w:rsid w:val="00F54D2C"/>
    <w:rsid w:val="00F561D6"/>
    <w:rsid w:val="DD6E73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023D16"/>
  <w15:docId w15:val="{27DA8148-9B1A-4230-BFA2-C847ACFFC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D" w:eastAsia="en-ID"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mbria" w:eastAsia="Cambria" w:hAnsi="Cambria" w:cs="Cambria"/>
      <w:sz w:val="22"/>
      <w:szCs w:val="22"/>
      <w:lang w:val="id" w:eastAsia="en-US"/>
    </w:rPr>
  </w:style>
  <w:style w:type="paragraph" w:styleId="Heading1">
    <w:name w:val="heading 1"/>
    <w:basedOn w:val="Normal"/>
    <w:uiPriority w:val="1"/>
    <w:qFormat/>
    <w:pPr>
      <w:ind w:left="165"/>
      <w:outlineLvl w:val="0"/>
    </w:pPr>
    <w:rPr>
      <w:b/>
      <w:bCs/>
      <w:sz w:val="24"/>
      <w:szCs w:val="24"/>
    </w:rPr>
  </w:style>
  <w:style w:type="paragraph" w:styleId="Heading2">
    <w:name w:val="heading 2"/>
    <w:basedOn w:val="Normal"/>
    <w:uiPriority w:val="1"/>
    <w:qFormat/>
    <w:pPr>
      <w:spacing w:before="91"/>
      <w:ind w:left="8"/>
      <w:outlineLvl w:val="1"/>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5"/>
      <w:jc w:val="both"/>
    </w:pPr>
    <w:rPr>
      <w:sz w:val="24"/>
      <w:szCs w:val="24"/>
    </w:rPr>
  </w:style>
  <w:style w:type="paragraph" w:styleId="Title">
    <w:name w:val="Title"/>
    <w:basedOn w:val="Normal"/>
    <w:uiPriority w:val="1"/>
    <w:qFormat/>
    <w:pPr>
      <w:spacing w:before="93"/>
      <w:ind w:left="133" w:right="133"/>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43"/>
    </w:pPr>
    <w:rPr>
      <w:rFonts w:ascii="Times New Roman" w:eastAsia="Times New Roman" w:hAnsi="Times New Roman" w:cs="Times New Roman"/>
    </w:rPr>
  </w:style>
  <w:style w:type="table" w:styleId="TableGrid">
    <w:name w:val="Table Grid"/>
    <w:basedOn w:val="TableNormal"/>
    <w:rsid w:val="003444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A965D4E-E7A5-49C3-9384-5B4A4FB211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13</Pages>
  <Words>5948</Words>
  <Characters>33904</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Rahmat Hidayat</cp:lastModifiedBy>
  <cp:revision>2</cp:revision>
  <dcterms:created xsi:type="dcterms:W3CDTF">2026-09-08T04:01:00Z</dcterms:created>
  <dcterms:modified xsi:type="dcterms:W3CDTF">2026-09-08T04:01:00Z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Creator">
    <vt:lpwstr>Microsoft® Word 2021</vt:lpwstr>
  </property>
  <property fmtid="{D5CDD505-2E9C-101B-9397-08002B2CF9AE}" pid="5" name="LastSaved">
    <vt:filetime>2026-09-03T00:00:00Z</vt:filetime>
  </property>
  <property fmtid="{D5CDD505-2E9C-101B-9397-08002B2CF9AE}" pid="6" name="Producer">
    <vt:lpwstr>Microsoft® Word 2021</vt:lpwstr>
  </property>
  <property fmtid="{D5CDD505-2E9C-101B-9397-08002B2CF9AE}" pid="7" name="KSOProductBuildVer">
    <vt:lpwstr>1033-12.1.26050.26050</vt:lpwstr>
  </property>
  <property fmtid="{D5CDD505-2E9C-101B-9397-08002B2CF9AE}" pid="8" name="ICV">
    <vt:lpwstr>7AE8F0AAF3260D32182A996AB70E492E_42</vt:lpwstr>
  </property>
  <property fmtid="{D5CDD505-2E9C-101B-9397-08002B2CF9AE}" pid="9" name="Mendeley Recent Style Id 0_1">
    <vt:lpwstr>http://www.zotero.org/styles/american-medical-association</vt:lpwstr>
  </property>
  <property fmtid="{D5CDD505-2E9C-101B-9397-08002B2CF9AE}" pid="10" name="Mendeley Recent Style Name 0_1">
    <vt:lpwstr>American Medical Association 11th edition</vt:lpwstr>
  </property>
  <property fmtid="{D5CDD505-2E9C-101B-9397-08002B2CF9AE}" pid="11" name="Mendeley Recent Style Id 1_1">
    <vt:lpwstr>http://www.zotero.org/styles/apa</vt:lpwstr>
  </property>
  <property fmtid="{D5CDD505-2E9C-101B-9397-08002B2CF9AE}" pid="12" name="Mendeley Recent Style Name 1_1">
    <vt:lpwstr>American Psychological Association 7th edition</vt:lpwstr>
  </property>
  <property fmtid="{D5CDD505-2E9C-101B-9397-08002B2CF9AE}" pid="13" name="Mendeley Recent Style Id 2_1">
    <vt:lpwstr>http://www.zotero.org/styles/chicago-fullnote-bibliography</vt:lpwstr>
  </property>
  <property fmtid="{D5CDD505-2E9C-101B-9397-08002B2CF9AE}" pid="14" name="Mendeley Recent Style Name 2_1">
    <vt:lpwstr>Chicago Manual of Style 17th edition (full note)</vt:lpwstr>
  </property>
  <property fmtid="{D5CDD505-2E9C-101B-9397-08002B2CF9AE}" pid="15" name="Mendeley Recent Style Id 3_1">
    <vt:lpwstr>http://www.zotero.org/styles/chicago-notes-bibliography</vt:lpwstr>
  </property>
  <property fmtid="{D5CDD505-2E9C-101B-9397-08002B2CF9AE}" pid="16" name="Mendeley Recent Style Name 3_1">
    <vt:lpwstr>Chicago Manual of Style 18th edition (notes and bibliography)</vt:lpwstr>
  </property>
  <property fmtid="{D5CDD505-2E9C-101B-9397-08002B2CF9AE}" pid="17" name="Mendeley Recent Style Id 4_1">
    <vt:lpwstr>http://www.zotero.org/styles/harvard1</vt:lpwstr>
  </property>
  <property fmtid="{D5CDD505-2E9C-101B-9397-08002B2CF9AE}" pid="18" name="Mendeley Recent Style Name 4_1">
    <vt:lpwstr>Harvard reference format 1 (deprecated)</vt:lpwstr>
  </property>
  <property fmtid="{D5CDD505-2E9C-101B-9397-08002B2CF9AE}" pid="19" name="Mendeley Recent Style Id 5_1">
    <vt:lpwstr>http://www.zotero.org/styles/ieee</vt:lpwstr>
  </property>
  <property fmtid="{D5CDD505-2E9C-101B-9397-08002B2CF9AE}" pid="20" name="Mendeley Recent Style Name 5_1">
    <vt:lpwstr>IEEE</vt:lpwstr>
  </property>
  <property fmtid="{D5CDD505-2E9C-101B-9397-08002B2CF9AE}" pid="21" name="Mendeley Recent Style Id 6_1">
    <vt:lpwstr>http://www.zotero.org/styles/institut-pertanian-bogor</vt:lpwstr>
  </property>
  <property fmtid="{D5CDD505-2E9C-101B-9397-08002B2CF9AE}" pid="22" name="Mendeley Recent Style Name 6_1">
    <vt:lpwstr>Institut Pertanian Bogor: Pedoman Penulisan Karya Ilmiah Edisi ke-3 (Bahasa Indonesia)</vt:lpwstr>
  </property>
  <property fmtid="{D5CDD505-2E9C-101B-9397-08002B2CF9AE}" pid="23" name="Mendeley Recent Style Id 7_1">
    <vt:lpwstr>http://www.zotero.org/styles/modern-humanities-research-association</vt:lpwstr>
  </property>
  <property fmtid="{D5CDD505-2E9C-101B-9397-08002B2CF9AE}" pid="24" name="Mendeley Recent Style Name 7_1">
    <vt:lpwstr>Modern Humanities Research Association, 4th edition (note with bibliography)</vt:lpwstr>
  </property>
  <property fmtid="{D5CDD505-2E9C-101B-9397-08002B2CF9AE}" pid="25" name="Mendeley Recent Style Id 8_1">
    <vt:lpwstr>http://www.zotero.org/styles/turabian-notes-bibliography</vt:lpwstr>
  </property>
  <property fmtid="{D5CDD505-2E9C-101B-9397-08002B2CF9AE}" pid="26" name="Mendeley Recent Style Name 8_1">
    <vt:lpwstr>Turabian 9th edition (notes and bibliography)</vt:lpwstr>
  </property>
  <property fmtid="{D5CDD505-2E9C-101B-9397-08002B2CF9AE}" pid="27" name="Mendeley Recent Style Id 9_1">
    <vt:lpwstr>http://www.zotero.org/styles/vancouver</vt:lpwstr>
  </property>
  <property fmtid="{D5CDD505-2E9C-101B-9397-08002B2CF9AE}" pid="28" name="Mendeley Recent Style Name 9_1">
    <vt:lpwstr>Vancouver</vt:lpwstr>
  </property>
  <property fmtid="{D5CDD505-2E9C-101B-9397-08002B2CF9AE}" pid="29" name="Mendeley Document_1">
    <vt:lpwstr>True</vt:lpwstr>
  </property>
  <property fmtid="{D5CDD505-2E9C-101B-9397-08002B2CF9AE}" pid="30" name="Mendeley Unique User Id_1">
    <vt:lpwstr>3d8709cd-a97f-34f6-92d6-0e9aebb48ed3</vt:lpwstr>
  </property>
  <property fmtid="{D5CDD505-2E9C-101B-9397-08002B2CF9AE}" pid="31" name="Mendeley Citation Style_1">
    <vt:lpwstr>http://www.zotero.org/styles/apa</vt:lpwstr>
  </property>
</Properties>
</file>