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Calisto MT" w:hAnsi="Calisto MT" w:eastAsia="Calisto MT"/>
          <w:b/>
          <w:i w:val="0"/>
          <w:sz w:val="26"/>
        </w:rPr>
        <w:t>Stunting Risk Factors in a Coastal Community</w:t>
      </w:r>
    </w:p>
    <w:p>
      <w:pPr>
        <w:spacing w:before="0" w:after="60" w:line="240" w:lineRule="auto"/>
        <w:jc w:val="left"/>
      </w:pPr>
      <w:r>
        <w:rPr>
          <w:rFonts w:ascii="Calisto MT" w:hAnsi="Calisto MT" w:eastAsia="Calisto MT"/>
          <w:b/>
          <w:i w:val="0"/>
          <w:sz w:val="20"/>
        </w:rPr>
        <w:t>Abstract</w:t>
      </w:r>
    </w:p>
    <w:p>
      <w:pPr>
        <w:spacing w:before="0" w:after="120" w:line="240" w:lineRule="auto"/>
        <w:jc w:val="both"/>
      </w:pPr>
      <w:r>
        <w:rPr>
          <w:rFonts w:ascii="Calisto MT" w:hAnsi="Calisto MT" w:eastAsia="Calisto MT"/>
          <w:b w:val="0"/>
          <w:i w:val="0"/>
          <w:sz w:val="20"/>
        </w:rPr>
        <w:t>Stunting remains an important public health nutrition problem in coastal communities. This study analyzed selected risk factors associated with stunting among toddlers aged 6-36 months in Soropia, Indonesia. A case-control study was conducted in five coastal villages from July to August 2020. Twenty-eight toddlers were included, comprising 14 stunted and 14 non-stunted children matched by age and sex. Data on breastfeeding, complementary feeding, birth weight, birth length, and maternal height were collected using questionnaires, maternal and child health records, and anthropometric measurements. Associations were analyzed using chi-square tests and odds ratios. Non-exclusive breastfeeding showed the strongest association with stunting (OR=6.60; 95% CI: 1.229-35.438; p=0.054), although it was not statistically significant. Complementary feeding, birth weight, birth length, and maternal height were not significantly associated with stunting. Non-exclusive breastfeeding may be an important concern for community-based stunting prevention in coastal areas.</w:t>
      </w:r>
    </w:p>
    <w:p>
      <w:pPr>
        <w:spacing w:before="0" w:after="240" w:line="240" w:lineRule="auto"/>
        <w:jc w:val="left"/>
      </w:pPr>
      <w:r>
        <w:rPr>
          <w:rFonts w:ascii="Calisto MT" w:hAnsi="Calisto MT" w:eastAsia="Calisto MT"/>
          <w:b w:val="0"/>
          <w:i w:val="0"/>
          <w:sz w:val="20"/>
        </w:rPr>
        <w:t>Keywords: Coastal community; Exclusive breastfeeding; Public health nutrition; Stunting; Toddlers</w:t>
      </w:r>
    </w:p>
    <w:p>
      <w:pPr>
        <w:spacing w:before="160" w:after="100" w:line="240" w:lineRule="auto"/>
      </w:pPr>
      <w:r>
        <w:rPr>
          <w:rFonts w:ascii="Calisto MT" w:hAnsi="Calisto MT" w:eastAsia="Calisto MT"/>
          <w:b/>
          <w:sz w:val="20"/>
        </w:rPr>
        <w:t>INTRODUCTION</w:t>
      </w:r>
    </w:p>
    <w:p>
      <w:pPr>
        <w:spacing w:before="0" w:after="60" w:line="240" w:lineRule="auto"/>
        <w:ind w:firstLine="360"/>
        <w:jc w:val="both"/>
      </w:pPr>
      <w:r>
        <w:rPr>
          <w:rFonts w:ascii="Calisto MT" w:hAnsi="Calisto MT" w:eastAsia="Calisto MT"/>
          <w:b w:val="0"/>
          <w:i w:val="0"/>
          <w:sz w:val="20"/>
        </w:rPr>
        <w:t>Stunting is a chronic condition of impaired linear growth in children and is commonly defined by a length-for-age or height-for-age z-score below -2 standard deviations. It reflects long-term nutritional deficiency and repeated health problems during early life (de Onis &amp; Branca, 2016; Fikawati et al., 2017). Stunting remains an important indicator of chronic undernutrition among children under five years of age because it may affect physical growth, cognitive ability, productivity, and long-term health. Global evidence also shows that stunting remains unequally distributed and continues to affect children in low- and middle-income settings, including Indonesia (Purnami &amp; Sugiartini, 2018; United Nations Children’s Fund et al., 2023). Therefore, stunting should be approached not only as an individual nutritional problem but also as a public health issue related to household, community, and health service conditions.</w:t>
      </w:r>
    </w:p>
    <w:p>
      <w:pPr>
        <w:spacing w:before="0" w:after="60" w:line="240" w:lineRule="auto"/>
        <w:ind w:firstLine="360"/>
        <w:jc w:val="both"/>
      </w:pPr>
      <w:r>
        <w:rPr>
          <w:rFonts w:ascii="Calisto MT" w:hAnsi="Calisto MT" w:eastAsia="Calisto MT"/>
          <w:b w:val="0"/>
          <w:i w:val="0"/>
          <w:sz w:val="20"/>
        </w:rPr>
        <w:t>The determinants of stunting are multifactorial. Previous studies have reported that child feeding practices, maternal factors, birth outcomes, socioeconomic conditions, infection, sanitation, and access to health services contribute to child linear growth (Donkor et al., 2022; Noor et al., 2022). Exclusive breastfeeding, complementary feeding, birth weight, birth length, and maternal height are commonly examined in studies of child stunting because these factors represent early life nutrition, intrauterine growth, maternal nutritional history, and postnatal feeding practice (AL Rahmad et al., 2013; Amin &amp; Julia, 2014; Azizah et al., 2022; Hanum et al., 2014; Prihutama et al., 2018; Thahir et al., 2023). Although these factors have been widely discussed, their contribution may vary across different geographical and social contexts.</w:t>
      </w:r>
    </w:p>
    <w:p>
      <w:pPr>
        <w:spacing w:before="0" w:after="60" w:line="240" w:lineRule="auto"/>
        <w:ind w:firstLine="360"/>
        <w:jc w:val="both"/>
      </w:pPr>
      <w:r>
        <w:rPr>
          <w:rFonts w:ascii="Calisto MT" w:hAnsi="Calisto MT" w:eastAsia="Calisto MT"/>
          <w:b w:val="0"/>
          <w:i w:val="0"/>
          <w:sz w:val="20"/>
        </w:rPr>
        <w:t>Exclusive breastfeeding is an important public health intervention for the first six months of life. It provides nutrition and immunological protection, reduces exposure to unsafe foods or fluids, and may reduce infection-related growth faltering. However, breastfeeding practice is influenced by maternal knowledge, family support, cultural beliefs, health worker counseling, employment conditions, and access to maternal and child health services. In rural and coastal communities, these factors may interact with livelihood instability, food availability, and sanitation challenges. Evidence from Indonesia has shown that exclusive breastfeeding and child growth cannot be separated from broader household and environmental determinants (Beal et al., 2018; Supadmi et al., 2024).</w:t>
      </w:r>
    </w:p>
    <w:p>
      <w:pPr>
        <w:spacing w:before="0" w:after="60" w:line="240" w:lineRule="auto"/>
        <w:ind w:firstLine="360"/>
        <w:jc w:val="both"/>
      </w:pPr>
      <w:r>
        <w:rPr>
          <w:rFonts w:ascii="Calisto MT" w:hAnsi="Calisto MT" w:eastAsia="Calisto MT"/>
          <w:b w:val="0"/>
          <w:i w:val="0"/>
          <w:sz w:val="20"/>
        </w:rPr>
        <w:t>Coastal communities may face specific public health vulnerabilities. Households in coastal areas may depend on fishing or informal livelihoods, which can create unstable income and seasonal food access. Although marine foods may be physically available, this does not always translate into adequate child nutrition because food allocation, household purchasing power, maternal knowledge, and child feeding practices also affect dietary intake. Previous studies in coastal settings have highlighted that toddler stunting is associated with social, environmental, and health service factors (Mayasari et al., 2018; Novianti et al., 2023). This makes coastal communities an important setting for public health nutrition research.</w:t>
      </w:r>
    </w:p>
    <w:p>
      <w:pPr>
        <w:spacing w:before="0" w:after="60" w:line="240" w:lineRule="auto"/>
        <w:ind w:firstLine="360"/>
        <w:jc w:val="both"/>
      </w:pPr>
      <w:r>
        <w:rPr>
          <w:rFonts w:ascii="Calisto MT" w:hAnsi="Calisto MT" w:eastAsia="Calisto MT"/>
          <w:b w:val="0"/>
          <w:i w:val="0"/>
          <w:sz w:val="20"/>
        </w:rPr>
        <w:t>Local evidence is needed to strengthen stunting prevention strategies. National and provincial programs may provide broad policy direction, but local studies are important for identifying context-specific risk patterns and supporting community-based action through integrated health posts, primary health care facilities, and maternal-child health services. In coastal areas, evidence on breastfeeding practice, complementary feeding, birth outcomes, and maternal characteristics can help guide health education, growth monitoring, and early counseling for families with toddlers.</w:t>
      </w:r>
    </w:p>
    <w:p>
      <w:pPr>
        <w:spacing w:before="0" w:after="60" w:line="240" w:lineRule="auto"/>
        <w:ind w:firstLine="360"/>
        <w:jc w:val="both"/>
      </w:pPr>
      <w:r>
        <w:rPr>
          <w:rFonts w:ascii="Calisto MT" w:hAnsi="Calisto MT" w:eastAsia="Calisto MT"/>
          <w:b w:val="0"/>
          <w:i w:val="0"/>
          <w:sz w:val="20"/>
        </w:rPr>
        <w:t>Therefore, this study aimed to analyze selected risk factors associated with stunting among toddlers aged 6-36 months in the coastal area of Soropia, Indonesia. The study is expected to contribute to public health nutrition evidence by describing risk patterns in a vulnerable coastal community and by identifying practical implications for breastfeeding support, growth monitoring, and primary health care-based stunting prevention.</w:t>
      </w:r>
    </w:p>
    <w:p>
      <w:pPr>
        <w:spacing w:before="160" w:after="100" w:line="240" w:lineRule="auto"/>
      </w:pPr>
      <w:r>
        <w:rPr>
          <w:rFonts w:ascii="Calisto MT" w:hAnsi="Calisto MT" w:eastAsia="Calisto MT"/>
          <w:b/>
          <w:sz w:val="20"/>
        </w:rPr>
        <w:t>METHOD</w:t>
      </w:r>
    </w:p>
    <w:p>
      <w:pPr>
        <w:spacing w:before="0" w:after="60" w:line="240" w:lineRule="auto"/>
        <w:ind w:firstLine="360"/>
        <w:jc w:val="both"/>
      </w:pPr>
      <w:r>
        <w:rPr>
          <w:rFonts w:ascii="Calisto MT" w:hAnsi="Calisto MT" w:eastAsia="Calisto MT"/>
          <w:b w:val="0"/>
          <w:i w:val="0"/>
          <w:sz w:val="20"/>
        </w:rPr>
        <w:t>This study used an observational analytic design with a case-control approach. The study was conducted in the coastal area of Soropia Sub-district, Konawe Regency, Southeast Sulawesi Province, Indonesia. The study area included five villages: Leppe, Bajo Indah, Sama Jaya, Mekar, and Bajoe. Data collection was carried out from July to August 2020.</w:t>
      </w:r>
    </w:p>
    <w:p>
      <w:pPr>
        <w:spacing w:before="0" w:after="60" w:line="240" w:lineRule="auto"/>
        <w:ind w:firstLine="360"/>
        <w:jc w:val="both"/>
      </w:pPr>
      <w:r>
        <w:rPr>
          <w:rFonts w:ascii="Calisto MT" w:hAnsi="Calisto MT" w:eastAsia="Calisto MT"/>
          <w:b w:val="0"/>
          <w:i w:val="0"/>
          <w:sz w:val="20"/>
        </w:rPr>
        <w:t>The study population consisted of toddlers aged 6-36 months living in the study area. A total of 103 toddlers were identified in the population. The final sample consisted of 28 toddlers, including 14 stunted children as cases and 14 non-stunted children as controls. Cases and controls were matched by age and sex. Participants were selected using purposive sampling. The inclusion criteria were toddlers aged 6-36 months, living in the study area, having no physical or mental disability that could affect anthropometric assessment, and having parents or guardians who agreed to participate by signing informed consent. Toddlers with incomplete key data were excluded from the analysis, and no imputation was performed.</w:t>
      </w:r>
    </w:p>
    <w:p>
      <w:pPr>
        <w:spacing w:before="0" w:after="60" w:line="240" w:lineRule="auto"/>
        <w:ind w:firstLine="360"/>
        <w:jc w:val="both"/>
      </w:pPr>
      <w:r>
        <w:rPr>
          <w:rFonts w:ascii="Calisto MT" w:hAnsi="Calisto MT" w:eastAsia="Calisto MT"/>
          <w:b w:val="0"/>
          <w:i w:val="0"/>
          <w:sz w:val="20"/>
        </w:rPr>
        <w:t>The dependent variable was stunting status. The independent variables were exclusive breastfeeding history, first complementary feeding practice, birth weight, birth length, and maternal height. Stunting was assessed by measuring the child’s length or height and comparing it with age using the length-for-age or height-for-age index. Stunting was defined as a z-score below -2 standard deviations. Exclusive breastfeeding was categorized as yes if the child received only breast milk for the first six months of life. First complementary feeding was categorized based on whether complementary food was introduced appropriately. Birth weight was categorized as &lt;2500 g and &gt;=2500 g. Birth length was categorized as &lt;50 cm and &gt;=50 cm. Maternal height was categorized as &lt;150 cm and &gt;=150 cm.</w:t>
      </w:r>
    </w:p>
    <w:p>
      <w:pPr>
        <w:spacing w:before="0" w:after="60" w:line="240" w:lineRule="auto"/>
        <w:ind w:firstLine="360"/>
        <w:jc w:val="both"/>
      </w:pPr>
      <w:r>
        <w:rPr>
          <w:rFonts w:ascii="Calisto MT" w:hAnsi="Calisto MT" w:eastAsia="Calisto MT"/>
          <w:b w:val="0"/>
          <w:i w:val="0"/>
          <w:sz w:val="20"/>
        </w:rPr>
        <w:t>Primary data were collected through interviews with mothers or caregivers using structured questionnaires. Data on exclusive breastfeeding and first complementary feeding were obtained through questionnaires. Birth weight and birth length were obtained through interviews and verified using maternal and child health records when available to reduce recall bias. Child length or height and maternal height were measured using standard anthropometric procedures.</w:t>
      </w:r>
    </w:p>
    <w:p>
      <w:pPr>
        <w:spacing w:before="0" w:after="60" w:line="240" w:lineRule="auto"/>
        <w:ind w:firstLine="360"/>
        <w:jc w:val="both"/>
      </w:pPr>
      <w:r>
        <w:rPr>
          <w:rFonts w:ascii="Calisto MT" w:hAnsi="Calisto MT" w:eastAsia="Calisto MT"/>
          <w:b w:val="0"/>
          <w:i w:val="0"/>
          <w:sz w:val="20"/>
        </w:rPr>
        <w:t>Data were analyzed using SPSS version 24. Descriptive statistics were used to summarize participant characteristics and study variables. Categorical variables were presented as frequencies and percentages. Associations between independent variables and stunting were analyzed using chi-square tests. Odds ratios with 95% confidence intervals were calculated to estimate the strength of association. Statistical significance was set at p&lt;0.05. Because of the small sample size, the results were interpreted cautiously by considering both statistical significance and the magnitude of association.</w:t>
      </w:r>
    </w:p>
    <w:p>
      <w:pPr>
        <w:spacing w:before="0" w:after="60" w:line="240" w:lineRule="auto"/>
        <w:ind w:firstLine="360"/>
        <w:jc w:val="both"/>
      </w:pPr>
      <w:r>
        <w:rPr>
          <w:rFonts w:ascii="Calisto MT" w:hAnsi="Calisto MT" w:eastAsia="Calisto MT"/>
          <w:b w:val="0"/>
          <w:i w:val="0"/>
          <w:sz w:val="20"/>
        </w:rPr>
        <w:t>This study received ethical approval from the Research Ethics Committee, Faculty of Health Sciences, Universitas Jenderal Soedirman, Indonesia (Approval No. 113/C/KEPK/2020; date of approval: 13 May 2020). Written informed consent was obtained from parents or guardians before data collection. Participation was voluntary, and confidentiality was maintained by not recording personal identifiers in the dataset. All data were used only for research purposes.</w:t>
      </w:r>
    </w:p>
    <w:p>
      <w:pPr>
        <w:spacing w:before="160" w:after="100" w:line="240" w:lineRule="auto"/>
      </w:pPr>
      <w:r>
        <w:rPr>
          <w:rFonts w:ascii="Calisto MT" w:hAnsi="Calisto MT" w:eastAsia="Calisto MT"/>
          <w:b/>
          <w:sz w:val="20"/>
        </w:rPr>
        <w:t>RESULT AND DISCUSSION</w:t>
      </w:r>
    </w:p>
    <w:p>
      <w:pPr>
        <w:spacing w:before="0" w:after="60" w:line="240" w:lineRule="auto"/>
        <w:ind w:firstLine="360"/>
        <w:jc w:val="both"/>
      </w:pPr>
      <w:r>
        <w:rPr>
          <w:rFonts w:ascii="Calisto MT" w:hAnsi="Calisto MT" w:eastAsia="Calisto MT"/>
          <w:b w:val="0"/>
          <w:i w:val="0"/>
          <w:sz w:val="20"/>
        </w:rPr>
        <w:t>Soropia Sub-district is located in Konawe Regency, Southeast Sulawesi Province, Indonesia. It covers an area of 62.73 km2, representing 0.92% of the total area of Konawe Regency. The population was estimated at 8,892 in 2018. The area consists of several ethnic groups, including Bajo, Tolaki, Bugis, and others. Fishing was the predominant occupation among households in the study area.</w:t>
      </w:r>
    </w:p>
    <w:p>
      <w:pPr>
        <w:spacing w:before="0" w:after="60" w:line="240" w:lineRule="auto"/>
        <w:ind w:firstLine="360"/>
        <w:jc w:val="both"/>
      </w:pPr>
      <w:r>
        <w:rPr>
          <w:rFonts w:ascii="Calisto MT" w:hAnsi="Calisto MT" w:eastAsia="Calisto MT"/>
          <w:b w:val="0"/>
          <w:i w:val="0"/>
          <w:sz w:val="20"/>
        </w:rPr>
        <w:t>The characteristics of parents are presented in Table 1. Most fathers had elementary-level education, while most mothers had elementary or junior high school education. The majority of fathers worked as fishermen, and all mothers were housewives.</w:t>
      </w:r>
    </w:p>
    <w:p>
      <w:pPr>
        <w:spacing w:before="160" w:after="60" w:line="240" w:lineRule="auto"/>
        <w:jc w:val="center"/>
      </w:pPr>
      <w:r>
        <w:rPr>
          <w:rFonts w:ascii="Calisto MT" w:hAnsi="Calisto MT" w:eastAsia="Calisto MT"/>
          <w:b/>
          <w:i w:val="0"/>
          <w:sz w:val="20"/>
        </w:rPr>
        <w:t>Table 1. Characteristics of Participants (n = 28)</w:t>
      </w:r>
    </w:p>
    <w:tbl>
      <w:tblPr>
        <w:tblStyle w:val="TableGrid"/>
        <w:tblW w:type="pct" w:w="500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rPr>
          <w:cantSplit/>
        </w:trPr>
        <w:tc>
          <w:tcPr>
            <w:tcW w:type="dxa" w:w="2736"/>
            <w:vAlign w:val="center"/>
          </w:tcPr>
          <w:p>
            <w:pPr>
              <w:spacing w:before="0" w:after="0" w:line="240" w:lineRule="auto"/>
              <w:jc w:val="center"/>
            </w:pPr>
            <w:r/>
            <w:r>
              <w:rPr>
                <w:rFonts w:ascii="Calisto MT" w:hAnsi="Calisto MT" w:eastAsia="Calisto MT"/>
                <w:b/>
                <w:sz w:val="17"/>
              </w:rPr>
              <w:t>Variable</w:t>
            </w:r>
          </w:p>
        </w:tc>
        <w:tc>
          <w:tcPr>
            <w:tcW w:type="dxa" w:w="3456"/>
            <w:vAlign w:val="center"/>
          </w:tcPr>
          <w:p>
            <w:pPr>
              <w:spacing w:before="0" w:after="0" w:line="240" w:lineRule="auto"/>
              <w:jc w:val="center"/>
            </w:pPr>
            <w:r/>
            <w:r>
              <w:rPr>
                <w:rFonts w:ascii="Calisto MT" w:hAnsi="Calisto MT" w:eastAsia="Calisto MT"/>
                <w:b/>
                <w:sz w:val="17"/>
              </w:rPr>
              <w:t>Category</w:t>
            </w:r>
          </w:p>
        </w:tc>
        <w:tc>
          <w:tcPr>
            <w:tcW w:type="dxa" w:w="1296"/>
            <w:vAlign w:val="center"/>
          </w:tcPr>
          <w:p>
            <w:pPr>
              <w:spacing w:before="0" w:after="0" w:line="240" w:lineRule="auto"/>
              <w:jc w:val="center"/>
            </w:pPr>
            <w:r/>
            <w:r>
              <w:rPr>
                <w:rFonts w:ascii="Calisto MT" w:hAnsi="Calisto MT" w:eastAsia="Calisto MT"/>
                <w:b/>
                <w:sz w:val="17"/>
              </w:rPr>
              <w:t>n</w:t>
            </w:r>
          </w:p>
        </w:tc>
        <w:tc>
          <w:tcPr>
            <w:tcW w:type="dxa" w:w="1296"/>
            <w:vAlign w:val="center"/>
          </w:tcPr>
          <w:p>
            <w:pPr>
              <w:spacing w:before="0" w:after="0" w:line="240" w:lineRule="auto"/>
              <w:jc w:val="center"/>
            </w:pPr>
            <w:r/>
            <w:r>
              <w:rPr>
                <w:rFonts w:ascii="Calisto MT" w:hAnsi="Calisto MT" w:eastAsia="Calisto MT"/>
                <w:b/>
                <w:sz w:val="17"/>
              </w:rPr>
              <w:t>%</w:t>
            </w:r>
          </w:p>
        </w:tc>
      </w:tr>
      <w:tr>
        <w:trPr>
          <w:cantSplit/>
        </w:trPr>
        <w:tc>
          <w:tcPr>
            <w:tcW w:type="dxa" w:w="2736"/>
            <w:vAlign w:val="center"/>
          </w:tcPr>
          <w:p>
            <w:pPr>
              <w:spacing w:before="0" w:after="0" w:line="240" w:lineRule="auto"/>
              <w:jc w:val="left"/>
            </w:pPr>
            <w:r/>
            <w:r>
              <w:rPr>
                <w:rFonts w:ascii="Calisto MT" w:hAnsi="Calisto MT" w:eastAsia="Calisto MT"/>
                <w:b w:val="0"/>
                <w:sz w:val="17"/>
              </w:rPr>
              <w:t>Father’s Education</w:t>
            </w:r>
          </w:p>
        </w:tc>
        <w:tc>
          <w:tcPr>
            <w:tcW w:type="dxa" w:w="3456"/>
            <w:vAlign w:val="center"/>
          </w:tcPr>
          <w:p>
            <w:pPr>
              <w:spacing w:before="0" w:after="0" w:line="240" w:lineRule="auto"/>
              <w:jc w:val="left"/>
            </w:pPr>
            <w:r/>
            <w:r>
              <w:rPr>
                <w:rFonts w:ascii="Calisto MT" w:hAnsi="Calisto MT" w:eastAsia="Calisto MT"/>
                <w:b w:val="0"/>
                <w:sz w:val="17"/>
              </w:rPr>
              <w:t>Elementary</w:t>
            </w:r>
          </w:p>
        </w:tc>
        <w:tc>
          <w:tcPr>
            <w:tcW w:type="dxa" w:w="1296"/>
            <w:vAlign w:val="center"/>
          </w:tcPr>
          <w:p>
            <w:pPr>
              <w:spacing w:before="0" w:after="0" w:line="240" w:lineRule="auto"/>
              <w:jc w:val="center"/>
            </w:pPr>
            <w:r/>
            <w:r>
              <w:rPr>
                <w:rFonts w:ascii="Calisto MT" w:hAnsi="Calisto MT" w:eastAsia="Calisto MT"/>
                <w:b w:val="0"/>
                <w:sz w:val="17"/>
              </w:rPr>
              <w:t>13</w:t>
            </w:r>
          </w:p>
        </w:tc>
        <w:tc>
          <w:tcPr>
            <w:tcW w:type="dxa" w:w="1296"/>
            <w:vAlign w:val="center"/>
          </w:tcPr>
          <w:p>
            <w:pPr>
              <w:spacing w:before="0" w:after="0" w:line="240" w:lineRule="auto"/>
              <w:jc w:val="center"/>
            </w:pPr>
            <w:r/>
            <w:r>
              <w:rPr>
                <w:rFonts w:ascii="Calisto MT" w:hAnsi="Calisto MT" w:eastAsia="Calisto MT"/>
                <w:b w:val="0"/>
                <w:sz w:val="17"/>
              </w:rPr>
              <w:t>46.3</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Junior High</w:t>
            </w:r>
          </w:p>
        </w:tc>
        <w:tc>
          <w:tcPr>
            <w:tcW w:type="dxa" w:w="1296"/>
            <w:vAlign w:val="center"/>
          </w:tcPr>
          <w:p>
            <w:pPr>
              <w:spacing w:before="0" w:after="0" w:line="240" w:lineRule="auto"/>
              <w:jc w:val="center"/>
            </w:pPr>
            <w:r/>
            <w:r>
              <w:rPr>
                <w:rFonts w:ascii="Calisto MT" w:hAnsi="Calisto MT" w:eastAsia="Calisto MT"/>
                <w:b w:val="0"/>
                <w:sz w:val="17"/>
              </w:rPr>
              <w:t>8</w:t>
            </w:r>
          </w:p>
        </w:tc>
        <w:tc>
          <w:tcPr>
            <w:tcW w:type="dxa" w:w="1296"/>
            <w:vAlign w:val="center"/>
          </w:tcPr>
          <w:p>
            <w:pPr>
              <w:spacing w:before="0" w:after="0" w:line="240" w:lineRule="auto"/>
              <w:jc w:val="center"/>
            </w:pPr>
            <w:r/>
            <w:r>
              <w:rPr>
                <w:rFonts w:ascii="Calisto MT" w:hAnsi="Calisto MT" w:eastAsia="Calisto MT"/>
                <w:b w:val="0"/>
                <w:sz w:val="17"/>
              </w:rPr>
              <w:t>28.6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Senior High</w:t>
            </w:r>
          </w:p>
        </w:tc>
        <w:tc>
          <w:tcPr>
            <w:tcW w:type="dxa" w:w="1296"/>
            <w:vAlign w:val="center"/>
          </w:tcPr>
          <w:p>
            <w:pPr>
              <w:spacing w:before="0" w:after="0" w:line="240" w:lineRule="auto"/>
              <w:jc w:val="center"/>
            </w:pPr>
            <w:r/>
            <w:r>
              <w:rPr>
                <w:rFonts w:ascii="Calisto MT" w:hAnsi="Calisto MT" w:eastAsia="Calisto MT"/>
                <w:b w:val="0"/>
                <w:sz w:val="17"/>
              </w:rPr>
              <w:t>6</w:t>
            </w:r>
          </w:p>
        </w:tc>
        <w:tc>
          <w:tcPr>
            <w:tcW w:type="dxa" w:w="1296"/>
            <w:vAlign w:val="center"/>
          </w:tcPr>
          <w:p>
            <w:pPr>
              <w:spacing w:before="0" w:after="0" w:line="240" w:lineRule="auto"/>
              <w:jc w:val="center"/>
            </w:pPr>
            <w:r/>
            <w:r>
              <w:rPr>
                <w:rFonts w:ascii="Calisto MT" w:hAnsi="Calisto MT" w:eastAsia="Calisto MT"/>
                <w:b w:val="0"/>
                <w:sz w:val="17"/>
              </w:rPr>
              <w:t>21.4</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Diploma/Bachelor</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t>Mother’s Education</w:t>
            </w:r>
          </w:p>
        </w:tc>
        <w:tc>
          <w:tcPr>
            <w:tcW w:type="dxa" w:w="3456"/>
            <w:vAlign w:val="center"/>
          </w:tcPr>
          <w:p>
            <w:pPr>
              <w:spacing w:before="0" w:after="0" w:line="240" w:lineRule="auto"/>
              <w:jc w:val="left"/>
            </w:pPr>
            <w:r/>
            <w:r>
              <w:rPr>
                <w:rFonts w:ascii="Calisto MT" w:hAnsi="Calisto MT" w:eastAsia="Calisto MT"/>
                <w:b w:val="0"/>
                <w:sz w:val="17"/>
              </w:rPr>
              <w:t>No School</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Elementary</w:t>
            </w:r>
          </w:p>
        </w:tc>
        <w:tc>
          <w:tcPr>
            <w:tcW w:type="dxa" w:w="1296"/>
            <w:vAlign w:val="center"/>
          </w:tcPr>
          <w:p>
            <w:pPr>
              <w:spacing w:before="0" w:after="0" w:line="240" w:lineRule="auto"/>
              <w:jc w:val="center"/>
            </w:pPr>
            <w:r/>
            <w:r>
              <w:rPr>
                <w:rFonts w:ascii="Calisto MT" w:hAnsi="Calisto MT" w:eastAsia="Calisto MT"/>
                <w:b w:val="0"/>
                <w:sz w:val="17"/>
              </w:rPr>
              <w:t>11</w:t>
            </w:r>
          </w:p>
        </w:tc>
        <w:tc>
          <w:tcPr>
            <w:tcW w:type="dxa" w:w="1296"/>
            <w:vAlign w:val="center"/>
          </w:tcPr>
          <w:p>
            <w:pPr>
              <w:spacing w:before="0" w:after="0" w:line="240" w:lineRule="auto"/>
              <w:jc w:val="center"/>
            </w:pPr>
            <w:r/>
            <w:r>
              <w:rPr>
                <w:rFonts w:ascii="Calisto MT" w:hAnsi="Calisto MT" w:eastAsia="Calisto MT"/>
                <w:b w:val="0"/>
                <w:sz w:val="17"/>
              </w:rPr>
              <w:t>39.3</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Junior High</w:t>
            </w:r>
          </w:p>
        </w:tc>
        <w:tc>
          <w:tcPr>
            <w:tcW w:type="dxa" w:w="1296"/>
            <w:vAlign w:val="center"/>
          </w:tcPr>
          <w:p>
            <w:pPr>
              <w:spacing w:before="0" w:after="0" w:line="240" w:lineRule="auto"/>
              <w:jc w:val="center"/>
            </w:pPr>
            <w:r/>
            <w:r>
              <w:rPr>
                <w:rFonts w:ascii="Calisto MT" w:hAnsi="Calisto MT" w:eastAsia="Calisto MT"/>
                <w:b w:val="0"/>
                <w:sz w:val="17"/>
              </w:rPr>
              <w:t>9</w:t>
            </w:r>
          </w:p>
        </w:tc>
        <w:tc>
          <w:tcPr>
            <w:tcW w:type="dxa" w:w="1296"/>
            <w:vAlign w:val="center"/>
          </w:tcPr>
          <w:p>
            <w:pPr>
              <w:spacing w:before="0" w:after="0" w:line="240" w:lineRule="auto"/>
              <w:jc w:val="center"/>
            </w:pPr>
            <w:r/>
            <w:r>
              <w:rPr>
                <w:rFonts w:ascii="Calisto MT" w:hAnsi="Calisto MT" w:eastAsia="Calisto MT"/>
                <w:b w:val="0"/>
                <w:sz w:val="17"/>
              </w:rPr>
              <w:t>32.1</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Senior High</w:t>
            </w:r>
          </w:p>
        </w:tc>
        <w:tc>
          <w:tcPr>
            <w:tcW w:type="dxa" w:w="1296"/>
            <w:vAlign w:val="center"/>
          </w:tcPr>
          <w:p>
            <w:pPr>
              <w:spacing w:before="0" w:after="0" w:line="240" w:lineRule="auto"/>
              <w:jc w:val="center"/>
            </w:pPr>
            <w:r/>
            <w:r>
              <w:rPr>
                <w:rFonts w:ascii="Calisto MT" w:hAnsi="Calisto MT" w:eastAsia="Calisto MT"/>
                <w:b w:val="0"/>
                <w:sz w:val="17"/>
              </w:rPr>
              <w:t>6</w:t>
            </w:r>
          </w:p>
        </w:tc>
        <w:tc>
          <w:tcPr>
            <w:tcW w:type="dxa" w:w="1296"/>
            <w:vAlign w:val="center"/>
          </w:tcPr>
          <w:p>
            <w:pPr>
              <w:spacing w:before="0" w:after="0" w:line="240" w:lineRule="auto"/>
              <w:jc w:val="center"/>
            </w:pPr>
            <w:r/>
            <w:r>
              <w:rPr>
                <w:rFonts w:ascii="Calisto MT" w:hAnsi="Calisto MT" w:eastAsia="Calisto MT"/>
                <w:b w:val="0"/>
                <w:sz w:val="17"/>
              </w:rPr>
              <w:t>21.4</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Diploma/Bachelor</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t>Father’s Occupation</w:t>
            </w:r>
          </w:p>
        </w:tc>
        <w:tc>
          <w:tcPr>
            <w:tcW w:type="dxa" w:w="3456"/>
            <w:vAlign w:val="center"/>
          </w:tcPr>
          <w:p>
            <w:pPr>
              <w:spacing w:before="0" w:after="0" w:line="240" w:lineRule="auto"/>
              <w:jc w:val="left"/>
            </w:pPr>
            <w:r/>
            <w:r>
              <w:rPr>
                <w:rFonts w:ascii="Calisto MT" w:hAnsi="Calisto MT" w:eastAsia="Calisto MT"/>
                <w:b w:val="0"/>
                <w:sz w:val="17"/>
              </w:rPr>
              <w:t>Civil servant</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Self-employed</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Fisherman</w:t>
            </w:r>
          </w:p>
        </w:tc>
        <w:tc>
          <w:tcPr>
            <w:tcW w:type="dxa" w:w="1296"/>
            <w:vAlign w:val="center"/>
          </w:tcPr>
          <w:p>
            <w:pPr>
              <w:spacing w:before="0" w:after="0" w:line="240" w:lineRule="auto"/>
              <w:jc w:val="center"/>
            </w:pPr>
            <w:r/>
            <w:r>
              <w:rPr>
                <w:rFonts w:ascii="Calisto MT" w:hAnsi="Calisto MT" w:eastAsia="Calisto MT"/>
                <w:b w:val="0"/>
                <w:sz w:val="17"/>
              </w:rPr>
              <w:t>25</w:t>
            </w:r>
          </w:p>
        </w:tc>
        <w:tc>
          <w:tcPr>
            <w:tcW w:type="dxa" w:w="1296"/>
            <w:vAlign w:val="center"/>
          </w:tcPr>
          <w:p>
            <w:pPr>
              <w:spacing w:before="0" w:after="0" w:line="240" w:lineRule="auto"/>
              <w:jc w:val="center"/>
            </w:pPr>
            <w:r/>
            <w:r>
              <w:rPr>
                <w:rFonts w:ascii="Calisto MT" w:hAnsi="Calisto MT" w:eastAsia="Calisto MT"/>
                <w:b w:val="0"/>
                <w:sz w:val="17"/>
              </w:rPr>
              <w:t>89.3</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Laborer</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t>Mother’s Occupation</w:t>
            </w:r>
          </w:p>
        </w:tc>
        <w:tc>
          <w:tcPr>
            <w:tcW w:type="dxa" w:w="3456"/>
            <w:vAlign w:val="center"/>
          </w:tcPr>
          <w:p>
            <w:pPr>
              <w:spacing w:before="0" w:after="0" w:line="240" w:lineRule="auto"/>
              <w:jc w:val="left"/>
            </w:pPr>
            <w:r/>
            <w:r>
              <w:rPr>
                <w:rFonts w:ascii="Calisto MT" w:hAnsi="Calisto MT" w:eastAsia="Calisto MT"/>
                <w:b w:val="0"/>
                <w:sz w:val="17"/>
              </w:rPr>
              <w:t>Housewife</w:t>
            </w:r>
          </w:p>
        </w:tc>
        <w:tc>
          <w:tcPr>
            <w:tcW w:type="dxa" w:w="1296"/>
            <w:vAlign w:val="center"/>
          </w:tcPr>
          <w:p>
            <w:pPr>
              <w:spacing w:before="0" w:after="0" w:line="240" w:lineRule="auto"/>
              <w:jc w:val="center"/>
            </w:pPr>
            <w:r/>
            <w:r>
              <w:rPr>
                <w:rFonts w:ascii="Calisto MT" w:hAnsi="Calisto MT" w:eastAsia="Calisto MT"/>
                <w:b w:val="0"/>
                <w:sz w:val="17"/>
              </w:rPr>
              <w:t>28</w:t>
            </w:r>
          </w:p>
        </w:tc>
        <w:tc>
          <w:tcPr>
            <w:tcW w:type="dxa" w:w="1296"/>
            <w:vAlign w:val="center"/>
          </w:tcPr>
          <w:p>
            <w:pPr>
              <w:spacing w:before="0" w:after="0" w:line="240" w:lineRule="auto"/>
              <w:jc w:val="center"/>
            </w:pPr>
            <w:r/>
            <w:r>
              <w:rPr>
                <w:rFonts w:ascii="Calisto MT" w:hAnsi="Calisto MT" w:eastAsia="Calisto MT"/>
                <w:b w:val="0"/>
                <w:sz w:val="17"/>
              </w:rPr>
              <w:t>100</w:t>
            </w:r>
          </w:p>
        </w:tc>
      </w:tr>
    </w:tbl>
    <w:p>
      <w:pPr>
        <w:spacing w:before="0" w:after="60" w:line="240" w:lineRule="auto"/>
      </w:pPr>
      <w:r>
        <w:rPr>
          <w:rFonts w:ascii="Calisto MT" w:hAnsi="Calisto MT" w:eastAsia="Calisto MT"/>
          <w:b w:val="0"/>
          <w:i w:val="0"/>
          <w:sz w:val="20"/>
        </w:rPr>
      </w:r>
    </w:p>
    <w:p>
      <w:pPr>
        <w:spacing w:before="0" w:after="60" w:line="240" w:lineRule="auto"/>
        <w:ind w:firstLine="360"/>
        <w:jc w:val="both"/>
      </w:pPr>
      <w:r>
        <w:rPr>
          <w:rFonts w:ascii="Calisto MT" w:hAnsi="Calisto MT" w:eastAsia="Calisto MT"/>
          <w:b w:val="0"/>
          <w:i w:val="0"/>
          <w:sz w:val="20"/>
        </w:rPr>
        <w:t>The characteristics of toddlers are shown in Table 2. Most toddlers were female. The largest age group was 24-36 months, followed by 12-23 months and 6-11 months. The study included equal numbers of stunted and non-stunted toddlers because of the case-control design.</w:t>
      </w:r>
    </w:p>
    <w:p>
      <w:pPr>
        <w:spacing w:before="160" w:after="60" w:line="240" w:lineRule="auto"/>
        <w:jc w:val="center"/>
      </w:pPr>
      <w:r>
        <w:rPr>
          <w:rFonts w:ascii="Calisto MT" w:hAnsi="Calisto MT" w:eastAsia="Calisto MT"/>
          <w:b/>
          <w:i w:val="0"/>
          <w:sz w:val="20"/>
        </w:rPr>
        <w:t>Table 2. Characteristics of Toddlers (n = 28)</w:t>
      </w:r>
    </w:p>
    <w:tbl>
      <w:tblPr>
        <w:tblStyle w:val="TableGrid"/>
        <w:tblW w:type="pct" w:w="500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rPr>
          <w:cantSplit/>
        </w:trPr>
        <w:tc>
          <w:tcPr>
            <w:tcW w:type="dxa" w:w="2736"/>
            <w:vAlign w:val="center"/>
          </w:tcPr>
          <w:p>
            <w:pPr>
              <w:spacing w:before="0" w:after="0" w:line="240" w:lineRule="auto"/>
              <w:jc w:val="center"/>
            </w:pPr>
            <w:r/>
            <w:r>
              <w:rPr>
                <w:rFonts w:ascii="Calisto MT" w:hAnsi="Calisto MT" w:eastAsia="Calisto MT"/>
                <w:b/>
                <w:sz w:val="17"/>
              </w:rPr>
              <w:t>Variable</w:t>
            </w:r>
          </w:p>
        </w:tc>
        <w:tc>
          <w:tcPr>
            <w:tcW w:type="dxa" w:w="3456"/>
            <w:vAlign w:val="center"/>
          </w:tcPr>
          <w:p>
            <w:pPr>
              <w:spacing w:before="0" w:after="0" w:line="240" w:lineRule="auto"/>
              <w:jc w:val="center"/>
            </w:pPr>
            <w:r/>
            <w:r>
              <w:rPr>
                <w:rFonts w:ascii="Calisto MT" w:hAnsi="Calisto MT" w:eastAsia="Calisto MT"/>
                <w:b/>
                <w:sz w:val="17"/>
              </w:rPr>
              <w:t>Category</w:t>
            </w:r>
          </w:p>
        </w:tc>
        <w:tc>
          <w:tcPr>
            <w:tcW w:type="dxa" w:w="1296"/>
            <w:vAlign w:val="center"/>
          </w:tcPr>
          <w:p>
            <w:pPr>
              <w:spacing w:before="0" w:after="0" w:line="240" w:lineRule="auto"/>
              <w:jc w:val="center"/>
            </w:pPr>
            <w:r/>
            <w:r>
              <w:rPr>
                <w:rFonts w:ascii="Calisto MT" w:hAnsi="Calisto MT" w:eastAsia="Calisto MT"/>
                <w:b/>
                <w:sz w:val="17"/>
              </w:rPr>
              <w:t>n</w:t>
            </w:r>
          </w:p>
        </w:tc>
        <w:tc>
          <w:tcPr>
            <w:tcW w:type="dxa" w:w="1296"/>
            <w:vAlign w:val="center"/>
          </w:tcPr>
          <w:p>
            <w:pPr>
              <w:spacing w:before="0" w:after="0" w:line="240" w:lineRule="auto"/>
              <w:jc w:val="center"/>
            </w:pPr>
            <w:r/>
            <w:r>
              <w:rPr>
                <w:rFonts w:ascii="Calisto MT" w:hAnsi="Calisto MT" w:eastAsia="Calisto MT"/>
                <w:b/>
                <w:sz w:val="17"/>
              </w:rPr>
              <w:t>%</w:t>
            </w:r>
          </w:p>
        </w:tc>
      </w:tr>
      <w:tr>
        <w:trPr>
          <w:cantSplit/>
        </w:trPr>
        <w:tc>
          <w:tcPr>
            <w:tcW w:type="dxa" w:w="2736"/>
            <w:vAlign w:val="center"/>
          </w:tcPr>
          <w:p>
            <w:pPr>
              <w:spacing w:before="0" w:after="0" w:line="240" w:lineRule="auto"/>
              <w:jc w:val="left"/>
            </w:pPr>
            <w:r/>
            <w:r>
              <w:rPr>
                <w:rFonts w:ascii="Calisto MT" w:hAnsi="Calisto MT" w:eastAsia="Calisto MT"/>
                <w:b w:val="0"/>
                <w:sz w:val="17"/>
              </w:rPr>
              <w:t>Sex</w:t>
            </w:r>
          </w:p>
        </w:tc>
        <w:tc>
          <w:tcPr>
            <w:tcW w:type="dxa" w:w="3456"/>
            <w:vAlign w:val="center"/>
          </w:tcPr>
          <w:p>
            <w:pPr>
              <w:spacing w:before="0" w:after="0" w:line="240" w:lineRule="auto"/>
              <w:jc w:val="left"/>
            </w:pPr>
            <w:r/>
            <w:r>
              <w:rPr>
                <w:rFonts w:ascii="Calisto MT" w:hAnsi="Calisto MT" w:eastAsia="Calisto MT"/>
                <w:b w:val="0"/>
                <w:sz w:val="17"/>
              </w:rPr>
              <w:t>Male</w:t>
            </w:r>
          </w:p>
        </w:tc>
        <w:tc>
          <w:tcPr>
            <w:tcW w:type="dxa" w:w="1296"/>
            <w:vAlign w:val="center"/>
          </w:tcPr>
          <w:p>
            <w:pPr>
              <w:spacing w:before="0" w:after="0" w:line="240" w:lineRule="auto"/>
              <w:jc w:val="center"/>
            </w:pPr>
            <w:r/>
            <w:r>
              <w:rPr>
                <w:rFonts w:ascii="Calisto MT" w:hAnsi="Calisto MT" w:eastAsia="Calisto MT"/>
                <w:b w:val="0"/>
                <w:sz w:val="17"/>
              </w:rPr>
              <w:t>8</w:t>
            </w:r>
          </w:p>
        </w:tc>
        <w:tc>
          <w:tcPr>
            <w:tcW w:type="dxa" w:w="1296"/>
            <w:vAlign w:val="center"/>
          </w:tcPr>
          <w:p>
            <w:pPr>
              <w:spacing w:before="0" w:after="0" w:line="240" w:lineRule="auto"/>
              <w:jc w:val="center"/>
            </w:pPr>
            <w:r/>
            <w:r>
              <w:rPr>
                <w:rFonts w:ascii="Calisto MT" w:hAnsi="Calisto MT" w:eastAsia="Calisto MT"/>
                <w:b w:val="0"/>
                <w:sz w:val="17"/>
              </w:rPr>
              <w:t>28.6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Female</w:t>
            </w:r>
          </w:p>
        </w:tc>
        <w:tc>
          <w:tcPr>
            <w:tcW w:type="dxa" w:w="1296"/>
            <w:vAlign w:val="center"/>
          </w:tcPr>
          <w:p>
            <w:pPr>
              <w:spacing w:before="0" w:after="0" w:line="240" w:lineRule="auto"/>
              <w:jc w:val="center"/>
            </w:pPr>
            <w:r/>
            <w:r>
              <w:rPr>
                <w:rFonts w:ascii="Calisto MT" w:hAnsi="Calisto MT" w:eastAsia="Calisto MT"/>
                <w:b w:val="0"/>
                <w:sz w:val="17"/>
              </w:rPr>
              <w:t>20</w:t>
            </w:r>
          </w:p>
        </w:tc>
        <w:tc>
          <w:tcPr>
            <w:tcW w:type="dxa" w:w="1296"/>
            <w:vAlign w:val="center"/>
          </w:tcPr>
          <w:p>
            <w:pPr>
              <w:spacing w:before="0" w:after="0" w:line="240" w:lineRule="auto"/>
              <w:jc w:val="center"/>
            </w:pPr>
            <w:r/>
            <w:r>
              <w:rPr>
                <w:rFonts w:ascii="Calisto MT" w:hAnsi="Calisto MT" w:eastAsia="Calisto MT"/>
                <w:b w:val="0"/>
                <w:sz w:val="17"/>
              </w:rPr>
              <w:t>71.4</w:t>
            </w:r>
          </w:p>
        </w:tc>
      </w:tr>
      <w:tr>
        <w:trPr>
          <w:cantSplit/>
        </w:trPr>
        <w:tc>
          <w:tcPr>
            <w:tcW w:type="dxa" w:w="2736"/>
            <w:vAlign w:val="center"/>
          </w:tcPr>
          <w:p>
            <w:pPr>
              <w:spacing w:before="0" w:after="0" w:line="240" w:lineRule="auto"/>
              <w:jc w:val="left"/>
            </w:pPr>
            <w:r/>
            <w:r>
              <w:rPr>
                <w:rFonts w:ascii="Calisto MT" w:hAnsi="Calisto MT" w:eastAsia="Calisto MT"/>
                <w:b w:val="0"/>
                <w:sz w:val="17"/>
              </w:rPr>
              <w:t>Age Group</w:t>
            </w:r>
          </w:p>
        </w:tc>
        <w:tc>
          <w:tcPr>
            <w:tcW w:type="dxa" w:w="3456"/>
            <w:vAlign w:val="center"/>
          </w:tcPr>
          <w:p>
            <w:pPr>
              <w:spacing w:before="0" w:after="0" w:line="240" w:lineRule="auto"/>
              <w:jc w:val="left"/>
            </w:pPr>
            <w:r/>
            <w:r>
              <w:rPr>
                <w:rFonts w:ascii="Calisto MT" w:hAnsi="Calisto MT" w:eastAsia="Calisto MT"/>
                <w:b w:val="0"/>
                <w:sz w:val="17"/>
              </w:rPr>
              <w:t>6-11 months</w:t>
            </w:r>
          </w:p>
        </w:tc>
        <w:tc>
          <w:tcPr>
            <w:tcW w:type="dxa" w:w="1296"/>
            <w:vAlign w:val="center"/>
          </w:tcPr>
          <w:p>
            <w:pPr>
              <w:spacing w:before="0" w:after="0" w:line="240" w:lineRule="auto"/>
              <w:jc w:val="center"/>
            </w:pPr>
            <w:r/>
            <w:r>
              <w:rPr>
                <w:rFonts w:ascii="Calisto MT" w:hAnsi="Calisto MT" w:eastAsia="Calisto MT"/>
                <w:b w:val="0"/>
                <w:sz w:val="17"/>
              </w:rPr>
              <w:t>6</w:t>
            </w:r>
          </w:p>
        </w:tc>
        <w:tc>
          <w:tcPr>
            <w:tcW w:type="dxa" w:w="1296"/>
            <w:vAlign w:val="center"/>
          </w:tcPr>
          <w:p>
            <w:pPr>
              <w:spacing w:before="0" w:after="0" w:line="240" w:lineRule="auto"/>
              <w:jc w:val="center"/>
            </w:pPr>
            <w:r/>
            <w:r>
              <w:rPr>
                <w:rFonts w:ascii="Calisto MT" w:hAnsi="Calisto MT" w:eastAsia="Calisto MT"/>
                <w:b w:val="0"/>
                <w:sz w:val="17"/>
              </w:rPr>
              <w:t>21.4</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12-23 months</w:t>
            </w:r>
          </w:p>
        </w:tc>
        <w:tc>
          <w:tcPr>
            <w:tcW w:type="dxa" w:w="1296"/>
            <w:vAlign w:val="center"/>
          </w:tcPr>
          <w:p>
            <w:pPr>
              <w:spacing w:before="0" w:after="0" w:line="240" w:lineRule="auto"/>
              <w:jc w:val="center"/>
            </w:pPr>
            <w:r/>
            <w:r>
              <w:rPr>
                <w:rFonts w:ascii="Calisto MT" w:hAnsi="Calisto MT" w:eastAsia="Calisto MT"/>
                <w:b w:val="0"/>
                <w:sz w:val="17"/>
              </w:rPr>
              <w:t>8</w:t>
            </w:r>
          </w:p>
        </w:tc>
        <w:tc>
          <w:tcPr>
            <w:tcW w:type="dxa" w:w="1296"/>
            <w:vAlign w:val="center"/>
          </w:tcPr>
          <w:p>
            <w:pPr>
              <w:spacing w:before="0" w:after="0" w:line="240" w:lineRule="auto"/>
              <w:jc w:val="center"/>
            </w:pPr>
            <w:r/>
            <w:r>
              <w:rPr>
                <w:rFonts w:ascii="Calisto MT" w:hAnsi="Calisto MT" w:eastAsia="Calisto MT"/>
                <w:b w:val="0"/>
                <w:sz w:val="17"/>
              </w:rPr>
              <w:t>28.6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24-36 months</w:t>
            </w:r>
          </w:p>
        </w:tc>
        <w:tc>
          <w:tcPr>
            <w:tcW w:type="dxa" w:w="1296"/>
            <w:vAlign w:val="center"/>
          </w:tcPr>
          <w:p>
            <w:pPr>
              <w:spacing w:before="0" w:after="0" w:line="240" w:lineRule="auto"/>
              <w:jc w:val="center"/>
            </w:pPr>
            <w:r/>
            <w:r>
              <w:rPr>
                <w:rFonts w:ascii="Calisto MT" w:hAnsi="Calisto MT" w:eastAsia="Calisto MT"/>
                <w:b w:val="0"/>
                <w:sz w:val="17"/>
              </w:rPr>
              <w:t>14</w:t>
            </w:r>
          </w:p>
        </w:tc>
        <w:tc>
          <w:tcPr>
            <w:tcW w:type="dxa" w:w="1296"/>
            <w:vAlign w:val="center"/>
          </w:tcPr>
          <w:p>
            <w:pPr>
              <w:spacing w:before="0" w:after="0" w:line="240" w:lineRule="auto"/>
              <w:jc w:val="center"/>
            </w:pPr>
            <w:r/>
            <w:r>
              <w:rPr>
                <w:rFonts w:ascii="Calisto MT" w:hAnsi="Calisto MT" w:eastAsia="Calisto MT"/>
                <w:b w:val="0"/>
                <w:sz w:val="17"/>
              </w:rPr>
              <w:t>50.0</w:t>
            </w:r>
          </w:p>
        </w:tc>
      </w:tr>
    </w:tbl>
    <w:p>
      <w:pPr>
        <w:spacing w:before="0" w:after="60" w:line="240" w:lineRule="auto"/>
      </w:pPr>
      <w:r>
        <w:rPr>
          <w:rFonts w:ascii="Calisto MT" w:hAnsi="Calisto MT" w:eastAsia="Calisto MT"/>
          <w:b w:val="0"/>
          <w:i w:val="0"/>
          <w:sz w:val="20"/>
        </w:rPr>
      </w:r>
    </w:p>
    <w:p>
      <w:pPr>
        <w:spacing w:before="0" w:after="60" w:line="240" w:lineRule="auto"/>
        <w:ind w:firstLine="360"/>
        <w:jc w:val="both"/>
      </w:pPr>
      <w:r>
        <w:rPr>
          <w:rFonts w:ascii="Calisto MT" w:hAnsi="Calisto MT" w:eastAsia="Calisto MT"/>
          <w:b w:val="0"/>
          <w:i w:val="0"/>
          <w:sz w:val="20"/>
        </w:rPr>
        <w:t>The distribution of study variables is shown in Tables 3 and 4. Non-exclusive breastfeeding was reported in more than half of the participants. Inappropriate first complementary feeding was also observed in a considerable proportion of toddlers. Most children had birth weight &gt;=2500 g, while most had birth length &lt;50 cm. More than half of the mothers had height &gt;=150 cm.</w:t>
      </w:r>
    </w:p>
    <w:p>
      <w:pPr>
        <w:spacing w:before="160" w:after="60" w:line="240" w:lineRule="auto"/>
        <w:jc w:val="center"/>
      </w:pPr>
      <w:r>
        <w:rPr>
          <w:rFonts w:ascii="Calisto MT" w:hAnsi="Calisto MT" w:eastAsia="Calisto MT"/>
          <w:b/>
          <w:i w:val="0"/>
          <w:sz w:val="20"/>
        </w:rPr>
        <w:t>Table 3. Distribution of Stunting and Feeding Practices</w:t>
      </w:r>
    </w:p>
    <w:tbl>
      <w:tblPr>
        <w:tblStyle w:val="TableGrid"/>
        <w:tblW w:type="pct" w:w="500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rPr>
          <w:cantSplit/>
        </w:trPr>
        <w:tc>
          <w:tcPr>
            <w:tcW w:type="dxa" w:w="2736"/>
            <w:vAlign w:val="center"/>
          </w:tcPr>
          <w:p>
            <w:pPr>
              <w:spacing w:before="0" w:after="0" w:line="240" w:lineRule="auto"/>
              <w:jc w:val="center"/>
            </w:pPr>
            <w:r/>
            <w:r>
              <w:rPr>
                <w:rFonts w:ascii="Calisto MT" w:hAnsi="Calisto MT" w:eastAsia="Calisto MT"/>
                <w:b/>
                <w:sz w:val="17"/>
              </w:rPr>
              <w:t>Variable</w:t>
            </w:r>
          </w:p>
        </w:tc>
        <w:tc>
          <w:tcPr>
            <w:tcW w:type="dxa" w:w="3456"/>
            <w:vAlign w:val="center"/>
          </w:tcPr>
          <w:p>
            <w:pPr>
              <w:spacing w:before="0" w:after="0" w:line="240" w:lineRule="auto"/>
              <w:jc w:val="center"/>
            </w:pPr>
            <w:r/>
            <w:r>
              <w:rPr>
                <w:rFonts w:ascii="Calisto MT" w:hAnsi="Calisto MT" w:eastAsia="Calisto MT"/>
                <w:b/>
                <w:sz w:val="17"/>
              </w:rPr>
              <w:t>Category</w:t>
            </w:r>
          </w:p>
        </w:tc>
        <w:tc>
          <w:tcPr>
            <w:tcW w:type="dxa" w:w="1296"/>
            <w:vAlign w:val="center"/>
          </w:tcPr>
          <w:p>
            <w:pPr>
              <w:spacing w:before="0" w:after="0" w:line="240" w:lineRule="auto"/>
              <w:jc w:val="center"/>
            </w:pPr>
            <w:r/>
            <w:r>
              <w:rPr>
                <w:rFonts w:ascii="Calisto MT" w:hAnsi="Calisto MT" w:eastAsia="Calisto MT"/>
                <w:b/>
                <w:sz w:val="17"/>
              </w:rPr>
              <w:t>n</w:t>
            </w:r>
          </w:p>
        </w:tc>
        <w:tc>
          <w:tcPr>
            <w:tcW w:type="dxa" w:w="1296"/>
            <w:vAlign w:val="center"/>
          </w:tcPr>
          <w:p>
            <w:pPr>
              <w:spacing w:before="0" w:after="0" w:line="240" w:lineRule="auto"/>
              <w:jc w:val="center"/>
            </w:pPr>
            <w:r/>
            <w:r>
              <w:rPr>
                <w:rFonts w:ascii="Calisto MT" w:hAnsi="Calisto MT" w:eastAsia="Calisto MT"/>
                <w:b/>
                <w:sz w:val="17"/>
              </w:rPr>
              <w:t>%</w:t>
            </w:r>
          </w:p>
        </w:tc>
      </w:tr>
      <w:tr>
        <w:trPr>
          <w:cantSplit/>
        </w:trPr>
        <w:tc>
          <w:tcPr>
            <w:tcW w:type="dxa" w:w="2736"/>
            <w:vAlign w:val="center"/>
          </w:tcPr>
          <w:p>
            <w:pPr>
              <w:spacing w:before="0" w:after="0" w:line="240" w:lineRule="auto"/>
              <w:jc w:val="left"/>
            </w:pPr>
            <w:r/>
            <w:r>
              <w:rPr>
                <w:rFonts w:ascii="Calisto MT" w:hAnsi="Calisto MT" w:eastAsia="Calisto MT"/>
                <w:b w:val="0"/>
                <w:sz w:val="17"/>
              </w:rPr>
              <w:t>Stunting Status</w:t>
            </w:r>
          </w:p>
        </w:tc>
        <w:tc>
          <w:tcPr>
            <w:tcW w:type="dxa" w:w="3456"/>
            <w:vAlign w:val="center"/>
          </w:tcPr>
          <w:p>
            <w:pPr>
              <w:spacing w:before="0" w:after="0" w:line="240" w:lineRule="auto"/>
              <w:jc w:val="left"/>
            </w:pPr>
            <w:r/>
            <w:r>
              <w:rPr>
                <w:rFonts w:ascii="Calisto MT" w:hAnsi="Calisto MT" w:eastAsia="Calisto MT"/>
                <w:b w:val="0"/>
                <w:sz w:val="17"/>
              </w:rPr>
              <w:t>Stunting</w:t>
            </w:r>
          </w:p>
        </w:tc>
        <w:tc>
          <w:tcPr>
            <w:tcW w:type="dxa" w:w="1296"/>
            <w:vAlign w:val="center"/>
          </w:tcPr>
          <w:p>
            <w:pPr>
              <w:spacing w:before="0" w:after="0" w:line="240" w:lineRule="auto"/>
              <w:jc w:val="center"/>
            </w:pPr>
            <w:r/>
            <w:r>
              <w:rPr>
                <w:rFonts w:ascii="Calisto MT" w:hAnsi="Calisto MT" w:eastAsia="Calisto MT"/>
                <w:b w:val="0"/>
                <w:sz w:val="17"/>
              </w:rPr>
              <w:t>14</w:t>
            </w:r>
          </w:p>
        </w:tc>
        <w:tc>
          <w:tcPr>
            <w:tcW w:type="dxa" w:w="1296"/>
            <w:vAlign w:val="center"/>
          </w:tcPr>
          <w:p>
            <w:pPr>
              <w:spacing w:before="0" w:after="0" w:line="240" w:lineRule="auto"/>
              <w:jc w:val="center"/>
            </w:pPr>
            <w:r/>
            <w:r>
              <w:rPr>
                <w:rFonts w:ascii="Calisto MT" w:hAnsi="Calisto MT" w:eastAsia="Calisto MT"/>
                <w:b w:val="0"/>
                <w:sz w:val="17"/>
              </w:rPr>
              <w:t>50.0</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Non-stunting</w:t>
            </w:r>
          </w:p>
        </w:tc>
        <w:tc>
          <w:tcPr>
            <w:tcW w:type="dxa" w:w="1296"/>
            <w:vAlign w:val="center"/>
          </w:tcPr>
          <w:p>
            <w:pPr>
              <w:spacing w:before="0" w:after="0" w:line="240" w:lineRule="auto"/>
              <w:jc w:val="center"/>
            </w:pPr>
            <w:r/>
            <w:r>
              <w:rPr>
                <w:rFonts w:ascii="Calisto MT" w:hAnsi="Calisto MT" w:eastAsia="Calisto MT"/>
                <w:b w:val="0"/>
                <w:sz w:val="17"/>
              </w:rPr>
              <w:t>14</w:t>
            </w:r>
          </w:p>
        </w:tc>
        <w:tc>
          <w:tcPr>
            <w:tcW w:type="dxa" w:w="1296"/>
            <w:vAlign w:val="center"/>
          </w:tcPr>
          <w:p>
            <w:pPr>
              <w:spacing w:before="0" w:after="0" w:line="240" w:lineRule="auto"/>
              <w:jc w:val="center"/>
            </w:pPr>
            <w:r/>
            <w:r>
              <w:rPr>
                <w:rFonts w:ascii="Calisto MT" w:hAnsi="Calisto MT" w:eastAsia="Calisto MT"/>
                <w:b w:val="0"/>
                <w:sz w:val="17"/>
              </w:rPr>
              <w:t>50.0</w:t>
            </w:r>
          </w:p>
        </w:tc>
      </w:tr>
      <w:tr>
        <w:trPr>
          <w:cantSplit/>
        </w:trPr>
        <w:tc>
          <w:tcPr>
            <w:tcW w:type="dxa" w:w="2736"/>
            <w:vAlign w:val="center"/>
          </w:tcPr>
          <w:p>
            <w:pPr>
              <w:spacing w:before="0" w:after="0" w:line="240" w:lineRule="auto"/>
              <w:jc w:val="left"/>
            </w:pPr>
            <w:r/>
            <w:r>
              <w:rPr>
                <w:rFonts w:ascii="Calisto MT" w:hAnsi="Calisto MT" w:eastAsia="Calisto MT"/>
                <w:b w:val="0"/>
                <w:sz w:val="17"/>
              </w:rPr>
              <w:t>Exclusive Breastfeeding</w:t>
            </w:r>
          </w:p>
        </w:tc>
        <w:tc>
          <w:tcPr>
            <w:tcW w:type="dxa" w:w="3456"/>
            <w:vAlign w:val="center"/>
          </w:tcPr>
          <w:p>
            <w:pPr>
              <w:spacing w:before="0" w:after="0" w:line="240" w:lineRule="auto"/>
              <w:jc w:val="left"/>
            </w:pPr>
            <w:r/>
            <w:r>
              <w:rPr>
                <w:rFonts w:ascii="Calisto MT" w:hAnsi="Calisto MT" w:eastAsia="Calisto MT"/>
                <w:b w:val="0"/>
                <w:sz w:val="17"/>
              </w:rPr>
              <w:t>Yes</w:t>
            </w:r>
          </w:p>
        </w:tc>
        <w:tc>
          <w:tcPr>
            <w:tcW w:type="dxa" w:w="1296"/>
            <w:vAlign w:val="center"/>
          </w:tcPr>
          <w:p>
            <w:pPr>
              <w:spacing w:before="0" w:after="0" w:line="240" w:lineRule="auto"/>
              <w:jc w:val="center"/>
            </w:pPr>
            <w:r/>
            <w:r>
              <w:rPr>
                <w:rFonts w:ascii="Calisto MT" w:hAnsi="Calisto MT" w:eastAsia="Calisto MT"/>
                <w:b w:val="0"/>
                <w:sz w:val="17"/>
              </w:rPr>
              <w:t>12</w:t>
            </w:r>
          </w:p>
        </w:tc>
        <w:tc>
          <w:tcPr>
            <w:tcW w:type="dxa" w:w="1296"/>
            <w:vAlign w:val="center"/>
          </w:tcPr>
          <w:p>
            <w:pPr>
              <w:spacing w:before="0" w:after="0" w:line="240" w:lineRule="auto"/>
              <w:jc w:val="center"/>
            </w:pPr>
            <w:r/>
            <w:r>
              <w:rPr>
                <w:rFonts w:ascii="Calisto MT" w:hAnsi="Calisto MT" w:eastAsia="Calisto MT"/>
                <w:b w:val="0"/>
                <w:sz w:val="17"/>
              </w:rPr>
              <w:t>42.9</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No</w:t>
            </w:r>
          </w:p>
        </w:tc>
        <w:tc>
          <w:tcPr>
            <w:tcW w:type="dxa" w:w="1296"/>
            <w:vAlign w:val="center"/>
          </w:tcPr>
          <w:p>
            <w:pPr>
              <w:spacing w:before="0" w:after="0" w:line="240" w:lineRule="auto"/>
              <w:jc w:val="center"/>
            </w:pPr>
            <w:r/>
            <w:r>
              <w:rPr>
                <w:rFonts w:ascii="Calisto MT" w:hAnsi="Calisto MT" w:eastAsia="Calisto MT"/>
                <w:b w:val="0"/>
                <w:sz w:val="17"/>
              </w:rPr>
              <w:t>16</w:t>
            </w:r>
          </w:p>
        </w:tc>
        <w:tc>
          <w:tcPr>
            <w:tcW w:type="dxa" w:w="1296"/>
            <w:vAlign w:val="center"/>
          </w:tcPr>
          <w:p>
            <w:pPr>
              <w:spacing w:before="0" w:after="0" w:line="240" w:lineRule="auto"/>
              <w:jc w:val="center"/>
            </w:pPr>
            <w:r/>
            <w:r>
              <w:rPr>
                <w:rFonts w:ascii="Calisto MT" w:hAnsi="Calisto MT" w:eastAsia="Calisto MT"/>
                <w:b w:val="0"/>
                <w:sz w:val="17"/>
              </w:rPr>
              <w:t>57.1</w:t>
            </w:r>
          </w:p>
        </w:tc>
      </w:tr>
      <w:tr>
        <w:trPr>
          <w:cantSplit/>
        </w:trPr>
        <w:tc>
          <w:tcPr>
            <w:tcW w:type="dxa" w:w="2736"/>
            <w:vAlign w:val="center"/>
          </w:tcPr>
          <w:p>
            <w:pPr>
              <w:spacing w:before="0" w:after="0" w:line="240" w:lineRule="auto"/>
              <w:jc w:val="left"/>
            </w:pPr>
            <w:r/>
            <w:r>
              <w:rPr>
                <w:rFonts w:ascii="Calisto MT" w:hAnsi="Calisto MT" w:eastAsia="Calisto MT"/>
                <w:b w:val="0"/>
                <w:sz w:val="17"/>
              </w:rPr>
              <w:t>Complementary Feeding</w:t>
            </w:r>
          </w:p>
        </w:tc>
        <w:tc>
          <w:tcPr>
            <w:tcW w:type="dxa" w:w="3456"/>
            <w:vAlign w:val="center"/>
          </w:tcPr>
          <w:p>
            <w:pPr>
              <w:spacing w:before="0" w:after="0" w:line="240" w:lineRule="auto"/>
              <w:jc w:val="left"/>
            </w:pPr>
            <w:r/>
            <w:r>
              <w:rPr>
                <w:rFonts w:ascii="Calisto MT" w:hAnsi="Calisto MT" w:eastAsia="Calisto MT"/>
                <w:b w:val="0"/>
                <w:sz w:val="17"/>
              </w:rPr>
              <w:t>Appropriate</w:t>
            </w:r>
          </w:p>
        </w:tc>
        <w:tc>
          <w:tcPr>
            <w:tcW w:type="dxa" w:w="1296"/>
            <w:vAlign w:val="center"/>
          </w:tcPr>
          <w:p>
            <w:pPr>
              <w:spacing w:before="0" w:after="0" w:line="240" w:lineRule="auto"/>
              <w:jc w:val="center"/>
            </w:pPr>
            <w:r/>
            <w:r>
              <w:rPr>
                <w:rFonts w:ascii="Calisto MT" w:hAnsi="Calisto MT" w:eastAsia="Calisto MT"/>
                <w:b w:val="0"/>
                <w:sz w:val="17"/>
              </w:rPr>
              <w:t>15</w:t>
            </w:r>
          </w:p>
        </w:tc>
        <w:tc>
          <w:tcPr>
            <w:tcW w:type="dxa" w:w="1296"/>
            <w:vAlign w:val="center"/>
          </w:tcPr>
          <w:p>
            <w:pPr>
              <w:spacing w:before="0" w:after="0" w:line="240" w:lineRule="auto"/>
              <w:jc w:val="center"/>
            </w:pPr>
            <w:r/>
            <w:r>
              <w:rPr>
                <w:rFonts w:ascii="Calisto MT" w:hAnsi="Calisto MT" w:eastAsia="Calisto MT"/>
                <w:b w:val="0"/>
                <w:sz w:val="17"/>
              </w:rPr>
              <w:t>53.6</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Inappropriate</w:t>
            </w:r>
          </w:p>
        </w:tc>
        <w:tc>
          <w:tcPr>
            <w:tcW w:type="dxa" w:w="1296"/>
            <w:vAlign w:val="center"/>
          </w:tcPr>
          <w:p>
            <w:pPr>
              <w:spacing w:before="0" w:after="0" w:line="240" w:lineRule="auto"/>
              <w:jc w:val="center"/>
            </w:pPr>
            <w:r/>
            <w:r>
              <w:rPr>
                <w:rFonts w:ascii="Calisto MT" w:hAnsi="Calisto MT" w:eastAsia="Calisto MT"/>
                <w:b w:val="0"/>
                <w:sz w:val="17"/>
              </w:rPr>
              <w:t>13</w:t>
            </w:r>
          </w:p>
        </w:tc>
        <w:tc>
          <w:tcPr>
            <w:tcW w:type="dxa" w:w="1296"/>
            <w:vAlign w:val="center"/>
          </w:tcPr>
          <w:p>
            <w:pPr>
              <w:spacing w:before="0" w:after="0" w:line="240" w:lineRule="auto"/>
              <w:jc w:val="center"/>
            </w:pPr>
            <w:r/>
            <w:r>
              <w:rPr>
                <w:rFonts w:ascii="Calisto MT" w:hAnsi="Calisto MT" w:eastAsia="Calisto MT"/>
                <w:b w:val="0"/>
                <w:sz w:val="17"/>
              </w:rPr>
              <w:t>46.4</w:t>
            </w:r>
          </w:p>
        </w:tc>
      </w:tr>
    </w:tbl>
    <w:p>
      <w:pPr>
        <w:spacing w:before="0" w:after="60" w:line="240" w:lineRule="auto"/>
      </w:pPr>
      <w:r>
        <w:rPr>
          <w:rFonts w:ascii="Calisto MT" w:hAnsi="Calisto MT" w:eastAsia="Calisto MT"/>
          <w:b w:val="0"/>
          <w:i w:val="0"/>
          <w:sz w:val="20"/>
        </w:rPr>
      </w:r>
    </w:p>
    <w:p>
      <w:pPr>
        <w:spacing w:before="160" w:after="60" w:line="240" w:lineRule="auto"/>
        <w:jc w:val="center"/>
      </w:pPr>
      <w:r>
        <w:rPr>
          <w:rFonts w:ascii="Calisto MT" w:hAnsi="Calisto MT" w:eastAsia="Calisto MT"/>
          <w:b/>
          <w:i w:val="0"/>
          <w:sz w:val="20"/>
        </w:rPr>
        <w:t>Table 4. Birth and Maternal Characteristics</w:t>
      </w:r>
    </w:p>
    <w:tbl>
      <w:tblPr>
        <w:tblStyle w:val="TableGrid"/>
        <w:tblW w:type="pct" w:w="500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2448"/>
        <w:gridCol w:w="2448"/>
        <w:gridCol w:w="2448"/>
      </w:tblGrid>
      <w:tr>
        <w:trPr>
          <w:cantSplit/>
        </w:trPr>
        <w:tc>
          <w:tcPr>
            <w:tcW w:type="dxa" w:w="2736"/>
            <w:vAlign w:val="center"/>
          </w:tcPr>
          <w:p>
            <w:pPr>
              <w:spacing w:before="0" w:after="0" w:line="240" w:lineRule="auto"/>
              <w:jc w:val="center"/>
            </w:pPr>
            <w:r/>
            <w:r>
              <w:rPr>
                <w:rFonts w:ascii="Calisto MT" w:hAnsi="Calisto MT" w:eastAsia="Calisto MT"/>
                <w:b/>
                <w:sz w:val="17"/>
              </w:rPr>
              <w:t>Variable</w:t>
            </w:r>
          </w:p>
        </w:tc>
        <w:tc>
          <w:tcPr>
            <w:tcW w:type="dxa" w:w="3456"/>
            <w:vAlign w:val="center"/>
          </w:tcPr>
          <w:p>
            <w:pPr>
              <w:spacing w:before="0" w:after="0" w:line="240" w:lineRule="auto"/>
              <w:jc w:val="center"/>
            </w:pPr>
            <w:r/>
            <w:r>
              <w:rPr>
                <w:rFonts w:ascii="Calisto MT" w:hAnsi="Calisto MT" w:eastAsia="Calisto MT"/>
                <w:b/>
                <w:sz w:val="17"/>
              </w:rPr>
              <w:t>Category</w:t>
            </w:r>
          </w:p>
        </w:tc>
        <w:tc>
          <w:tcPr>
            <w:tcW w:type="dxa" w:w="1296"/>
            <w:vAlign w:val="center"/>
          </w:tcPr>
          <w:p>
            <w:pPr>
              <w:spacing w:before="0" w:after="0" w:line="240" w:lineRule="auto"/>
              <w:jc w:val="center"/>
            </w:pPr>
            <w:r/>
            <w:r>
              <w:rPr>
                <w:rFonts w:ascii="Calisto MT" w:hAnsi="Calisto MT" w:eastAsia="Calisto MT"/>
                <w:b/>
                <w:sz w:val="17"/>
              </w:rPr>
              <w:t>n</w:t>
            </w:r>
          </w:p>
        </w:tc>
        <w:tc>
          <w:tcPr>
            <w:tcW w:type="dxa" w:w="1296"/>
            <w:vAlign w:val="center"/>
          </w:tcPr>
          <w:p>
            <w:pPr>
              <w:spacing w:before="0" w:after="0" w:line="240" w:lineRule="auto"/>
              <w:jc w:val="center"/>
            </w:pPr>
            <w:r/>
            <w:r>
              <w:rPr>
                <w:rFonts w:ascii="Calisto MT" w:hAnsi="Calisto MT" w:eastAsia="Calisto MT"/>
                <w:b/>
                <w:sz w:val="17"/>
              </w:rPr>
              <w:t>%</w:t>
            </w:r>
          </w:p>
        </w:tc>
      </w:tr>
      <w:tr>
        <w:trPr>
          <w:cantSplit/>
        </w:trPr>
        <w:tc>
          <w:tcPr>
            <w:tcW w:type="dxa" w:w="2736"/>
            <w:vAlign w:val="center"/>
          </w:tcPr>
          <w:p>
            <w:pPr>
              <w:spacing w:before="0" w:after="0" w:line="240" w:lineRule="auto"/>
              <w:jc w:val="left"/>
            </w:pPr>
            <w:r/>
            <w:r>
              <w:rPr>
                <w:rFonts w:ascii="Calisto MT" w:hAnsi="Calisto MT" w:eastAsia="Calisto MT"/>
                <w:b w:val="0"/>
                <w:sz w:val="17"/>
              </w:rPr>
              <w:t>Birth Weight</w:t>
            </w:r>
          </w:p>
        </w:tc>
        <w:tc>
          <w:tcPr>
            <w:tcW w:type="dxa" w:w="3456"/>
            <w:vAlign w:val="center"/>
          </w:tcPr>
          <w:p>
            <w:pPr>
              <w:spacing w:before="0" w:after="0" w:line="240" w:lineRule="auto"/>
              <w:jc w:val="left"/>
            </w:pPr>
            <w:r/>
            <w:r>
              <w:rPr>
                <w:rFonts w:ascii="Calisto MT" w:hAnsi="Calisto MT" w:eastAsia="Calisto MT"/>
                <w:b w:val="0"/>
                <w:sz w:val="17"/>
              </w:rPr>
              <w:t>&gt;=2500 g</w:t>
            </w:r>
          </w:p>
        </w:tc>
        <w:tc>
          <w:tcPr>
            <w:tcW w:type="dxa" w:w="1296"/>
            <w:vAlign w:val="center"/>
          </w:tcPr>
          <w:p>
            <w:pPr>
              <w:spacing w:before="0" w:after="0" w:line="240" w:lineRule="auto"/>
              <w:jc w:val="center"/>
            </w:pPr>
            <w:r/>
            <w:r>
              <w:rPr>
                <w:rFonts w:ascii="Calisto MT" w:hAnsi="Calisto MT" w:eastAsia="Calisto MT"/>
                <w:b w:val="0"/>
                <w:sz w:val="17"/>
              </w:rPr>
              <w:t>27</w:t>
            </w:r>
          </w:p>
        </w:tc>
        <w:tc>
          <w:tcPr>
            <w:tcW w:type="dxa" w:w="1296"/>
            <w:vAlign w:val="center"/>
          </w:tcPr>
          <w:p>
            <w:pPr>
              <w:spacing w:before="0" w:after="0" w:line="240" w:lineRule="auto"/>
              <w:jc w:val="center"/>
            </w:pPr>
            <w:r/>
            <w:r>
              <w:rPr>
                <w:rFonts w:ascii="Calisto MT" w:hAnsi="Calisto MT" w:eastAsia="Calisto MT"/>
                <w:b w:val="0"/>
                <w:sz w:val="17"/>
              </w:rPr>
              <w:t>96.4</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&lt;2500 g</w:t>
            </w:r>
          </w:p>
        </w:tc>
        <w:tc>
          <w:tcPr>
            <w:tcW w:type="dxa" w:w="1296"/>
            <w:vAlign w:val="center"/>
          </w:tcPr>
          <w:p>
            <w:pPr>
              <w:spacing w:before="0" w:after="0" w:line="240" w:lineRule="auto"/>
              <w:jc w:val="center"/>
            </w:pPr>
            <w:r/>
            <w:r>
              <w:rPr>
                <w:rFonts w:ascii="Calisto MT" w:hAnsi="Calisto MT" w:eastAsia="Calisto MT"/>
                <w:b w:val="0"/>
                <w:sz w:val="17"/>
              </w:rPr>
              <w:t>1</w:t>
            </w:r>
          </w:p>
        </w:tc>
        <w:tc>
          <w:tcPr>
            <w:tcW w:type="dxa" w:w="1296"/>
            <w:vAlign w:val="center"/>
          </w:tcPr>
          <w:p>
            <w:pPr>
              <w:spacing w:before="0" w:after="0" w:line="240" w:lineRule="auto"/>
              <w:jc w:val="center"/>
            </w:pPr>
            <w:r/>
            <w:r>
              <w:rPr>
                <w:rFonts w:ascii="Calisto MT" w:hAnsi="Calisto MT" w:eastAsia="Calisto MT"/>
                <w:b w:val="0"/>
                <w:sz w:val="17"/>
              </w:rPr>
              <w:t>3.6</w:t>
            </w:r>
          </w:p>
        </w:tc>
      </w:tr>
      <w:tr>
        <w:trPr>
          <w:cantSplit/>
        </w:trPr>
        <w:tc>
          <w:tcPr>
            <w:tcW w:type="dxa" w:w="2736"/>
            <w:vAlign w:val="center"/>
          </w:tcPr>
          <w:p>
            <w:pPr>
              <w:spacing w:before="0" w:after="0" w:line="240" w:lineRule="auto"/>
              <w:jc w:val="left"/>
            </w:pPr>
            <w:r/>
            <w:r>
              <w:rPr>
                <w:rFonts w:ascii="Calisto MT" w:hAnsi="Calisto MT" w:eastAsia="Calisto MT"/>
                <w:b w:val="0"/>
                <w:sz w:val="17"/>
              </w:rPr>
              <w:t>Birth Length</w:t>
            </w:r>
          </w:p>
        </w:tc>
        <w:tc>
          <w:tcPr>
            <w:tcW w:type="dxa" w:w="3456"/>
            <w:vAlign w:val="center"/>
          </w:tcPr>
          <w:p>
            <w:pPr>
              <w:spacing w:before="0" w:after="0" w:line="240" w:lineRule="auto"/>
              <w:jc w:val="left"/>
            </w:pPr>
            <w:r/>
            <w:r>
              <w:rPr>
                <w:rFonts w:ascii="Calisto MT" w:hAnsi="Calisto MT" w:eastAsia="Calisto MT"/>
                <w:b w:val="0"/>
                <w:sz w:val="17"/>
              </w:rPr>
              <w:t>&gt;=50 cm</w:t>
            </w:r>
          </w:p>
        </w:tc>
        <w:tc>
          <w:tcPr>
            <w:tcW w:type="dxa" w:w="1296"/>
            <w:vAlign w:val="center"/>
          </w:tcPr>
          <w:p>
            <w:pPr>
              <w:spacing w:before="0" w:after="0" w:line="240" w:lineRule="auto"/>
              <w:jc w:val="center"/>
            </w:pPr>
            <w:r/>
            <w:r>
              <w:rPr>
                <w:rFonts w:ascii="Calisto MT" w:hAnsi="Calisto MT" w:eastAsia="Calisto MT"/>
                <w:b w:val="0"/>
                <w:sz w:val="17"/>
              </w:rPr>
              <w:t>3</w:t>
            </w:r>
          </w:p>
        </w:tc>
        <w:tc>
          <w:tcPr>
            <w:tcW w:type="dxa" w:w="1296"/>
            <w:vAlign w:val="center"/>
          </w:tcPr>
          <w:p>
            <w:pPr>
              <w:spacing w:before="0" w:after="0" w:line="240" w:lineRule="auto"/>
              <w:jc w:val="center"/>
            </w:pPr>
            <w:r/>
            <w:r>
              <w:rPr>
                <w:rFonts w:ascii="Calisto MT" w:hAnsi="Calisto MT" w:eastAsia="Calisto MT"/>
                <w:b w:val="0"/>
                <w:sz w:val="17"/>
              </w:rPr>
              <w:t>10.7</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&lt;50 cm</w:t>
            </w:r>
          </w:p>
        </w:tc>
        <w:tc>
          <w:tcPr>
            <w:tcW w:type="dxa" w:w="1296"/>
            <w:vAlign w:val="center"/>
          </w:tcPr>
          <w:p>
            <w:pPr>
              <w:spacing w:before="0" w:after="0" w:line="240" w:lineRule="auto"/>
              <w:jc w:val="center"/>
            </w:pPr>
            <w:r/>
            <w:r>
              <w:rPr>
                <w:rFonts w:ascii="Calisto MT" w:hAnsi="Calisto MT" w:eastAsia="Calisto MT"/>
                <w:b w:val="0"/>
                <w:sz w:val="17"/>
              </w:rPr>
              <w:t>25</w:t>
            </w:r>
          </w:p>
        </w:tc>
        <w:tc>
          <w:tcPr>
            <w:tcW w:type="dxa" w:w="1296"/>
            <w:vAlign w:val="center"/>
          </w:tcPr>
          <w:p>
            <w:pPr>
              <w:spacing w:before="0" w:after="0" w:line="240" w:lineRule="auto"/>
              <w:jc w:val="center"/>
            </w:pPr>
            <w:r/>
            <w:r>
              <w:rPr>
                <w:rFonts w:ascii="Calisto MT" w:hAnsi="Calisto MT" w:eastAsia="Calisto MT"/>
                <w:b w:val="0"/>
                <w:sz w:val="17"/>
              </w:rPr>
              <w:t>89.3</w:t>
            </w:r>
          </w:p>
        </w:tc>
      </w:tr>
      <w:tr>
        <w:trPr>
          <w:cantSplit/>
        </w:trPr>
        <w:tc>
          <w:tcPr>
            <w:tcW w:type="dxa" w:w="2736"/>
            <w:vAlign w:val="center"/>
          </w:tcPr>
          <w:p>
            <w:pPr>
              <w:spacing w:before="0" w:after="0" w:line="240" w:lineRule="auto"/>
              <w:jc w:val="left"/>
            </w:pPr>
            <w:r/>
            <w:r>
              <w:rPr>
                <w:rFonts w:ascii="Calisto MT" w:hAnsi="Calisto MT" w:eastAsia="Calisto MT"/>
                <w:b w:val="0"/>
                <w:sz w:val="17"/>
              </w:rPr>
              <w:t>Maternal Height</w:t>
            </w:r>
          </w:p>
        </w:tc>
        <w:tc>
          <w:tcPr>
            <w:tcW w:type="dxa" w:w="3456"/>
            <w:vAlign w:val="center"/>
          </w:tcPr>
          <w:p>
            <w:pPr>
              <w:spacing w:before="0" w:after="0" w:line="240" w:lineRule="auto"/>
              <w:jc w:val="left"/>
            </w:pPr>
            <w:r/>
            <w:r>
              <w:rPr>
                <w:rFonts w:ascii="Calisto MT" w:hAnsi="Calisto MT" w:eastAsia="Calisto MT"/>
                <w:b w:val="0"/>
                <w:sz w:val="17"/>
              </w:rPr>
              <w:t>&gt;=150 cm</w:t>
            </w:r>
          </w:p>
        </w:tc>
        <w:tc>
          <w:tcPr>
            <w:tcW w:type="dxa" w:w="1296"/>
            <w:vAlign w:val="center"/>
          </w:tcPr>
          <w:p>
            <w:pPr>
              <w:spacing w:before="0" w:after="0" w:line="240" w:lineRule="auto"/>
              <w:jc w:val="center"/>
            </w:pPr>
            <w:r/>
            <w:r>
              <w:rPr>
                <w:rFonts w:ascii="Calisto MT" w:hAnsi="Calisto MT" w:eastAsia="Calisto MT"/>
                <w:b w:val="0"/>
                <w:sz w:val="17"/>
              </w:rPr>
              <w:t>16</w:t>
            </w:r>
          </w:p>
        </w:tc>
        <w:tc>
          <w:tcPr>
            <w:tcW w:type="dxa" w:w="1296"/>
            <w:vAlign w:val="center"/>
          </w:tcPr>
          <w:p>
            <w:pPr>
              <w:spacing w:before="0" w:after="0" w:line="240" w:lineRule="auto"/>
              <w:jc w:val="center"/>
            </w:pPr>
            <w:r/>
            <w:r>
              <w:rPr>
                <w:rFonts w:ascii="Calisto MT" w:hAnsi="Calisto MT" w:eastAsia="Calisto MT"/>
                <w:b w:val="0"/>
                <w:sz w:val="17"/>
              </w:rPr>
              <w:t>57.1</w:t>
            </w:r>
          </w:p>
        </w:tc>
      </w:tr>
      <w:tr>
        <w:trPr>
          <w:cantSplit/>
        </w:trPr>
        <w:tc>
          <w:tcPr>
            <w:tcW w:type="dxa" w:w="2736"/>
            <w:vAlign w:val="center"/>
          </w:tcPr>
          <w:p>
            <w:pPr>
              <w:spacing w:before="0" w:after="0" w:line="240" w:lineRule="auto"/>
              <w:jc w:val="left"/>
            </w:pPr>
            <w:r/>
            <w:r>
              <w:rPr>
                <w:rFonts w:ascii="Calisto MT" w:hAnsi="Calisto MT" w:eastAsia="Calisto MT"/>
                <w:b w:val="0"/>
                <w:sz w:val="17"/>
              </w:rPr>
            </w:r>
          </w:p>
        </w:tc>
        <w:tc>
          <w:tcPr>
            <w:tcW w:type="dxa" w:w="3456"/>
            <w:vAlign w:val="center"/>
          </w:tcPr>
          <w:p>
            <w:pPr>
              <w:spacing w:before="0" w:after="0" w:line="240" w:lineRule="auto"/>
              <w:jc w:val="left"/>
            </w:pPr>
            <w:r/>
            <w:r>
              <w:rPr>
                <w:rFonts w:ascii="Calisto MT" w:hAnsi="Calisto MT" w:eastAsia="Calisto MT"/>
                <w:b w:val="0"/>
                <w:sz w:val="17"/>
              </w:rPr>
              <w:t>&lt;150 cm</w:t>
            </w:r>
          </w:p>
        </w:tc>
        <w:tc>
          <w:tcPr>
            <w:tcW w:type="dxa" w:w="1296"/>
            <w:vAlign w:val="center"/>
          </w:tcPr>
          <w:p>
            <w:pPr>
              <w:spacing w:before="0" w:after="0" w:line="240" w:lineRule="auto"/>
              <w:jc w:val="center"/>
            </w:pPr>
            <w:r/>
            <w:r>
              <w:rPr>
                <w:rFonts w:ascii="Calisto MT" w:hAnsi="Calisto MT" w:eastAsia="Calisto MT"/>
                <w:b w:val="0"/>
                <w:sz w:val="17"/>
              </w:rPr>
              <w:t>12</w:t>
            </w:r>
          </w:p>
        </w:tc>
        <w:tc>
          <w:tcPr>
            <w:tcW w:type="dxa" w:w="1296"/>
            <w:vAlign w:val="center"/>
          </w:tcPr>
          <w:p>
            <w:pPr>
              <w:spacing w:before="0" w:after="0" w:line="240" w:lineRule="auto"/>
              <w:jc w:val="center"/>
            </w:pPr>
            <w:r/>
            <w:r>
              <w:rPr>
                <w:rFonts w:ascii="Calisto MT" w:hAnsi="Calisto MT" w:eastAsia="Calisto MT"/>
                <w:b w:val="0"/>
                <w:sz w:val="17"/>
              </w:rPr>
              <w:t>42.9</w:t>
            </w:r>
          </w:p>
        </w:tc>
      </w:tr>
    </w:tbl>
    <w:p>
      <w:pPr>
        <w:spacing w:before="0" w:after="60" w:line="240" w:lineRule="auto"/>
      </w:pPr>
      <w:r>
        <w:rPr>
          <w:rFonts w:ascii="Calisto MT" w:hAnsi="Calisto MT" w:eastAsia="Calisto MT"/>
          <w:b w:val="0"/>
          <w:i w:val="0"/>
          <w:sz w:val="20"/>
        </w:rPr>
      </w:r>
    </w:p>
    <w:p>
      <w:pPr>
        <w:spacing w:before="0" w:after="60" w:line="240" w:lineRule="auto"/>
        <w:ind w:firstLine="360"/>
        <w:jc w:val="both"/>
      </w:pPr>
      <w:r>
        <w:rPr>
          <w:rFonts w:ascii="Calisto MT" w:hAnsi="Calisto MT" w:eastAsia="Calisto MT"/>
          <w:b w:val="0"/>
          <w:i w:val="0"/>
          <w:sz w:val="20"/>
        </w:rPr>
        <w:t>The association between selected risk factors and stunting is presented in Table 5. Non-exclusive breastfeeding showed the strongest association with stunting. Toddlers who were not exclusively breastfed had higher odds of being stunted than those who received exclusive breastfeeding (OR=6.60; 95% CI: 1.229-35.438). However, this association was borderline and did not reach statistical significance at p&lt;0.05 (p=0.054).</w:t>
      </w:r>
    </w:p>
    <w:p>
      <w:pPr>
        <w:spacing w:before="160" w:after="60" w:line="240" w:lineRule="auto"/>
        <w:jc w:val="center"/>
      </w:pPr>
      <w:r>
        <w:rPr>
          <w:rFonts w:ascii="Calisto MT" w:hAnsi="Calisto MT" w:eastAsia="Calisto MT"/>
          <w:b/>
          <w:i w:val="0"/>
          <w:sz w:val="20"/>
        </w:rPr>
        <w:t>Table 5. Association between Risk Factors and Stunting (n = 28)</w:t>
      </w:r>
    </w:p>
    <w:tbl>
      <w:tblPr>
        <w:tblStyle w:val="TableGrid"/>
        <w:tblW w:type="pct" w:w="500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32"/>
        <w:gridCol w:w="1632"/>
        <w:gridCol w:w="1632"/>
        <w:gridCol w:w="1632"/>
        <w:gridCol w:w="1632"/>
        <w:gridCol w:w="1632"/>
      </w:tblGrid>
      <w:tr>
        <w:trPr>
          <w:cantSplit/>
        </w:trPr>
        <w:tc>
          <w:tcPr>
            <w:tcW w:type="dxa" w:w="1512"/>
            <w:vAlign w:val="center"/>
          </w:tcPr>
          <w:p>
            <w:pPr>
              <w:spacing w:before="0" w:after="0" w:line="240" w:lineRule="auto"/>
              <w:jc w:val="center"/>
            </w:pPr>
            <w:r/>
            <w:r>
              <w:rPr>
                <w:rFonts w:ascii="Calisto MT" w:hAnsi="Calisto MT" w:eastAsia="Calisto MT"/>
                <w:b/>
                <w:sz w:val="15"/>
              </w:rPr>
              <w:t>Variable</w:t>
            </w:r>
          </w:p>
        </w:tc>
        <w:tc>
          <w:tcPr>
            <w:tcW w:type="dxa" w:w="1584"/>
            <w:vAlign w:val="center"/>
          </w:tcPr>
          <w:p>
            <w:pPr>
              <w:spacing w:before="0" w:after="0" w:line="240" w:lineRule="auto"/>
              <w:jc w:val="center"/>
            </w:pPr>
            <w:r/>
            <w:r>
              <w:rPr>
                <w:rFonts w:ascii="Calisto MT" w:hAnsi="Calisto MT" w:eastAsia="Calisto MT"/>
                <w:b/>
                <w:sz w:val="15"/>
              </w:rPr>
              <w:t>Category</w:t>
            </w:r>
          </w:p>
        </w:tc>
        <w:tc>
          <w:tcPr>
            <w:tcW w:type="dxa" w:w="1368"/>
            <w:vAlign w:val="center"/>
          </w:tcPr>
          <w:p>
            <w:pPr>
              <w:spacing w:before="0" w:after="0" w:line="240" w:lineRule="auto"/>
              <w:jc w:val="center"/>
            </w:pPr>
            <w:r/>
            <w:r>
              <w:rPr>
                <w:rFonts w:ascii="Calisto MT" w:hAnsi="Calisto MT" w:eastAsia="Calisto MT"/>
                <w:b/>
                <w:sz w:val="15"/>
              </w:rPr>
              <w:t>Stunting n (%)</w:t>
            </w:r>
          </w:p>
        </w:tc>
        <w:tc>
          <w:tcPr>
            <w:tcW w:type="dxa" w:w="1512"/>
            <w:vAlign w:val="center"/>
          </w:tcPr>
          <w:p>
            <w:pPr>
              <w:spacing w:before="0" w:after="0" w:line="240" w:lineRule="auto"/>
              <w:jc w:val="center"/>
            </w:pPr>
            <w:r/>
            <w:r>
              <w:rPr>
                <w:rFonts w:ascii="Calisto MT" w:hAnsi="Calisto MT" w:eastAsia="Calisto MT"/>
                <w:b/>
                <w:sz w:val="15"/>
              </w:rPr>
              <w:t>Non-stunting n (%)</w:t>
            </w:r>
          </w:p>
        </w:tc>
        <w:tc>
          <w:tcPr>
            <w:tcW w:type="dxa" w:w="1728"/>
            <w:vAlign w:val="center"/>
          </w:tcPr>
          <w:p>
            <w:pPr>
              <w:spacing w:before="0" w:after="0" w:line="240" w:lineRule="auto"/>
              <w:jc w:val="center"/>
            </w:pPr>
            <w:r/>
            <w:r>
              <w:rPr>
                <w:rFonts w:ascii="Calisto MT" w:hAnsi="Calisto MT" w:eastAsia="Calisto MT"/>
                <w:b/>
                <w:sz w:val="15"/>
              </w:rPr>
              <w:t>OR (95% CI)</w:t>
            </w:r>
          </w:p>
        </w:tc>
        <w:tc>
          <w:tcPr>
            <w:tcW w:type="dxa" w:w="1080"/>
            <w:vAlign w:val="center"/>
          </w:tcPr>
          <w:p>
            <w:pPr>
              <w:spacing w:before="0" w:after="0" w:line="240" w:lineRule="auto"/>
              <w:jc w:val="center"/>
            </w:pPr>
            <w:r/>
            <w:r>
              <w:rPr>
                <w:rFonts w:ascii="Calisto MT" w:hAnsi="Calisto MT" w:eastAsia="Calisto MT"/>
                <w:b/>
                <w:sz w:val="15"/>
              </w:rPr>
              <w:t>p-value</w:t>
            </w:r>
          </w:p>
        </w:tc>
      </w:tr>
      <w:tr>
        <w:trPr>
          <w:cantSplit/>
        </w:trPr>
        <w:tc>
          <w:tcPr>
            <w:tcW w:type="dxa" w:w="1512"/>
            <w:vAlign w:val="center"/>
          </w:tcPr>
          <w:p>
            <w:pPr>
              <w:spacing w:before="0" w:after="0" w:line="240" w:lineRule="auto"/>
              <w:jc w:val="left"/>
            </w:pPr>
            <w:r/>
            <w:r>
              <w:rPr>
                <w:rFonts w:ascii="Calisto MT" w:hAnsi="Calisto MT" w:eastAsia="Calisto MT"/>
                <w:b w:val="0"/>
                <w:sz w:val="15"/>
              </w:rPr>
              <w:t>Exclusive BF</w:t>
            </w:r>
          </w:p>
        </w:tc>
        <w:tc>
          <w:tcPr>
            <w:tcW w:type="dxa" w:w="1584"/>
            <w:vAlign w:val="center"/>
          </w:tcPr>
          <w:p>
            <w:pPr>
              <w:spacing w:before="0" w:after="0" w:line="240" w:lineRule="auto"/>
              <w:jc w:val="left"/>
            </w:pPr>
            <w:r/>
            <w:r>
              <w:rPr>
                <w:rFonts w:ascii="Calisto MT" w:hAnsi="Calisto MT" w:eastAsia="Calisto MT"/>
                <w:b w:val="0"/>
                <w:sz w:val="15"/>
              </w:rPr>
              <w:t>No</w:t>
            </w:r>
          </w:p>
        </w:tc>
        <w:tc>
          <w:tcPr>
            <w:tcW w:type="dxa" w:w="1368"/>
            <w:vAlign w:val="center"/>
          </w:tcPr>
          <w:p>
            <w:pPr>
              <w:spacing w:before="0" w:after="0" w:line="240" w:lineRule="auto"/>
              <w:jc w:val="center"/>
            </w:pPr>
            <w:r/>
            <w:r>
              <w:rPr>
                <w:rFonts w:ascii="Calisto MT" w:hAnsi="Calisto MT" w:eastAsia="Calisto MT"/>
                <w:b w:val="0"/>
                <w:sz w:val="15"/>
              </w:rPr>
              <w:t>11 (39.3)</w:t>
            </w:r>
          </w:p>
        </w:tc>
        <w:tc>
          <w:tcPr>
            <w:tcW w:type="dxa" w:w="1512"/>
            <w:vAlign w:val="center"/>
          </w:tcPr>
          <w:p>
            <w:pPr>
              <w:spacing w:before="0" w:after="0" w:line="240" w:lineRule="auto"/>
              <w:jc w:val="center"/>
            </w:pPr>
            <w:r/>
            <w:r>
              <w:rPr>
                <w:rFonts w:ascii="Calisto MT" w:hAnsi="Calisto MT" w:eastAsia="Calisto MT"/>
                <w:b w:val="0"/>
                <w:sz w:val="15"/>
              </w:rPr>
              <w:t>5 (17.9)</w:t>
            </w:r>
          </w:p>
        </w:tc>
        <w:tc>
          <w:tcPr>
            <w:tcW w:type="dxa" w:w="1728"/>
            <w:vAlign w:val="center"/>
          </w:tcPr>
          <w:p>
            <w:pPr>
              <w:spacing w:before="0" w:after="0" w:line="240" w:lineRule="auto"/>
              <w:jc w:val="center"/>
            </w:pPr>
            <w:r/>
            <w:r>
              <w:rPr>
                <w:rFonts w:ascii="Calisto MT" w:hAnsi="Calisto MT" w:eastAsia="Calisto MT"/>
                <w:b w:val="0"/>
                <w:sz w:val="15"/>
              </w:rPr>
              <w:t>6.60 (1.229-35.438)</w:t>
            </w:r>
          </w:p>
        </w:tc>
        <w:tc>
          <w:tcPr>
            <w:tcW w:type="dxa" w:w="1080"/>
            <w:vAlign w:val="center"/>
          </w:tcPr>
          <w:p>
            <w:pPr>
              <w:spacing w:before="0" w:after="0" w:line="240" w:lineRule="auto"/>
              <w:jc w:val="center"/>
            </w:pPr>
            <w:r/>
            <w:r>
              <w:rPr>
                <w:rFonts w:ascii="Calisto MT" w:hAnsi="Calisto MT" w:eastAsia="Calisto MT"/>
                <w:b w:val="0"/>
                <w:sz w:val="15"/>
              </w:rPr>
              <w:t>0.054</w:t>
            </w:r>
          </w:p>
        </w:tc>
      </w:tr>
      <w:tr>
        <w:trPr>
          <w:cantSplit/>
        </w:trPr>
        <w:tc>
          <w:tcPr>
            <w:tcW w:type="dxa" w:w="1512"/>
            <w:vAlign w:val="center"/>
          </w:tcPr>
          <w:p>
            <w:pPr>
              <w:spacing w:before="0" w:after="0" w:line="240" w:lineRule="auto"/>
              <w:jc w:val="left"/>
            </w:pPr>
            <w:r/>
            <w:r>
              <w:rPr>
                <w:rFonts w:ascii="Calisto MT" w:hAnsi="Calisto MT" w:eastAsia="Calisto MT"/>
                <w:b w:val="0"/>
                <w:sz w:val="15"/>
              </w:rPr>
            </w:r>
          </w:p>
        </w:tc>
        <w:tc>
          <w:tcPr>
            <w:tcW w:type="dxa" w:w="1584"/>
            <w:vAlign w:val="center"/>
          </w:tcPr>
          <w:p>
            <w:pPr>
              <w:spacing w:before="0" w:after="0" w:line="240" w:lineRule="auto"/>
              <w:jc w:val="left"/>
            </w:pPr>
            <w:r/>
            <w:r>
              <w:rPr>
                <w:rFonts w:ascii="Calisto MT" w:hAnsi="Calisto MT" w:eastAsia="Calisto MT"/>
                <w:b w:val="0"/>
                <w:sz w:val="15"/>
              </w:rPr>
              <w:t>Yes</w:t>
            </w:r>
          </w:p>
        </w:tc>
        <w:tc>
          <w:tcPr>
            <w:tcW w:type="dxa" w:w="1368"/>
            <w:vAlign w:val="center"/>
          </w:tcPr>
          <w:p>
            <w:pPr>
              <w:spacing w:before="0" w:after="0" w:line="240" w:lineRule="auto"/>
              <w:jc w:val="center"/>
            </w:pPr>
            <w:r/>
            <w:r>
              <w:rPr>
                <w:rFonts w:ascii="Calisto MT" w:hAnsi="Calisto MT" w:eastAsia="Calisto MT"/>
                <w:b w:val="0"/>
                <w:sz w:val="15"/>
              </w:rPr>
              <w:t>3 (10.7)</w:t>
            </w:r>
          </w:p>
        </w:tc>
        <w:tc>
          <w:tcPr>
            <w:tcW w:type="dxa" w:w="1512"/>
            <w:vAlign w:val="center"/>
          </w:tcPr>
          <w:p>
            <w:pPr>
              <w:spacing w:before="0" w:after="0" w:line="240" w:lineRule="auto"/>
              <w:jc w:val="center"/>
            </w:pPr>
            <w:r/>
            <w:r>
              <w:rPr>
                <w:rFonts w:ascii="Calisto MT" w:hAnsi="Calisto MT" w:eastAsia="Calisto MT"/>
                <w:b w:val="0"/>
                <w:sz w:val="15"/>
              </w:rPr>
              <w:t>9 (32.1)</w:t>
            </w:r>
          </w:p>
        </w:tc>
        <w:tc>
          <w:tcPr>
            <w:tcW w:type="dxa" w:w="1728"/>
            <w:vAlign w:val="center"/>
          </w:tcPr>
          <w:p>
            <w:pPr>
              <w:spacing w:before="0" w:after="0" w:line="240" w:lineRule="auto"/>
              <w:jc w:val="center"/>
            </w:pPr>
            <w:r/>
            <w:r>
              <w:rPr>
                <w:rFonts w:ascii="Calisto MT" w:hAnsi="Calisto MT" w:eastAsia="Calisto MT"/>
                <w:b w:val="0"/>
                <w:sz w:val="15"/>
              </w:rPr>
              <w:t>Reference</w:t>
            </w:r>
          </w:p>
        </w:tc>
        <w:tc>
          <w:tcPr>
            <w:tcW w:type="dxa" w:w="1080"/>
            <w:vAlign w:val="center"/>
          </w:tcPr>
          <w:p>
            <w:pPr>
              <w:spacing w:before="0" w:after="0" w:line="240" w:lineRule="auto"/>
              <w:jc w:val="center"/>
            </w:pPr>
            <w:r/>
            <w:r>
              <w:rPr>
                <w:rFonts w:ascii="Calisto MT" w:hAnsi="Calisto MT" w:eastAsia="Calisto MT"/>
                <w:b w:val="0"/>
                <w:sz w:val="15"/>
              </w:rPr>
            </w:r>
          </w:p>
        </w:tc>
      </w:tr>
      <w:tr>
        <w:trPr>
          <w:cantSplit/>
        </w:trPr>
        <w:tc>
          <w:tcPr>
            <w:tcW w:type="dxa" w:w="1512"/>
            <w:vAlign w:val="center"/>
          </w:tcPr>
          <w:p>
            <w:pPr>
              <w:spacing w:before="0" w:after="0" w:line="240" w:lineRule="auto"/>
              <w:jc w:val="left"/>
            </w:pPr>
            <w:r/>
            <w:r>
              <w:rPr>
                <w:rFonts w:ascii="Calisto MT" w:hAnsi="Calisto MT" w:eastAsia="Calisto MT"/>
                <w:b w:val="0"/>
                <w:sz w:val="15"/>
              </w:rPr>
              <w:t>Comp. feeding</w:t>
            </w:r>
          </w:p>
        </w:tc>
        <w:tc>
          <w:tcPr>
            <w:tcW w:type="dxa" w:w="1584"/>
            <w:vAlign w:val="center"/>
          </w:tcPr>
          <w:p>
            <w:pPr>
              <w:spacing w:before="0" w:after="0" w:line="240" w:lineRule="auto"/>
              <w:jc w:val="left"/>
            </w:pPr>
            <w:r/>
            <w:r>
              <w:rPr>
                <w:rFonts w:ascii="Calisto MT" w:hAnsi="Calisto MT" w:eastAsia="Calisto MT"/>
                <w:b w:val="0"/>
                <w:sz w:val="15"/>
              </w:rPr>
              <w:t>Inappropriate</w:t>
            </w:r>
          </w:p>
        </w:tc>
        <w:tc>
          <w:tcPr>
            <w:tcW w:type="dxa" w:w="1368"/>
            <w:vAlign w:val="center"/>
          </w:tcPr>
          <w:p>
            <w:pPr>
              <w:spacing w:before="0" w:after="0" w:line="240" w:lineRule="auto"/>
              <w:jc w:val="center"/>
            </w:pPr>
            <w:r/>
            <w:r>
              <w:rPr>
                <w:rFonts w:ascii="Calisto MT" w:hAnsi="Calisto MT" w:eastAsia="Calisto MT"/>
                <w:b w:val="0"/>
                <w:sz w:val="15"/>
              </w:rPr>
              <w:t>8 (28.6)</w:t>
            </w:r>
          </w:p>
        </w:tc>
        <w:tc>
          <w:tcPr>
            <w:tcW w:type="dxa" w:w="1512"/>
            <w:vAlign w:val="center"/>
          </w:tcPr>
          <w:p>
            <w:pPr>
              <w:spacing w:before="0" w:after="0" w:line="240" w:lineRule="auto"/>
              <w:jc w:val="center"/>
            </w:pPr>
            <w:r/>
            <w:r>
              <w:rPr>
                <w:rFonts w:ascii="Calisto MT" w:hAnsi="Calisto MT" w:eastAsia="Calisto MT"/>
                <w:b w:val="0"/>
                <w:sz w:val="15"/>
              </w:rPr>
              <w:t>5 (17.9)</w:t>
            </w:r>
          </w:p>
        </w:tc>
        <w:tc>
          <w:tcPr>
            <w:tcW w:type="dxa" w:w="1728"/>
            <w:vAlign w:val="center"/>
          </w:tcPr>
          <w:p>
            <w:pPr>
              <w:spacing w:before="0" w:after="0" w:line="240" w:lineRule="auto"/>
              <w:jc w:val="center"/>
            </w:pPr>
            <w:r/>
            <w:r>
              <w:rPr>
                <w:rFonts w:ascii="Calisto MT" w:hAnsi="Calisto MT" w:eastAsia="Calisto MT"/>
                <w:b w:val="0"/>
                <w:sz w:val="15"/>
              </w:rPr>
              <w:t>2.40 (0.524-10.992)</w:t>
            </w:r>
          </w:p>
        </w:tc>
        <w:tc>
          <w:tcPr>
            <w:tcW w:type="dxa" w:w="1080"/>
            <w:vAlign w:val="center"/>
          </w:tcPr>
          <w:p>
            <w:pPr>
              <w:spacing w:before="0" w:after="0" w:line="240" w:lineRule="auto"/>
              <w:jc w:val="center"/>
            </w:pPr>
            <w:r/>
            <w:r>
              <w:rPr>
                <w:rFonts w:ascii="Calisto MT" w:hAnsi="Calisto MT" w:eastAsia="Calisto MT"/>
                <w:b w:val="0"/>
                <w:sz w:val="15"/>
              </w:rPr>
              <w:t>0.449</w:t>
            </w:r>
          </w:p>
        </w:tc>
      </w:tr>
      <w:tr>
        <w:trPr>
          <w:cantSplit/>
        </w:trPr>
        <w:tc>
          <w:tcPr>
            <w:tcW w:type="dxa" w:w="1512"/>
            <w:vAlign w:val="center"/>
          </w:tcPr>
          <w:p>
            <w:pPr>
              <w:spacing w:before="0" w:after="0" w:line="240" w:lineRule="auto"/>
              <w:jc w:val="left"/>
            </w:pPr>
            <w:r/>
            <w:r>
              <w:rPr>
                <w:rFonts w:ascii="Calisto MT" w:hAnsi="Calisto MT" w:eastAsia="Calisto MT"/>
                <w:b w:val="0"/>
                <w:sz w:val="15"/>
              </w:rPr>
            </w:r>
          </w:p>
        </w:tc>
        <w:tc>
          <w:tcPr>
            <w:tcW w:type="dxa" w:w="1584"/>
            <w:vAlign w:val="center"/>
          </w:tcPr>
          <w:p>
            <w:pPr>
              <w:spacing w:before="0" w:after="0" w:line="240" w:lineRule="auto"/>
              <w:jc w:val="left"/>
            </w:pPr>
            <w:r/>
            <w:r>
              <w:rPr>
                <w:rFonts w:ascii="Calisto MT" w:hAnsi="Calisto MT" w:eastAsia="Calisto MT"/>
                <w:b w:val="0"/>
                <w:sz w:val="15"/>
              </w:rPr>
              <w:t>Appropriate</w:t>
            </w:r>
          </w:p>
        </w:tc>
        <w:tc>
          <w:tcPr>
            <w:tcW w:type="dxa" w:w="1368"/>
            <w:vAlign w:val="center"/>
          </w:tcPr>
          <w:p>
            <w:pPr>
              <w:spacing w:before="0" w:after="0" w:line="240" w:lineRule="auto"/>
              <w:jc w:val="center"/>
            </w:pPr>
            <w:r/>
            <w:r>
              <w:rPr>
                <w:rFonts w:ascii="Calisto MT" w:hAnsi="Calisto MT" w:eastAsia="Calisto MT"/>
                <w:b w:val="0"/>
                <w:sz w:val="15"/>
              </w:rPr>
              <w:t>6 (21.4)</w:t>
            </w:r>
          </w:p>
        </w:tc>
        <w:tc>
          <w:tcPr>
            <w:tcW w:type="dxa" w:w="1512"/>
            <w:vAlign w:val="center"/>
          </w:tcPr>
          <w:p>
            <w:pPr>
              <w:spacing w:before="0" w:after="0" w:line="240" w:lineRule="auto"/>
              <w:jc w:val="center"/>
            </w:pPr>
            <w:r/>
            <w:r>
              <w:rPr>
                <w:rFonts w:ascii="Calisto MT" w:hAnsi="Calisto MT" w:eastAsia="Calisto MT"/>
                <w:b w:val="0"/>
                <w:sz w:val="15"/>
              </w:rPr>
              <w:t>9 (32.1)</w:t>
            </w:r>
          </w:p>
        </w:tc>
        <w:tc>
          <w:tcPr>
            <w:tcW w:type="dxa" w:w="1728"/>
            <w:vAlign w:val="center"/>
          </w:tcPr>
          <w:p>
            <w:pPr>
              <w:spacing w:before="0" w:after="0" w:line="240" w:lineRule="auto"/>
              <w:jc w:val="center"/>
            </w:pPr>
            <w:r/>
            <w:r>
              <w:rPr>
                <w:rFonts w:ascii="Calisto MT" w:hAnsi="Calisto MT" w:eastAsia="Calisto MT"/>
                <w:b w:val="0"/>
                <w:sz w:val="15"/>
              </w:rPr>
              <w:t>Reference</w:t>
            </w:r>
          </w:p>
        </w:tc>
        <w:tc>
          <w:tcPr>
            <w:tcW w:type="dxa" w:w="1080"/>
            <w:vAlign w:val="center"/>
          </w:tcPr>
          <w:p>
            <w:pPr>
              <w:spacing w:before="0" w:after="0" w:line="240" w:lineRule="auto"/>
              <w:jc w:val="center"/>
            </w:pPr>
            <w:r/>
            <w:r>
              <w:rPr>
                <w:rFonts w:ascii="Calisto MT" w:hAnsi="Calisto MT" w:eastAsia="Calisto MT"/>
                <w:b w:val="0"/>
                <w:sz w:val="15"/>
              </w:rPr>
            </w:r>
          </w:p>
        </w:tc>
      </w:tr>
      <w:tr>
        <w:trPr>
          <w:cantSplit/>
        </w:trPr>
        <w:tc>
          <w:tcPr>
            <w:tcW w:type="dxa" w:w="1512"/>
            <w:vAlign w:val="center"/>
          </w:tcPr>
          <w:p>
            <w:pPr>
              <w:spacing w:before="0" w:after="0" w:line="240" w:lineRule="auto"/>
              <w:jc w:val="left"/>
            </w:pPr>
            <w:r/>
            <w:r>
              <w:rPr>
                <w:rFonts w:ascii="Calisto MT" w:hAnsi="Calisto MT" w:eastAsia="Calisto MT"/>
                <w:b w:val="0"/>
                <w:sz w:val="15"/>
              </w:rPr>
              <w:t>Birth weight</w:t>
            </w:r>
          </w:p>
        </w:tc>
        <w:tc>
          <w:tcPr>
            <w:tcW w:type="dxa" w:w="1584"/>
            <w:vAlign w:val="center"/>
          </w:tcPr>
          <w:p>
            <w:pPr>
              <w:spacing w:before="0" w:after="0" w:line="240" w:lineRule="auto"/>
              <w:jc w:val="left"/>
            </w:pPr>
            <w:r/>
            <w:r>
              <w:rPr>
                <w:rFonts w:ascii="Calisto MT" w:hAnsi="Calisto MT" w:eastAsia="Calisto MT"/>
                <w:b w:val="0"/>
                <w:sz w:val="15"/>
              </w:rPr>
              <w:t>&lt;2500 g</w:t>
            </w:r>
          </w:p>
        </w:tc>
        <w:tc>
          <w:tcPr>
            <w:tcW w:type="dxa" w:w="1368"/>
            <w:vAlign w:val="center"/>
          </w:tcPr>
          <w:p>
            <w:pPr>
              <w:spacing w:before="0" w:after="0" w:line="240" w:lineRule="auto"/>
              <w:jc w:val="center"/>
            </w:pPr>
            <w:r/>
            <w:r>
              <w:rPr>
                <w:rFonts w:ascii="Calisto MT" w:hAnsi="Calisto MT" w:eastAsia="Calisto MT"/>
                <w:b w:val="0"/>
                <w:sz w:val="15"/>
              </w:rPr>
              <w:t>1 (3.6)</w:t>
            </w:r>
          </w:p>
        </w:tc>
        <w:tc>
          <w:tcPr>
            <w:tcW w:type="dxa" w:w="1512"/>
            <w:vAlign w:val="center"/>
          </w:tcPr>
          <w:p>
            <w:pPr>
              <w:spacing w:before="0" w:after="0" w:line="240" w:lineRule="auto"/>
              <w:jc w:val="center"/>
            </w:pPr>
            <w:r/>
            <w:r>
              <w:rPr>
                <w:rFonts w:ascii="Calisto MT" w:hAnsi="Calisto MT" w:eastAsia="Calisto MT"/>
                <w:b w:val="0"/>
                <w:sz w:val="15"/>
              </w:rPr>
              <w:t>0 (0.0)</w:t>
            </w:r>
          </w:p>
        </w:tc>
        <w:tc>
          <w:tcPr>
            <w:tcW w:type="dxa" w:w="1728"/>
            <w:vAlign w:val="center"/>
          </w:tcPr>
          <w:p>
            <w:pPr>
              <w:spacing w:before="0" w:after="0" w:line="240" w:lineRule="auto"/>
              <w:jc w:val="center"/>
            </w:pPr>
            <w:r/>
            <w:r>
              <w:rPr>
                <w:rFonts w:ascii="Calisto MT" w:hAnsi="Calisto MT" w:eastAsia="Calisto MT"/>
                <w:b w:val="0"/>
                <w:sz w:val="15"/>
              </w:rPr>
              <w:t>Not estimable*</w:t>
            </w:r>
          </w:p>
        </w:tc>
        <w:tc>
          <w:tcPr>
            <w:tcW w:type="dxa" w:w="1080"/>
            <w:vAlign w:val="center"/>
          </w:tcPr>
          <w:p>
            <w:pPr>
              <w:spacing w:before="0" w:after="0" w:line="240" w:lineRule="auto"/>
              <w:jc w:val="center"/>
            </w:pPr>
            <w:r/>
            <w:r>
              <w:rPr>
                <w:rFonts w:ascii="Calisto MT" w:hAnsi="Calisto MT" w:eastAsia="Calisto MT"/>
                <w:b w:val="0"/>
                <w:sz w:val="15"/>
              </w:rPr>
              <w:t>1.000</w:t>
            </w:r>
          </w:p>
        </w:tc>
      </w:tr>
      <w:tr>
        <w:trPr>
          <w:cantSplit/>
        </w:trPr>
        <w:tc>
          <w:tcPr>
            <w:tcW w:type="dxa" w:w="1512"/>
            <w:vAlign w:val="center"/>
          </w:tcPr>
          <w:p>
            <w:pPr>
              <w:spacing w:before="0" w:after="0" w:line="240" w:lineRule="auto"/>
              <w:jc w:val="left"/>
            </w:pPr>
            <w:r/>
            <w:r>
              <w:rPr>
                <w:rFonts w:ascii="Calisto MT" w:hAnsi="Calisto MT" w:eastAsia="Calisto MT"/>
                <w:b w:val="0"/>
                <w:sz w:val="15"/>
              </w:rPr>
            </w:r>
          </w:p>
        </w:tc>
        <w:tc>
          <w:tcPr>
            <w:tcW w:type="dxa" w:w="1584"/>
            <w:vAlign w:val="center"/>
          </w:tcPr>
          <w:p>
            <w:pPr>
              <w:spacing w:before="0" w:after="0" w:line="240" w:lineRule="auto"/>
              <w:jc w:val="left"/>
            </w:pPr>
            <w:r/>
            <w:r>
              <w:rPr>
                <w:rFonts w:ascii="Calisto MT" w:hAnsi="Calisto MT" w:eastAsia="Calisto MT"/>
                <w:b w:val="0"/>
                <w:sz w:val="15"/>
              </w:rPr>
              <w:t>&gt;=2500 g</w:t>
            </w:r>
          </w:p>
        </w:tc>
        <w:tc>
          <w:tcPr>
            <w:tcW w:type="dxa" w:w="1368"/>
            <w:vAlign w:val="center"/>
          </w:tcPr>
          <w:p>
            <w:pPr>
              <w:spacing w:before="0" w:after="0" w:line="240" w:lineRule="auto"/>
              <w:jc w:val="center"/>
            </w:pPr>
            <w:r/>
            <w:r>
              <w:rPr>
                <w:rFonts w:ascii="Calisto MT" w:hAnsi="Calisto MT" w:eastAsia="Calisto MT"/>
                <w:b w:val="0"/>
                <w:sz w:val="15"/>
              </w:rPr>
              <w:t>13 (46.4)</w:t>
            </w:r>
          </w:p>
        </w:tc>
        <w:tc>
          <w:tcPr>
            <w:tcW w:type="dxa" w:w="1512"/>
            <w:vAlign w:val="center"/>
          </w:tcPr>
          <w:p>
            <w:pPr>
              <w:spacing w:before="0" w:after="0" w:line="240" w:lineRule="auto"/>
              <w:jc w:val="center"/>
            </w:pPr>
            <w:r/>
            <w:r>
              <w:rPr>
                <w:rFonts w:ascii="Calisto MT" w:hAnsi="Calisto MT" w:eastAsia="Calisto MT"/>
                <w:b w:val="0"/>
                <w:sz w:val="15"/>
              </w:rPr>
              <w:t>14 (50.0)</w:t>
            </w:r>
          </w:p>
        </w:tc>
        <w:tc>
          <w:tcPr>
            <w:tcW w:type="dxa" w:w="1728"/>
            <w:vAlign w:val="center"/>
          </w:tcPr>
          <w:p>
            <w:pPr>
              <w:spacing w:before="0" w:after="0" w:line="240" w:lineRule="auto"/>
              <w:jc w:val="center"/>
            </w:pPr>
            <w:r/>
            <w:r>
              <w:rPr>
                <w:rFonts w:ascii="Calisto MT" w:hAnsi="Calisto MT" w:eastAsia="Calisto MT"/>
                <w:b w:val="0"/>
                <w:sz w:val="15"/>
              </w:rPr>
              <w:t>Reference</w:t>
            </w:r>
          </w:p>
        </w:tc>
        <w:tc>
          <w:tcPr>
            <w:tcW w:type="dxa" w:w="1080"/>
            <w:vAlign w:val="center"/>
          </w:tcPr>
          <w:p>
            <w:pPr>
              <w:spacing w:before="0" w:after="0" w:line="240" w:lineRule="auto"/>
              <w:jc w:val="center"/>
            </w:pPr>
            <w:r/>
            <w:r>
              <w:rPr>
                <w:rFonts w:ascii="Calisto MT" w:hAnsi="Calisto MT" w:eastAsia="Calisto MT"/>
                <w:b w:val="0"/>
                <w:sz w:val="15"/>
              </w:rPr>
            </w:r>
          </w:p>
        </w:tc>
      </w:tr>
      <w:tr>
        <w:trPr>
          <w:cantSplit/>
        </w:trPr>
        <w:tc>
          <w:tcPr>
            <w:tcW w:type="dxa" w:w="1512"/>
            <w:vAlign w:val="center"/>
          </w:tcPr>
          <w:p>
            <w:pPr>
              <w:spacing w:before="0" w:after="0" w:line="240" w:lineRule="auto"/>
              <w:jc w:val="left"/>
            </w:pPr>
            <w:r/>
            <w:r>
              <w:rPr>
                <w:rFonts w:ascii="Calisto MT" w:hAnsi="Calisto MT" w:eastAsia="Calisto MT"/>
                <w:b w:val="0"/>
                <w:sz w:val="15"/>
              </w:rPr>
              <w:t>Birth length</w:t>
            </w:r>
          </w:p>
        </w:tc>
        <w:tc>
          <w:tcPr>
            <w:tcW w:type="dxa" w:w="1584"/>
            <w:vAlign w:val="center"/>
          </w:tcPr>
          <w:p>
            <w:pPr>
              <w:spacing w:before="0" w:after="0" w:line="240" w:lineRule="auto"/>
              <w:jc w:val="left"/>
            </w:pPr>
            <w:r/>
            <w:r>
              <w:rPr>
                <w:rFonts w:ascii="Calisto MT" w:hAnsi="Calisto MT" w:eastAsia="Calisto MT"/>
                <w:b w:val="0"/>
                <w:sz w:val="15"/>
              </w:rPr>
              <w:t>&lt;50 cm</w:t>
            </w:r>
          </w:p>
        </w:tc>
        <w:tc>
          <w:tcPr>
            <w:tcW w:type="dxa" w:w="1368"/>
            <w:vAlign w:val="center"/>
          </w:tcPr>
          <w:p>
            <w:pPr>
              <w:spacing w:before="0" w:after="0" w:line="240" w:lineRule="auto"/>
              <w:jc w:val="center"/>
            </w:pPr>
            <w:r/>
            <w:r>
              <w:rPr>
                <w:rFonts w:ascii="Calisto MT" w:hAnsi="Calisto MT" w:eastAsia="Calisto MT"/>
                <w:b w:val="0"/>
                <w:sz w:val="15"/>
              </w:rPr>
              <w:t>12 (42.9)</w:t>
            </w:r>
          </w:p>
        </w:tc>
        <w:tc>
          <w:tcPr>
            <w:tcW w:type="dxa" w:w="1512"/>
            <w:vAlign w:val="center"/>
          </w:tcPr>
          <w:p>
            <w:pPr>
              <w:spacing w:before="0" w:after="0" w:line="240" w:lineRule="auto"/>
              <w:jc w:val="center"/>
            </w:pPr>
            <w:r/>
            <w:r>
              <w:rPr>
                <w:rFonts w:ascii="Calisto MT" w:hAnsi="Calisto MT" w:eastAsia="Calisto MT"/>
                <w:b w:val="0"/>
                <w:sz w:val="15"/>
              </w:rPr>
              <w:t>13 (46.4)</w:t>
            </w:r>
          </w:p>
        </w:tc>
        <w:tc>
          <w:tcPr>
            <w:tcW w:type="dxa" w:w="1728"/>
            <w:vAlign w:val="center"/>
          </w:tcPr>
          <w:p>
            <w:pPr>
              <w:spacing w:before="0" w:after="0" w:line="240" w:lineRule="auto"/>
              <w:jc w:val="center"/>
            </w:pPr>
            <w:r/>
            <w:r>
              <w:rPr>
                <w:rFonts w:ascii="Calisto MT" w:hAnsi="Calisto MT" w:eastAsia="Calisto MT"/>
                <w:b w:val="0"/>
                <w:sz w:val="15"/>
              </w:rPr>
              <w:t>0.46 (0.037-5.768)</w:t>
            </w:r>
          </w:p>
        </w:tc>
        <w:tc>
          <w:tcPr>
            <w:tcW w:type="dxa" w:w="1080"/>
            <w:vAlign w:val="center"/>
          </w:tcPr>
          <w:p>
            <w:pPr>
              <w:spacing w:before="0" w:after="0" w:line="240" w:lineRule="auto"/>
              <w:jc w:val="center"/>
            </w:pPr>
            <w:r/>
            <w:r>
              <w:rPr>
                <w:rFonts w:ascii="Calisto MT" w:hAnsi="Calisto MT" w:eastAsia="Calisto MT"/>
                <w:b w:val="0"/>
                <w:sz w:val="15"/>
              </w:rPr>
              <w:t>1.000</w:t>
            </w:r>
          </w:p>
        </w:tc>
      </w:tr>
      <w:tr>
        <w:trPr>
          <w:cantSplit/>
        </w:trPr>
        <w:tc>
          <w:tcPr>
            <w:tcW w:type="dxa" w:w="1512"/>
            <w:vAlign w:val="center"/>
          </w:tcPr>
          <w:p>
            <w:pPr>
              <w:spacing w:before="0" w:after="0" w:line="240" w:lineRule="auto"/>
              <w:jc w:val="left"/>
            </w:pPr>
            <w:r/>
            <w:r>
              <w:rPr>
                <w:rFonts w:ascii="Calisto MT" w:hAnsi="Calisto MT" w:eastAsia="Calisto MT"/>
                <w:b w:val="0"/>
                <w:sz w:val="15"/>
              </w:rPr>
            </w:r>
          </w:p>
        </w:tc>
        <w:tc>
          <w:tcPr>
            <w:tcW w:type="dxa" w:w="1584"/>
            <w:vAlign w:val="center"/>
          </w:tcPr>
          <w:p>
            <w:pPr>
              <w:spacing w:before="0" w:after="0" w:line="240" w:lineRule="auto"/>
              <w:jc w:val="left"/>
            </w:pPr>
            <w:r/>
            <w:r>
              <w:rPr>
                <w:rFonts w:ascii="Calisto MT" w:hAnsi="Calisto MT" w:eastAsia="Calisto MT"/>
                <w:b w:val="0"/>
                <w:sz w:val="15"/>
              </w:rPr>
              <w:t>&gt;=50 cm</w:t>
            </w:r>
          </w:p>
        </w:tc>
        <w:tc>
          <w:tcPr>
            <w:tcW w:type="dxa" w:w="1368"/>
            <w:vAlign w:val="center"/>
          </w:tcPr>
          <w:p>
            <w:pPr>
              <w:spacing w:before="0" w:after="0" w:line="240" w:lineRule="auto"/>
              <w:jc w:val="center"/>
            </w:pPr>
            <w:r/>
            <w:r>
              <w:rPr>
                <w:rFonts w:ascii="Calisto MT" w:hAnsi="Calisto MT" w:eastAsia="Calisto MT"/>
                <w:b w:val="0"/>
                <w:sz w:val="15"/>
              </w:rPr>
              <w:t>2 (7.1)</w:t>
            </w:r>
          </w:p>
        </w:tc>
        <w:tc>
          <w:tcPr>
            <w:tcW w:type="dxa" w:w="1512"/>
            <w:vAlign w:val="center"/>
          </w:tcPr>
          <w:p>
            <w:pPr>
              <w:spacing w:before="0" w:after="0" w:line="240" w:lineRule="auto"/>
              <w:jc w:val="center"/>
            </w:pPr>
            <w:r/>
            <w:r>
              <w:rPr>
                <w:rFonts w:ascii="Calisto MT" w:hAnsi="Calisto MT" w:eastAsia="Calisto MT"/>
                <w:b w:val="0"/>
                <w:sz w:val="15"/>
              </w:rPr>
              <w:t>1 (3.6)</w:t>
            </w:r>
          </w:p>
        </w:tc>
        <w:tc>
          <w:tcPr>
            <w:tcW w:type="dxa" w:w="1728"/>
            <w:vAlign w:val="center"/>
          </w:tcPr>
          <w:p>
            <w:pPr>
              <w:spacing w:before="0" w:after="0" w:line="240" w:lineRule="auto"/>
              <w:jc w:val="center"/>
            </w:pPr>
            <w:r/>
            <w:r>
              <w:rPr>
                <w:rFonts w:ascii="Calisto MT" w:hAnsi="Calisto MT" w:eastAsia="Calisto MT"/>
                <w:b w:val="0"/>
                <w:sz w:val="15"/>
              </w:rPr>
              <w:t>Reference</w:t>
            </w:r>
          </w:p>
        </w:tc>
        <w:tc>
          <w:tcPr>
            <w:tcW w:type="dxa" w:w="1080"/>
            <w:vAlign w:val="center"/>
          </w:tcPr>
          <w:p>
            <w:pPr>
              <w:spacing w:before="0" w:after="0" w:line="240" w:lineRule="auto"/>
              <w:jc w:val="center"/>
            </w:pPr>
            <w:r/>
            <w:r>
              <w:rPr>
                <w:rFonts w:ascii="Calisto MT" w:hAnsi="Calisto MT" w:eastAsia="Calisto MT"/>
                <w:b w:val="0"/>
                <w:sz w:val="15"/>
              </w:rPr>
            </w:r>
          </w:p>
        </w:tc>
      </w:tr>
      <w:tr>
        <w:trPr>
          <w:cantSplit/>
        </w:trPr>
        <w:tc>
          <w:tcPr>
            <w:tcW w:type="dxa" w:w="1512"/>
            <w:vAlign w:val="center"/>
          </w:tcPr>
          <w:p>
            <w:pPr>
              <w:spacing w:before="0" w:after="0" w:line="240" w:lineRule="auto"/>
              <w:jc w:val="left"/>
            </w:pPr>
            <w:r/>
            <w:r>
              <w:rPr>
                <w:rFonts w:ascii="Calisto MT" w:hAnsi="Calisto MT" w:eastAsia="Calisto MT"/>
                <w:b w:val="0"/>
                <w:sz w:val="15"/>
              </w:rPr>
              <w:t>Maternal height</w:t>
            </w:r>
          </w:p>
        </w:tc>
        <w:tc>
          <w:tcPr>
            <w:tcW w:type="dxa" w:w="1584"/>
            <w:vAlign w:val="center"/>
          </w:tcPr>
          <w:p>
            <w:pPr>
              <w:spacing w:before="0" w:after="0" w:line="240" w:lineRule="auto"/>
              <w:jc w:val="left"/>
            </w:pPr>
            <w:r/>
            <w:r>
              <w:rPr>
                <w:rFonts w:ascii="Calisto MT" w:hAnsi="Calisto MT" w:eastAsia="Calisto MT"/>
                <w:b w:val="0"/>
                <w:sz w:val="15"/>
              </w:rPr>
              <w:t>&lt;150 cm</w:t>
            </w:r>
          </w:p>
        </w:tc>
        <w:tc>
          <w:tcPr>
            <w:tcW w:type="dxa" w:w="1368"/>
            <w:vAlign w:val="center"/>
          </w:tcPr>
          <w:p>
            <w:pPr>
              <w:spacing w:before="0" w:after="0" w:line="240" w:lineRule="auto"/>
              <w:jc w:val="center"/>
            </w:pPr>
            <w:r/>
            <w:r>
              <w:rPr>
                <w:rFonts w:ascii="Calisto MT" w:hAnsi="Calisto MT" w:eastAsia="Calisto MT"/>
                <w:b w:val="0"/>
                <w:sz w:val="15"/>
              </w:rPr>
              <w:t>6 (21.4)</w:t>
            </w:r>
          </w:p>
        </w:tc>
        <w:tc>
          <w:tcPr>
            <w:tcW w:type="dxa" w:w="1512"/>
            <w:vAlign w:val="center"/>
          </w:tcPr>
          <w:p>
            <w:pPr>
              <w:spacing w:before="0" w:after="0" w:line="240" w:lineRule="auto"/>
              <w:jc w:val="center"/>
            </w:pPr>
            <w:r/>
            <w:r>
              <w:rPr>
                <w:rFonts w:ascii="Calisto MT" w:hAnsi="Calisto MT" w:eastAsia="Calisto MT"/>
                <w:b w:val="0"/>
                <w:sz w:val="15"/>
              </w:rPr>
              <w:t>6 (21.4)</w:t>
            </w:r>
          </w:p>
        </w:tc>
        <w:tc>
          <w:tcPr>
            <w:tcW w:type="dxa" w:w="1728"/>
            <w:vAlign w:val="center"/>
          </w:tcPr>
          <w:p>
            <w:pPr>
              <w:spacing w:before="0" w:after="0" w:line="240" w:lineRule="auto"/>
              <w:jc w:val="center"/>
            </w:pPr>
            <w:r/>
            <w:r>
              <w:rPr>
                <w:rFonts w:ascii="Calisto MT" w:hAnsi="Calisto MT" w:eastAsia="Calisto MT"/>
                <w:b w:val="0"/>
                <w:sz w:val="15"/>
              </w:rPr>
              <w:t>1.00 (0.224-4.468)</w:t>
            </w:r>
          </w:p>
        </w:tc>
        <w:tc>
          <w:tcPr>
            <w:tcW w:type="dxa" w:w="1080"/>
            <w:vAlign w:val="center"/>
          </w:tcPr>
          <w:p>
            <w:pPr>
              <w:spacing w:before="0" w:after="0" w:line="240" w:lineRule="auto"/>
              <w:jc w:val="center"/>
            </w:pPr>
            <w:r/>
            <w:r>
              <w:rPr>
                <w:rFonts w:ascii="Calisto MT" w:hAnsi="Calisto MT" w:eastAsia="Calisto MT"/>
                <w:b w:val="0"/>
                <w:sz w:val="15"/>
              </w:rPr>
              <w:t>1.000</w:t>
            </w:r>
          </w:p>
        </w:tc>
      </w:tr>
      <w:tr>
        <w:trPr>
          <w:cantSplit/>
        </w:trPr>
        <w:tc>
          <w:tcPr>
            <w:tcW w:type="dxa" w:w="1512"/>
            <w:vAlign w:val="center"/>
          </w:tcPr>
          <w:p>
            <w:pPr>
              <w:spacing w:before="0" w:after="0" w:line="240" w:lineRule="auto"/>
              <w:jc w:val="left"/>
            </w:pPr>
            <w:r/>
            <w:r>
              <w:rPr>
                <w:rFonts w:ascii="Calisto MT" w:hAnsi="Calisto MT" w:eastAsia="Calisto MT"/>
                <w:b w:val="0"/>
                <w:sz w:val="15"/>
              </w:rPr>
            </w:r>
          </w:p>
        </w:tc>
        <w:tc>
          <w:tcPr>
            <w:tcW w:type="dxa" w:w="1584"/>
            <w:vAlign w:val="center"/>
          </w:tcPr>
          <w:p>
            <w:pPr>
              <w:spacing w:before="0" w:after="0" w:line="240" w:lineRule="auto"/>
              <w:jc w:val="left"/>
            </w:pPr>
            <w:r/>
            <w:r>
              <w:rPr>
                <w:rFonts w:ascii="Calisto MT" w:hAnsi="Calisto MT" w:eastAsia="Calisto MT"/>
                <w:b w:val="0"/>
                <w:sz w:val="15"/>
              </w:rPr>
              <w:t>&gt;=150 cm</w:t>
            </w:r>
          </w:p>
        </w:tc>
        <w:tc>
          <w:tcPr>
            <w:tcW w:type="dxa" w:w="1368"/>
            <w:vAlign w:val="center"/>
          </w:tcPr>
          <w:p>
            <w:pPr>
              <w:spacing w:before="0" w:after="0" w:line="240" w:lineRule="auto"/>
              <w:jc w:val="center"/>
            </w:pPr>
            <w:r/>
            <w:r>
              <w:rPr>
                <w:rFonts w:ascii="Calisto MT" w:hAnsi="Calisto MT" w:eastAsia="Calisto MT"/>
                <w:b w:val="0"/>
                <w:sz w:val="15"/>
              </w:rPr>
              <w:t>8 (28.6)</w:t>
            </w:r>
          </w:p>
        </w:tc>
        <w:tc>
          <w:tcPr>
            <w:tcW w:type="dxa" w:w="1512"/>
            <w:vAlign w:val="center"/>
          </w:tcPr>
          <w:p>
            <w:pPr>
              <w:spacing w:before="0" w:after="0" w:line="240" w:lineRule="auto"/>
              <w:jc w:val="center"/>
            </w:pPr>
            <w:r/>
            <w:r>
              <w:rPr>
                <w:rFonts w:ascii="Calisto MT" w:hAnsi="Calisto MT" w:eastAsia="Calisto MT"/>
                <w:b w:val="0"/>
                <w:sz w:val="15"/>
              </w:rPr>
              <w:t>8 (28.6)</w:t>
            </w:r>
          </w:p>
        </w:tc>
        <w:tc>
          <w:tcPr>
            <w:tcW w:type="dxa" w:w="1728"/>
            <w:vAlign w:val="center"/>
          </w:tcPr>
          <w:p>
            <w:pPr>
              <w:spacing w:before="0" w:after="0" w:line="240" w:lineRule="auto"/>
              <w:jc w:val="center"/>
            </w:pPr>
            <w:r/>
            <w:r>
              <w:rPr>
                <w:rFonts w:ascii="Calisto MT" w:hAnsi="Calisto MT" w:eastAsia="Calisto MT"/>
                <w:b w:val="0"/>
                <w:sz w:val="15"/>
              </w:rPr>
              <w:t>Reference</w:t>
            </w:r>
          </w:p>
        </w:tc>
        <w:tc>
          <w:tcPr>
            <w:tcW w:type="dxa" w:w="1080"/>
            <w:vAlign w:val="center"/>
          </w:tcPr>
          <w:p>
            <w:pPr>
              <w:spacing w:before="0" w:after="0" w:line="240" w:lineRule="auto"/>
              <w:jc w:val="center"/>
            </w:pPr>
            <w:r/>
            <w:r>
              <w:rPr>
                <w:rFonts w:ascii="Calisto MT" w:hAnsi="Calisto MT" w:eastAsia="Calisto MT"/>
                <w:b w:val="0"/>
                <w:sz w:val="15"/>
              </w:rPr>
            </w:r>
          </w:p>
        </w:tc>
      </w:tr>
    </w:tbl>
    <w:p>
      <w:pPr>
        <w:spacing w:before="0" w:after="60" w:line="240" w:lineRule="auto"/>
      </w:pPr>
      <w:r>
        <w:rPr>
          <w:rFonts w:ascii="Calisto MT" w:hAnsi="Calisto MT" w:eastAsia="Calisto MT"/>
          <w:b w:val="0"/>
          <w:i w:val="0"/>
          <w:sz w:val="20"/>
        </w:rPr>
      </w:r>
    </w:p>
    <w:p>
      <w:pPr>
        <w:spacing w:before="0" w:after="120" w:line="240" w:lineRule="auto"/>
        <w:jc w:val="both"/>
      </w:pPr>
      <w:r>
        <w:rPr>
          <w:rFonts w:ascii="Calisto MT" w:hAnsi="Calisto MT" w:eastAsia="Calisto MT"/>
          <w:b w:val="0"/>
          <w:i/>
          <w:sz w:val="18"/>
        </w:rPr>
        <w:t>Note: BF = breastfeeding; OR = Odds Ratio; CI = Confidence Interval; Reference = baseline category. *OR for birth weight was not estimable due to a zero cell and should be interpreted cautiously.</w:t>
      </w:r>
    </w:p>
    <w:p>
      <w:pPr>
        <w:spacing w:before="0" w:after="60" w:line="240" w:lineRule="auto"/>
        <w:ind w:firstLine="360"/>
        <w:jc w:val="both"/>
      </w:pPr>
      <w:r>
        <w:rPr>
          <w:rFonts w:ascii="Calisto MT" w:hAnsi="Calisto MT" w:eastAsia="Calisto MT"/>
          <w:b w:val="0"/>
          <w:i w:val="0"/>
          <w:sz w:val="20"/>
        </w:rPr>
        <w:t>First complementary feeding was not significantly associated with stunting (OR=2.40; 95% CI: 0.524-10.992; p=0.449), although the odds ratio suggested a higher likelihood of stunting among toddlers with inappropriate first complementary feeding. Birth weight was not significantly associated with stunting (p=1.000), and interpretation was limited because only one child had low birth weight. Birth length was also not significantly associated with stunting (OR=0.46; 95% CI: 0.037-5.768; p=1.000). Maternal height showed no significant association with stunting (OR=1.00; 95% CI: 0.224-4.468; p=1.000).</w:t>
      </w:r>
    </w:p>
    <w:p>
      <w:pPr>
        <w:spacing w:before="0" w:after="60" w:line="240" w:lineRule="auto"/>
        <w:ind w:firstLine="360"/>
        <w:jc w:val="both"/>
      </w:pPr>
      <w:r>
        <w:rPr>
          <w:rFonts w:ascii="Calisto MT" w:hAnsi="Calisto MT" w:eastAsia="Calisto MT"/>
          <w:b w:val="0"/>
          <w:i w:val="0"/>
          <w:sz w:val="20"/>
        </w:rPr>
        <w:t>The results indicate that non-exclusive breastfeeding had the strongest association with stunting in this coastal population, although the finding was borderline and should be interpreted cautiously. The magnitude of the odds ratio suggests that breastfeeding practice remains an important public health concern, even when statistical significance was not reached. This is particularly relevant in a small community-based study because wide confidence intervals may occur when the number of participants is limited. Rather than treating the non-significant p-value as evidence of no relationship, the finding should be viewed as a signal that breastfeeding counseling and early child nutrition support remain important in stunting prevention.</w:t>
      </w:r>
    </w:p>
    <w:p>
      <w:pPr>
        <w:spacing w:before="0" w:after="60" w:line="240" w:lineRule="auto"/>
        <w:ind w:firstLine="360"/>
        <w:jc w:val="both"/>
      </w:pPr>
      <w:r>
        <w:rPr>
          <w:rFonts w:ascii="Calisto MT" w:hAnsi="Calisto MT" w:eastAsia="Calisto MT"/>
          <w:b w:val="0"/>
          <w:i w:val="0"/>
          <w:sz w:val="20"/>
        </w:rPr>
        <w:t>The finding on breastfeeding is consistent with several studies showing that children who were not exclusively breastfed were more likely to experience stunting (AL Rahmad et al., 2013; Azizah et al., 2022). Breastfeeding is important for child growth and development because breast milk provides nutrients and immunological protection during the first six months of life. Infection during early childhood may impair nutrient absorption, reduce appetite, and contribute to growth faltering (de Onis &amp; Branca, 2016). Exclusive breastfeeding may therefore reduce the risk of growth problems by supporting both nutrition and disease prevention.</w:t>
      </w:r>
    </w:p>
    <w:p>
      <w:pPr>
        <w:spacing w:before="0" w:after="60" w:line="240" w:lineRule="auto"/>
        <w:ind w:firstLine="360"/>
        <w:jc w:val="both"/>
      </w:pPr>
      <w:r>
        <w:rPr>
          <w:rFonts w:ascii="Calisto MT" w:hAnsi="Calisto MT" w:eastAsia="Calisto MT"/>
          <w:b w:val="0"/>
          <w:i w:val="0"/>
          <w:sz w:val="20"/>
        </w:rPr>
        <w:t>However, the relationship between breastfeeding and stunting is not always consistent across studies. Leo et al. (2018) reported different findings in a coastal population where exclusive breastfeeding was not associated with stunting. Differences between studies may be explained by variations in sample size, study design, complementary feeding quality, infection history, socioeconomic conditions, and access to health services (Hanum et al., 2014). Recent Indonesian evidence also indicates that exclusive breastfeeding may interact with maternal, household, sanitation, and economic factors rather than acting as a single independent cause (Thahir et al., 2023). This supports the view that breastfeeding promotion should be integrated with broader public health actions.</w:t>
      </w:r>
    </w:p>
    <w:p>
      <w:pPr>
        <w:spacing w:before="0" w:after="60" w:line="240" w:lineRule="auto"/>
        <w:ind w:firstLine="360"/>
        <w:jc w:val="both"/>
      </w:pPr>
      <w:r>
        <w:rPr>
          <w:rFonts w:ascii="Calisto MT" w:hAnsi="Calisto MT" w:eastAsia="Calisto MT"/>
          <w:b w:val="0"/>
          <w:i w:val="0"/>
          <w:sz w:val="20"/>
        </w:rPr>
        <w:t>First complementary feeding was not significantly associated with stunting in this study. Although the odds ratio suggested a possible increase in risk among toddlers with inappropriate first complementary feeding, the confidence interval was wide. Complementary feeding is a complex behavior that includes not only the timing of introduction but also food diversity, meal frequency, food texture, portion size, hygiene, and responsive feeding. In this study, the variable focused mainly on the history of first complementary feeding, so it may not have captured the full quality of complementary feeding practices. Previous studies have shown that child growth is influenced by multiple determinants, including dietary intake, socioeconomic status, maternal health, infection, and environmental conditions (Donkor et al., 2022; Noor et al., 2022).</w:t>
      </w:r>
    </w:p>
    <w:p>
      <w:pPr>
        <w:spacing w:before="0" w:after="60" w:line="240" w:lineRule="auto"/>
        <w:ind w:firstLine="360"/>
        <w:jc w:val="both"/>
      </w:pPr>
      <w:r>
        <w:rPr>
          <w:rFonts w:ascii="Calisto MT" w:hAnsi="Calisto MT" w:eastAsia="Calisto MT"/>
          <w:b w:val="0"/>
          <w:i w:val="0"/>
          <w:sz w:val="20"/>
        </w:rPr>
        <w:t>Birth weight was also not significantly associated with stunting. This finding should not be interpreted as evidence that birth weight has no role in child growth. In this study, almost all children had birth weight &gt;=2500 g, leaving very limited variation for statistical comparison. The absence of association may therefore reflect limited sample variation rather than the absence of a biological relationship. Previous evidence has reported that low birth weight may be associated with stunting among young children (Amin &amp; Julia, 2014; Wellina et al., 2016). The role of birth outcomes in stunting prevention remains important because early growth vulnerability may become more visible during infancy and early childhood.</w:t>
      </w:r>
    </w:p>
    <w:p>
      <w:pPr>
        <w:spacing w:before="0" w:after="60" w:line="240" w:lineRule="auto"/>
        <w:ind w:firstLine="360"/>
        <w:jc w:val="both"/>
      </w:pPr>
      <w:r>
        <w:rPr>
          <w:rFonts w:ascii="Calisto MT" w:hAnsi="Calisto MT" w:eastAsia="Calisto MT"/>
          <w:b w:val="0"/>
          <w:i w:val="0"/>
          <w:sz w:val="20"/>
        </w:rPr>
        <w:t>Birth length was not significantly associated with stunting in this study. Short birth length may reflect maternal nutrition and fetal growth during pregnancy (Amaliah et al., 2016). In the present study, most children were categorized as having birth length &lt;50 cm, resulting in limited variation between groups. This may explain the non-significant finding. The result suggests that birth length should be interpreted together with other maternal and child determinants, including breastfeeding practice, complementary feeding, infection history, and household environment.</w:t>
      </w:r>
    </w:p>
    <w:p>
      <w:pPr>
        <w:spacing w:before="0" w:after="60" w:line="240" w:lineRule="auto"/>
        <w:ind w:firstLine="360"/>
        <w:jc w:val="both"/>
      </w:pPr>
      <w:r>
        <w:rPr>
          <w:rFonts w:ascii="Calisto MT" w:hAnsi="Calisto MT" w:eastAsia="Calisto MT"/>
          <w:b w:val="0"/>
          <w:i w:val="0"/>
          <w:sz w:val="20"/>
        </w:rPr>
        <w:t>Maternal height was not associated with stunting in this sample. Maternal height is often considered an indicator of genetic influence, maternal nutritional history, and socioeconomic conditions (Hanum et al., 2014). Evidence from Indonesia shows that child stunting is influenced by multiple determinants, including non-exclusive breastfeeding, short birth length, low maternal height, maternal education, household socioeconomic status, sanitation, and access to health services (Beal et al., 2018). Maternal height alone may not fully explain stunting when postnatal feeding practices, infection, household environment, and access to health services are also involved.</w:t>
      </w:r>
    </w:p>
    <w:p>
      <w:pPr>
        <w:spacing w:before="0" w:after="60" w:line="240" w:lineRule="auto"/>
        <w:ind w:firstLine="360"/>
        <w:jc w:val="both"/>
      </w:pPr>
      <w:r>
        <w:rPr>
          <w:rFonts w:ascii="Calisto MT" w:hAnsi="Calisto MT" w:eastAsia="Calisto MT"/>
          <w:b w:val="0"/>
          <w:i w:val="0"/>
          <w:sz w:val="20"/>
        </w:rPr>
        <w:t>The coastal context of this study is important for public health action. Coastal communities may have specific vulnerabilities related to livelihood instability, maternal education, food access, sanitation, and distance to health services. Although fish and marine foods may be available, this does not automatically ensure adequate child nutrition because food allocation, maternal knowledge, cultural beliefs, and feeding practices also influence child intake. Safe drinking water, sanitation, maternal hygiene, waste management, exclusive breastfeeding, and infection history have also been associated with stunting risk (Novianti et al., 2023; Anwar et al., 2024).</w:t>
      </w:r>
    </w:p>
    <w:p>
      <w:pPr>
        <w:spacing w:before="0" w:after="60" w:line="240" w:lineRule="auto"/>
        <w:ind w:firstLine="360"/>
        <w:jc w:val="both"/>
      </w:pPr>
      <w:r>
        <w:rPr>
          <w:rFonts w:ascii="Calisto MT" w:hAnsi="Calisto MT" w:eastAsia="Calisto MT"/>
          <w:b w:val="0"/>
          <w:i w:val="0"/>
          <w:sz w:val="20"/>
        </w:rPr>
        <w:t>The findings support strengthening community-based nutrition services. Integrated health posts, primary health care facilities, and community health workers can provide breastfeeding counseling, monitor child growth, and identify children with nutritional risks. Primary care services can also support early identification of growth problems, maternal counseling, and referral when nutritional or health risks are identified. These actions are important because stunting is influenced by nutrition, maternal factors, household conditions, and environmental health.</w:t>
      </w:r>
    </w:p>
    <w:p>
      <w:pPr>
        <w:spacing w:before="0" w:after="60" w:line="240" w:lineRule="auto"/>
        <w:ind w:firstLine="360"/>
        <w:jc w:val="both"/>
      </w:pPr>
      <w:r>
        <w:rPr>
          <w:rFonts w:ascii="Calisto MT" w:hAnsi="Calisto MT" w:eastAsia="Calisto MT"/>
          <w:b w:val="0"/>
          <w:i w:val="0"/>
          <w:sz w:val="20"/>
        </w:rPr>
        <w:t>This study has several limitations. The sample size was small, which limited statistical power and resulted in wide confidence intervals. The case-control design relied partly on retrospective information, particularly for breastfeeding and complementary feeding history, which may introduce recall bias. Several important determinants, including dietary intake, dietary diversity, infection history, sanitation, household income, maternal nutrition, and health service utilization, were not included. The findings may also not be generalizable beyond this specific coastal community.</w:t>
      </w:r>
    </w:p>
    <w:p>
      <w:pPr>
        <w:spacing w:before="0" w:after="60" w:line="240" w:lineRule="auto"/>
        <w:ind w:firstLine="360"/>
        <w:jc w:val="both"/>
      </w:pPr>
      <w:r>
        <w:rPr>
          <w:rFonts w:ascii="Calisto MT" w:hAnsi="Calisto MT" w:eastAsia="Calisto MT"/>
          <w:b w:val="0"/>
          <w:i w:val="0"/>
          <w:sz w:val="20"/>
        </w:rPr>
        <w:t>Despite these limitations, this study provides local evidence that can support public health nutrition planning in coastal areas. The findings highlight the need to strengthen breastfeeding counseling, growth monitoring, and integrated maternal-child health services through community-based programs.</w:t>
      </w:r>
    </w:p>
    <w:p>
      <w:pPr>
        <w:spacing w:before="160" w:after="100" w:line="240" w:lineRule="auto"/>
      </w:pPr>
      <w:r>
        <w:rPr>
          <w:rFonts w:ascii="Calisto MT" w:hAnsi="Calisto MT" w:eastAsia="Calisto MT"/>
          <w:b/>
          <w:sz w:val="20"/>
        </w:rPr>
        <w:t>CONCLUSION</w:t>
      </w:r>
    </w:p>
    <w:p>
      <w:pPr>
        <w:spacing w:before="0" w:after="60" w:line="240" w:lineRule="auto"/>
        <w:ind w:firstLine="360"/>
        <w:jc w:val="both"/>
      </w:pPr>
      <w:r>
        <w:rPr>
          <w:rFonts w:ascii="Calisto MT" w:hAnsi="Calisto MT" w:eastAsia="Calisto MT"/>
          <w:b w:val="0"/>
          <w:i w:val="0"/>
          <w:sz w:val="20"/>
        </w:rPr>
        <w:t>Non-exclusive breastfeeding showed the strongest association with stunting among toddlers aged 6-36 months in the coastal area of Soropia, Indonesia, although the association was borderline and did not reach statistical significance. First complementary feeding, birth weight, birth length, and maternal height were not significantly associated with stunting in this sample. These findings suggest that health workers, primary health care facilities, and community-based nutrition programs should continue strengthening breastfeeding counseling, growth monitoring, and maternal-child health education in coastal communities. Future studies should involve larger samples and broader determinants such as household socioeconomic status, dietary diversity, sanitation, infection history, maternal nutrition, and health service utilization.</w:t>
      </w:r>
    </w:p>
    <w:p>
      <w:pPr>
        <w:spacing w:before="160" w:after="100" w:line="240" w:lineRule="auto"/>
      </w:pPr>
      <w:r>
        <w:rPr>
          <w:rFonts w:ascii="Calisto MT" w:hAnsi="Calisto MT" w:eastAsia="Calisto MT"/>
          <w:b/>
          <w:sz w:val="20"/>
        </w:rPr>
        <w:t>ACKNOWLEDGEMENT</w:t>
      </w:r>
    </w:p>
    <w:p>
      <w:pPr>
        <w:spacing w:before="0" w:after="60" w:line="240" w:lineRule="auto"/>
        <w:ind w:firstLine="360"/>
        <w:jc w:val="both"/>
      </w:pPr>
      <w:r>
        <w:rPr>
          <w:rFonts w:ascii="Calisto MT" w:hAnsi="Calisto MT" w:eastAsia="Calisto MT"/>
          <w:b w:val="0"/>
          <w:i w:val="0"/>
          <w:sz w:val="20"/>
        </w:rPr>
        <w:t>The authors would like to thank all mothers, caregivers, local health workers, and community representatives who participated in and supported this study. This research received no specific grant from any funding agency in the public, commercial, or not-for-profit sectors.</w:t>
      </w:r>
    </w:p>
    <w:p>
      <w:pPr>
        <w:spacing w:before="160" w:after="100" w:line="240" w:lineRule="auto"/>
      </w:pPr>
      <w:r>
        <w:rPr>
          <w:rFonts w:ascii="Calisto MT" w:hAnsi="Calisto MT" w:eastAsia="Calisto MT"/>
          <w:b/>
          <w:sz w:val="20"/>
        </w:rPr>
        <w:t>REFERENCES</w:t>
      </w:r>
    </w:p>
    <w:p>
      <w:pPr>
        <w:spacing w:before="0" w:after="60" w:line="240" w:lineRule="auto"/>
        <w:ind w:left="360" w:hanging="360"/>
        <w:jc w:val="left"/>
      </w:pPr>
      <w:r>
        <w:rPr>
          <w:rFonts w:ascii="Calisto MT" w:hAnsi="Calisto MT" w:eastAsia="Calisto MT"/>
          <w:b w:val="0"/>
          <w:i w:val="0"/>
          <w:sz w:val="20"/>
        </w:rPr>
        <w:t>Agussalim, Zulkifli, A., Noor, N. N., Ansariadi, Stang, &amp; Riskiyani, S. 2024. Risk factor analysis of stunting in children aged 6-23 months in Tanralili District, Maros Regency, Indonesia. National Journal of Community Medicine, 15(7): 559-565. doi: 10.55489/njcm.150720244014.</w:t>
      </w:r>
    </w:p>
    <w:p>
      <w:pPr>
        <w:spacing w:before="0" w:after="60" w:line="240" w:lineRule="auto"/>
        <w:ind w:left="360" w:hanging="360"/>
        <w:jc w:val="left"/>
      </w:pPr>
      <w:r>
        <w:rPr>
          <w:rFonts w:ascii="Calisto MT" w:hAnsi="Calisto MT" w:eastAsia="Calisto MT"/>
          <w:b w:val="0"/>
          <w:i w:val="0"/>
          <w:sz w:val="20"/>
        </w:rPr>
        <w:t>AL Rahmad, A. H., Miko, A. &amp; Hadi, A. 2013. Stunting study on children viewed from exclusive breastfeeding, complementary breastfeeding, immunization status and family characteristics in Banda Aceh. Jurnal Kesehatan Ilmiah Nasuwakes Poltekkes Aceh, 6(2): 169-184.</w:t>
      </w:r>
    </w:p>
    <w:p>
      <w:pPr>
        <w:spacing w:before="0" w:after="60" w:line="240" w:lineRule="auto"/>
        <w:ind w:left="360" w:hanging="360"/>
        <w:jc w:val="left"/>
      </w:pPr>
      <w:r>
        <w:rPr>
          <w:rFonts w:ascii="Calisto MT" w:hAnsi="Calisto MT" w:eastAsia="Calisto MT"/>
          <w:b w:val="0"/>
          <w:i w:val="0"/>
          <w:sz w:val="20"/>
        </w:rPr>
        <w:t>Amaliah, N., Sari, K. &amp; Suryaputri, I. Y. 2016. Panjang badan lahir pendek sebagai salah satu faktor determinan keterlambatan tumbuh kembang anak usia 6-23 bulan di Kelurahan Jaticempaka, Kecamatan Pondok Gede, Kota Bekasi. Jurnal Ekologi Kesehatan, 15(1): 43-55.</w:t>
      </w:r>
    </w:p>
    <w:p>
      <w:pPr>
        <w:spacing w:before="0" w:after="60" w:line="240" w:lineRule="auto"/>
        <w:ind w:left="360" w:hanging="360"/>
        <w:jc w:val="left"/>
      </w:pPr>
      <w:r>
        <w:rPr>
          <w:rFonts w:ascii="Calisto MT" w:hAnsi="Calisto MT" w:eastAsia="Calisto MT"/>
          <w:b w:val="0"/>
          <w:i w:val="0"/>
          <w:sz w:val="20"/>
        </w:rPr>
        <w:t>Amin, N. A. &amp; Julia, M. 2014. Faktor sosiodemografi dan tinggi badan orang tua serta hubungannya dengan kejadian stunting pada balita usia 6-23 bulan. Jurnal Gizi dan Dietetik Indonesia, 2(3): 170-177. doi: 10.21927/ijnd.2014.2(3).170-177.</w:t>
      </w:r>
    </w:p>
    <w:p>
      <w:pPr>
        <w:spacing w:before="0" w:after="60" w:line="240" w:lineRule="auto"/>
        <w:ind w:left="360" w:hanging="360"/>
        <w:jc w:val="left"/>
      </w:pPr>
      <w:r>
        <w:rPr>
          <w:rFonts w:ascii="Calisto MT" w:hAnsi="Calisto MT" w:eastAsia="Calisto MT"/>
          <w:b w:val="0"/>
          <w:i w:val="0"/>
          <w:sz w:val="20"/>
        </w:rPr>
        <w:t>Angreni, W. O. N., Arda, D., Setyawati, A., Sasmita, A., Tyarini, I. A. &amp; Nordianiwati, N. 2024. Exclusive breastfeeding in preventing stunting in toddlers. Jurnal Edukasi Ilmiah Kesehatan, 2(1): 7-13. doi: 10.61099/junedik.v2i1.29.</w:t>
      </w:r>
    </w:p>
    <w:p>
      <w:pPr>
        <w:spacing w:before="0" w:after="60" w:line="240" w:lineRule="auto"/>
        <w:ind w:left="360" w:hanging="360"/>
        <w:jc w:val="left"/>
      </w:pPr>
      <w:r>
        <w:rPr>
          <w:rFonts w:ascii="Calisto MT" w:hAnsi="Calisto MT" w:eastAsia="Calisto MT"/>
          <w:b w:val="0"/>
          <w:i w:val="0"/>
          <w:sz w:val="20"/>
        </w:rPr>
        <w:t>Anwar, W., Nurjazuli, N. &amp; Joko, T. 2024. The relationship household environmental sanitation with incidence of stunting in toddlers: Literature review. Media Publikasi Promosi Kesehatan Indonesia, 7(10): 2422-2429. doi: 10.56338/mppki.v7i10.6050.</w:t>
      </w:r>
    </w:p>
    <w:p>
      <w:pPr>
        <w:spacing w:before="0" w:after="60" w:line="240" w:lineRule="auto"/>
        <w:ind w:left="360" w:hanging="360"/>
        <w:jc w:val="left"/>
      </w:pPr>
      <w:r>
        <w:rPr>
          <w:rFonts w:ascii="Calisto MT" w:hAnsi="Calisto MT" w:eastAsia="Calisto MT"/>
          <w:b w:val="0"/>
          <w:i w:val="0"/>
          <w:sz w:val="20"/>
        </w:rPr>
        <w:t>Aridiyah, F. O., Rohmawati, N. &amp; Ririanty, M. 2015. Faktor-faktor yang mempengaruhi kejadian stunting pada anak balita di wilayah pedesaan dan perkotaan. E-Jurnal Pustaka Kesehatan, 3(1): 163-170.</w:t>
      </w:r>
    </w:p>
    <w:p>
      <w:pPr>
        <w:spacing w:before="0" w:after="60" w:line="240" w:lineRule="auto"/>
        <w:ind w:left="360" w:hanging="360"/>
        <w:jc w:val="left"/>
      </w:pPr>
      <w:r>
        <w:rPr>
          <w:rFonts w:ascii="Calisto MT" w:hAnsi="Calisto MT" w:eastAsia="Calisto MT"/>
          <w:b w:val="0"/>
          <w:i w:val="0"/>
          <w:sz w:val="20"/>
        </w:rPr>
        <w:t>Azizah, A. M., Lanti, Y., Dewi, R. &amp; Murti, B. 2022. Meta-analysis: Breastfeeding and its correlation with stunting. Journal of Maternal and Child Health, 7(3): 334-345. doi: 10.26911/thejmch.2022.07.03.10.</w:t>
      </w:r>
    </w:p>
    <w:p>
      <w:pPr>
        <w:spacing w:before="0" w:after="60" w:line="240" w:lineRule="auto"/>
        <w:ind w:left="360" w:hanging="360"/>
        <w:jc w:val="left"/>
      </w:pPr>
      <w:r>
        <w:rPr>
          <w:rFonts w:ascii="Calisto MT" w:hAnsi="Calisto MT" w:eastAsia="Calisto MT"/>
          <w:b w:val="0"/>
          <w:i w:val="0"/>
          <w:sz w:val="20"/>
        </w:rPr>
        <w:t>Beal, T., Tumilowicz, A., Sutrisna, A., Izwardy, D. &amp; Neufeld, L. M. 2018. A review of child stunting determinants in Indonesia. Maternal &amp; Child Nutrition, 14(4): e12617. doi: 10.1111/mcn.12617.</w:t>
      </w:r>
    </w:p>
    <w:p>
      <w:pPr>
        <w:spacing w:before="0" w:after="60" w:line="240" w:lineRule="auto"/>
        <w:ind w:left="360" w:hanging="360"/>
        <w:jc w:val="left"/>
      </w:pPr>
      <w:r>
        <w:rPr>
          <w:rFonts w:ascii="Calisto MT" w:hAnsi="Calisto MT" w:eastAsia="Calisto MT"/>
          <w:b w:val="0"/>
          <w:i w:val="0"/>
          <w:sz w:val="20"/>
        </w:rPr>
        <w:t>de Onis, M. &amp; Branca, F. 2016. Childhood stunting: A global perspective. Maternal &amp; Child Nutrition, 12(Suppl 1): 12-26. doi: 10.1111/mcn.12231.</w:t>
      </w:r>
    </w:p>
    <w:p>
      <w:pPr>
        <w:spacing w:before="0" w:after="60" w:line="240" w:lineRule="auto"/>
        <w:ind w:left="360" w:hanging="360"/>
        <w:jc w:val="left"/>
      </w:pPr>
      <w:r>
        <w:rPr>
          <w:rFonts w:ascii="Calisto MT" w:hAnsi="Calisto MT" w:eastAsia="Calisto MT"/>
          <w:b w:val="0"/>
          <w:i w:val="0"/>
          <w:sz w:val="20"/>
        </w:rPr>
        <w:t>Donkor, W. E. S., Mbai, J., Sesay, F., Ali, S. I., Woodruff, B. A., Hussein, S. M., et al. 2022. Risk factors of stunting and wasting in Somali pre-school age children: Results from the 2019 Somalia micronutrient survey. BMC Public Health, 22(1): 264. doi: 10.1186/s12889-021-12439-4.</w:t>
      </w:r>
    </w:p>
    <w:p>
      <w:pPr>
        <w:spacing w:before="0" w:after="60" w:line="240" w:lineRule="auto"/>
        <w:ind w:left="360" w:hanging="360"/>
        <w:jc w:val="left"/>
      </w:pPr>
      <w:r>
        <w:rPr>
          <w:rFonts w:ascii="Calisto MT" w:hAnsi="Calisto MT" w:eastAsia="Calisto MT"/>
          <w:b w:val="0"/>
          <w:i w:val="0"/>
          <w:sz w:val="20"/>
        </w:rPr>
        <w:t>Fikawati, S., Syafiq, A. &amp; Veratamala, A. 2017. Gizi Anak dan Remaja. Depok: PT Raja Grafindo Persada.</w:t>
      </w:r>
    </w:p>
    <w:p>
      <w:pPr>
        <w:spacing w:before="0" w:after="60" w:line="240" w:lineRule="auto"/>
        <w:ind w:left="360" w:hanging="360"/>
        <w:jc w:val="left"/>
      </w:pPr>
      <w:r>
        <w:rPr>
          <w:rFonts w:ascii="Calisto MT" w:hAnsi="Calisto MT" w:eastAsia="Calisto MT"/>
          <w:b w:val="0"/>
          <w:i w:val="0"/>
          <w:sz w:val="20"/>
        </w:rPr>
        <w:t>Hanum, F., Khomsan, A. &amp; Heryatno, Y. 2014. Hubungan asupan gizi dan tinggi badan ibu dengan status gizi anak balita. Jurnal Gizi dan Pangan, 9(1): 1-6. doi: 10.25182/jgp.2014.9.1.</w:t>
      </w:r>
    </w:p>
    <w:p>
      <w:pPr>
        <w:spacing w:before="0" w:after="60" w:line="240" w:lineRule="auto"/>
        <w:ind w:left="360" w:hanging="360"/>
        <w:jc w:val="left"/>
      </w:pPr>
      <w:r>
        <w:rPr>
          <w:rFonts w:ascii="Calisto MT" w:hAnsi="Calisto MT" w:eastAsia="Calisto MT"/>
          <w:b w:val="0"/>
          <w:i w:val="0"/>
          <w:sz w:val="20"/>
        </w:rPr>
        <w:t>Leo, A. R., Subagyo, H. W. &amp; Kartasurya, M. I. 2018. Risk factors of stunting among children aged 2-5 years in ridge and coastal. Journal Gipas, 2(1): 51-63.</w:t>
      </w:r>
    </w:p>
    <w:p>
      <w:pPr>
        <w:spacing w:before="0" w:after="60" w:line="240" w:lineRule="auto"/>
        <w:ind w:left="360" w:hanging="360"/>
        <w:jc w:val="left"/>
      </w:pPr>
      <w:r>
        <w:rPr>
          <w:rFonts w:ascii="Calisto MT" w:hAnsi="Calisto MT" w:eastAsia="Calisto MT"/>
          <w:b w:val="0"/>
          <w:i w:val="0"/>
          <w:sz w:val="20"/>
        </w:rPr>
        <w:t>Mayasari, A. C., Rustam, M. Z. A. &amp; Priyantini, D. 2018. Determinants of toddler’s stunting in coastal area of Surabaya, East Java Indonesia. International Conference on Sustainable Health Promotion: 104-107. doi: 10.29080/icoshpro.v1i0.23.</w:t>
      </w:r>
    </w:p>
    <w:p>
      <w:pPr>
        <w:spacing w:before="0" w:after="60" w:line="240" w:lineRule="auto"/>
        <w:ind w:left="360" w:hanging="360"/>
        <w:jc w:val="left"/>
      </w:pPr>
      <w:r>
        <w:rPr>
          <w:rFonts w:ascii="Calisto MT" w:hAnsi="Calisto MT" w:eastAsia="Calisto MT"/>
          <w:b w:val="0"/>
          <w:i w:val="0"/>
          <w:sz w:val="20"/>
        </w:rPr>
        <w:t>Noor, M. S., Andrestian, M. D., Dina, R. A., Ferdina, A. R., Dewi, Z., Hariati, N. W., et al. 2022. Analysis of socioeconomic factors, utilization of maternal health services, and toddler characteristics as stunting risk factors. Nutrients, 14(20): 4373. doi: 10.3390/nu14204373.</w:t>
      </w:r>
    </w:p>
    <w:p>
      <w:pPr>
        <w:spacing w:before="0" w:after="60" w:line="240" w:lineRule="auto"/>
        <w:ind w:left="360" w:hanging="360"/>
        <w:jc w:val="left"/>
      </w:pPr>
      <w:r>
        <w:rPr>
          <w:rFonts w:ascii="Calisto MT" w:hAnsi="Calisto MT" w:eastAsia="Calisto MT"/>
          <w:b w:val="0"/>
          <w:i w:val="0"/>
          <w:sz w:val="20"/>
        </w:rPr>
        <w:t>Novianti, S., Huriyati, E. &amp; Padmawati, R. S. 2023. Safe drinking water, sanitation and mother’s hygiene practice as stunting risk factors: A case-control study in a rural area of Ciawi Sub-district, Tasikmalaya District, West Java, Indonesia. Ethiopian Journal of Health Sciences, 33(6): 935-944. doi: 10.4314/ejhs.v33i6.3.</w:t>
      </w:r>
    </w:p>
    <w:p>
      <w:pPr>
        <w:spacing w:before="0" w:after="60" w:line="240" w:lineRule="auto"/>
        <w:ind w:left="360" w:hanging="360"/>
        <w:jc w:val="left"/>
      </w:pPr>
      <w:r>
        <w:rPr>
          <w:rFonts w:ascii="Calisto MT" w:hAnsi="Calisto MT" w:eastAsia="Calisto MT"/>
          <w:b w:val="0"/>
          <w:i w:val="0"/>
          <w:sz w:val="20"/>
        </w:rPr>
        <w:t>Prihutama, N. Y., Rahmadi, F. A. &amp; Hardaningsih, G. 2018. Pemberian makanan pendamping ASI dini sebagai faktor risiko kejadian stunting pada anak usia 2-3 tahun. Diponegoro Medical Journal, 7(2): 1419-1430. doi: 10.14710/dmj.v7i2.21288.</w:t>
      </w:r>
    </w:p>
    <w:p>
      <w:pPr>
        <w:spacing w:before="0" w:after="60" w:line="240" w:lineRule="auto"/>
        <w:ind w:left="360" w:hanging="360"/>
        <w:jc w:val="left"/>
      </w:pPr>
      <w:r>
        <w:rPr>
          <w:rFonts w:ascii="Calisto MT" w:hAnsi="Calisto MT" w:eastAsia="Calisto MT"/>
          <w:b w:val="0"/>
          <w:i w:val="0"/>
          <w:sz w:val="20"/>
        </w:rPr>
        <w:t>Purnami, L. A. &amp; Sugiartini, D. K. 2018. Analisis faktor resiko kejadian stunting pada anak di Posyandu Banjar Pasek Desa Kubutambahan tahun 2018. Midwinerslion Jurnal Kesehatan STIKes Buleleng, 3(2): 261-272.</w:t>
      </w:r>
    </w:p>
    <w:p>
      <w:pPr>
        <w:spacing w:before="0" w:after="60" w:line="240" w:lineRule="auto"/>
        <w:ind w:left="360" w:hanging="360"/>
        <w:jc w:val="left"/>
      </w:pPr>
      <w:r>
        <w:rPr>
          <w:rFonts w:ascii="Calisto MT" w:hAnsi="Calisto MT" w:eastAsia="Calisto MT"/>
          <w:b w:val="0"/>
          <w:i w:val="0"/>
          <w:sz w:val="20"/>
        </w:rPr>
        <w:t>Supadmi, S., Laksono, A. D., Kusumawardani, H. D., Ashar, H., Nursafingi, A., Kusrini, I., et al. 2024. Factor related to stunting of children under two years with working mothers in Indonesia. Clinical Epidemiology and Global Health, 26: 101538. doi: 10.1016/j.cegh.2024.101538.</w:t>
      </w:r>
    </w:p>
    <w:p>
      <w:pPr>
        <w:spacing w:before="0" w:after="60" w:line="240" w:lineRule="auto"/>
        <w:ind w:left="360" w:hanging="360"/>
        <w:jc w:val="left"/>
      </w:pPr>
      <w:r>
        <w:rPr>
          <w:rFonts w:ascii="Calisto MT" w:hAnsi="Calisto MT" w:eastAsia="Calisto MT"/>
          <w:b w:val="0"/>
          <w:i w:val="0"/>
          <w:sz w:val="20"/>
        </w:rPr>
        <w:t>Thahir, A. I. A., Li, M., Holmes, A. &amp; Gordon, A. 2023. Exploring factors associated with stunting in 6-month-old children: A population-based cohort study in Sulawesi, Indonesia. Nutrients, 15(15): 3420. doi: 10.3390/nu15153420.</w:t>
      </w:r>
    </w:p>
    <w:p>
      <w:pPr>
        <w:spacing w:before="0" w:after="60" w:line="240" w:lineRule="auto"/>
        <w:ind w:left="360" w:hanging="360"/>
        <w:jc w:val="left"/>
      </w:pPr>
      <w:r>
        <w:rPr>
          <w:rFonts w:ascii="Calisto MT" w:hAnsi="Calisto MT" w:eastAsia="Calisto MT"/>
          <w:b w:val="0"/>
          <w:i w:val="0"/>
          <w:sz w:val="20"/>
        </w:rPr>
        <w:t>United Nations Children’s Fund, World Health Organization &amp; World Bank Group. 2023. Levels and trends in child malnutrition: UNICEF/WHO/World Bank joint child malnutrition estimates 2023. New York: UNICEF.</w:t>
      </w:r>
    </w:p>
    <w:p>
      <w:pPr>
        <w:spacing w:before="0" w:after="60" w:line="240" w:lineRule="auto"/>
        <w:ind w:left="360" w:hanging="360"/>
        <w:jc w:val="left"/>
      </w:pPr>
      <w:r>
        <w:rPr>
          <w:rFonts w:ascii="Calisto MT" w:hAnsi="Calisto MT" w:eastAsia="Calisto MT"/>
          <w:b w:val="0"/>
          <w:i w:val="0"/>
          <w:sz w:val="20"/>
        </w:rPr>
        <w:t>Wellina, W. F., Kartasurya, M. I. &amp; Rahfiludin, M. Z. 2016. Faktor risiko stunting pada anak umur 12-24 bulan. Jurnal Gizi Indonesia, 5(1): 55-61. doi: 10.14710/jgi.5.1.55-61.</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sto MT" w:hAnsi="Calisto MT" w:eastAsia="Calisto M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sto MT" w:hAnsi="Calisto MT" w:eastAsia="Calisto MT"/>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sto MT" w:hAnsi="Calisto MT" w:eastAsia="Calisto MT"/>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