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F9271" w14:textId="77777777" w:rsidR="00FB6037" w:rsidRDefault="00000000" w:rsidP="00CD2DC6">
      <w:pPr>
        <w:spacing w:after="100" w:line="360" w:lineRule="auto"/>
        <w:jc w:val="both"/>
      </w:pPr>
      <w:r>
        <w:rPr>
          <w:rFonts w:ascii="Times New Roman" w:eastAsia="Times New Roman" w:hAnsi="Times New Roman" w:cs="Times New Roman"/>
          <w:b/>
          <w:sz w:val="28"/>
        </w:rPr>
        <w:t>Governance of forensic dental records</w:t>
      </w:r>
    </w:p>
    <w:p w14:paraId="37C1E9AB" w14:textId="77777777" w:rsidR="00FB6037" w:rsidRDefault="00000000" w:rsidP="00CD2DC6">
      <w:pPr>
        <w:spacing w:before="40" w:after="60" w:line="240" w:lineRule="auto"/>
        <w:jc w:val="both"/>
      </w:pPr>
      <w:r>
        <w:rPr>
          <w:rFonts w:ascii="Times New Roman" w:eastAsia="Times New Roman" w:hAnsi="Times New Roman" w:cs="Times New Roman"/>
          <w:b/>
          <w:sz w:val="24"/>
        </w:rPr>
        <w:t>Yessy Andriani Fauziah</w:t>
      </w:r>
      <w:r>
        <w:rPr>
          <w:rFonts w:ascii="Times New Roman" w:eastAsia="Times New Roman" w:hAnsi="Times New Roman" w:cs="Times New Roman"/>
          <w:sz w:val="18"/>
          <w:vertAlign w:val="superscript"/>
        </w:rPr>
        <w:t>1*</w:t>
      </w:r>
      <w:r>
        <w:rPr>
          <w:rFonts w:ascii="Times New Roman" w:eastAsia="Times New Roman" w:hAnsi="Times New Roman" w:cs="Times New Roman"/>
          <w:sz w:val="24"/>
        </w:rPr>
        <w:t xml:space="preserve">, </w:t>
      </w:r>
      <w:r>
        <w:rPr>
          <w:rFonts w:ascii="Times New Roman" w:eastAsia="Times New Roman" w:hAnsi="Times New Roman" w:cs="Times New Roman"/>
          <w:b/>
          <w:sz w:val="24"/>
        </w:rPr>
        <w:t>Eveline Yulia Darmadi</w:t>
      </w:r>
      <w:r>
        <w:rPr>
          <w:rFonts w:ascii="Times New Roman" w:eastAsia="Times New Roman" w:hAnsi="Times New Roman" w:cs="Times New Roman"/>
          <w:sz w:val="18"/>
          <w:vertAlign w:val="superscript"/>
        </w:rPr>
        <w:t>1</w:t>
      </w:r>
      <w:r>
        <w:rPr>
          <w:rFonts w:ascii="Times New Roman" w:eastAsia="Times New Roman" w:hAnsi="Times New Roman" w:cs="Times New Roman"/>
          <w:sz w:val="24"/>
        </w:rPr>
        <w:t xml:space="preserve">, </w:t>
      </w:r>
      <w:r>
        <w:rPr>
          <w:rFonts w:ascii="Times New Roman" w:eastAsia="Times New Roman" w:hAnsi="Times New Roman" w:cs="Times New Roman"/>
          <w:b/>
          <w:sz w:val="24"/>
        </w:rPr>
        <w:t>Farouk Al-ghazaly</w:t>
      </w:r>
      <w:r>
        <w:rPr>
          <w:rFonts w:ascii="Times New Roman" w:eastAsia="Times New Roman" w:hAnsi="Times New Roman" w:cs="Times New Roman"/>
          <w:sz w:val="18"/>
          <w:vertAlign w:val="superscript"/>
        </w:rPr>
        <w:t>2</w:t>
      </w:r>
      <w:r>
        <w:rPr>
          <w:rFonts w:ascii="Times New Roman" w:eastAsia="Times New Roman" w:hAnsi="Times New Roman" w:cs="Times New Roman"/>
          <w:sz w:val="24"/>
        </w:rPr>
        <w:t xml:space="preserve">, </w:t>
      </w:r>
      <w:r>
        <w:rPr>
          <w:rFonts w:ascii="Times New Roman" w:eastAsia="Times New Roman" w:hAnsi="Times New Roman" w:cs="Times New Roman"/>
          <w:b/>
          <w:sz w:val="24"/>
        </w:rPr>
        <w:t>Dwi Setianingtyas</w:t>
      </w:r>
      <w:r>
        <w:rPr>
          <w:rFonts w:ascii="Times New Roman" w:eastAsia="Times New Roman" w:hAnsi="Times New Roman" w:cs="Times New Roman"/>
          <w:sz w:val="18"/>
          <w:vertAlign w:val="superscript"/>
        </w:rPr>
        <w:t>3</w:t>
      </w:r>
      <w:r>
        <w:rPr>
          <w:rFonts w:ascii="Times New Roman" w:eastAsia="Times New Roman" w:hAnsi="Times New Roman" w:cs="Times New Roman"/>
          <w:sz w:val="24"/>
        </w:rPr>
        <w:t xml:space="preserve">, </w:t>
      </w:r>
      <w:r>
        <w:rPr>
          <w:rFonts w:ascii="Times New Roman" w:eastAsia="Times New Roman" w:hAnsi="Times New Roman" w:cs="Times New Roman"/>
          <w:b/>
          <w:sz w:val="24"/>
        </w:rPr>
        <w:t>Dian Agustin Wahjuningrum</w:t>
      </w:r>
      <w:r>
        <w:rPr>
          <w:rFonts w:ascii="Times New Roman" w:eastAsia="Times New Roman" w:hAnsi="Times New Roman" w:cs="Times New Roman"/>
          <w:sz w:val="18"/>
          <w:vertAlign w:val="superscript"/>
        </w:rPr>
        <w:t>4</w:t>
      </w:r>
      <w:r>
        <w:rPr>
          <w:rFonts w:ascii="Times New Roman" w:eastAsia="Times New Roman" w:hAnsi="Times New Roman" w:cs="Times New Roman"/>
          <w:sz w:val="24"/>
        </w:rPr>
        <w:t xml:space="preserve">, </w:t>
      </w:r>
      <w:r>
        <w:rPr>
          <w:rFonts w:ascii="Times New Roman" w:eastAsia="Times New Roman" w:hAnsi="Times New Roman" w:cs="Times New Roman"/>
          <w:b/>
          <w:sz w:val="24"/>
        </w:rPr>
        <w:t>Ajinkya Pawar</w:t>
      </w:r>
      <w:r>
        <w:rPr>
          <w:rFonts w:ascii="Times New Roman" w:eastAsia="Times New Roman" w:hAnsi="Times New Roman" w:cs="Times New Roman"/>
          <w:sz w:val="18"/>
          <w:vertAlign w:val="superscript"/>
        </w:rPr>
        <w:t>5</w:t>
      </w:r>
      <w:r>
        <w:rPr>
          <w:rFonts w:ascii="Times New Roman" w:eastAsia="Times New Roman" w:hAnsi="Times New Roman" w:cs="Times New Roman"/>
          <w:sz w:val="24"/>
        </w:rPr>
        <w:t xml:space="preserve">, </w:t>
      </w:r>
      <w:r>
        <w:rPr>
          <w:rFonts w:ascii="Times New Roman" w:eastAsia="Times New Roman" w:hAnsi="Times New Roman" w:cs="Times New Roman"/>
          <w:b/>
          <w:sz w:val="24"/>
        </w:rPr>
        <w:t>Dany Agus Susanto</w:t>
      </w:r>
      <w:r>
        <w:rPr>
          <w:rFonts w:ascii="Times New Roman" w:eastAsia="Times New Roman" w:hAnsi="Times New Roman" w:cs="Times New Roman"/>
          <w:sz w:val="18"/>
          <w:vertAlign w:val="superscript"/>
        </w:rPr>
        <w:t>6</w:t>
      </w:r>
    </w:p>
    <w:p w14:paraId="252E1F30" w14:textId="77777777" w:rsidR="00FB6037" w:rsidRDefault="00000000" w:rsidP="00CD2DC6">
      <w:pPr>
        <w:spacing w:after="0" w:line="240" w:lineRule="auto"/>
        <w:jc w:val="both"/>
      </w:pPr>
      <w:r>
        <w:rPr>
          <w:rFonts w:ascii="Times New Roman" w:eastAsia="Times New Roman" w:hAnsi="Times New Roman" w:cs="Times New Roman"/>
          <w:sz w:val="18"/>
          <w:vertAlign w:val="superscript"/>
        </w:rPr>
        <w:t>1</w:t>
      </w:r>
      <w:r>
        <w:rPr>
          <w:rFonts w:ascii="Times New Roman" w:eastAsia="Times New Roman" w:hAnsi="Times New Roman" w:cs="Times New Roman"/>
          <w:sz w:val="24"/>
        </w:rPr>
        <w:t>School of Dental Medicine, Universitas Ciputra Surabaya, Surabaya, Indonesia</w:t>
      </w:r>
    </w:p>
    <w:p w14:paraId="756F34A6" w14:textId="77777777" w:rsidR="00FB6037" w:rsidRDefault="00000000" w:rsidP="00CD2DC6">
      <w:pPr>
        <w:spacing w:after="0" w:line="240" w:lineRule="auto"/>
        <w:jc w:val="both"/>
      </w:pPr>
      <w:r>
        <w:rPr>
          <w:rFonts w:ascii="Times New Roman" w:eastAsia="Times New Roman" w:hAnsi="Times New Roman" w:cs="Times New Roman"/>
          <w:sz w:val="18"/>
          <w:vertAlign w:val="superscript"/>
        </w:rPr>
        <w:t>2</w:t>
      </w:r>
      <w:r>
        <w:rPr>
          <w:rFonts w:ascii="Times New Roman" w:eastAsia="Times New Roman" w:hAnsi="Times New Roman" w:cs="Times New Roman"/>
          <w:sz w:val="24"/>
        </w:rPr>
        <w:t>Faculty of Dental Medicine, Al-Saeed University, Taiz, Yemen</w:t>
      </w:r>
    </w:p>
    <w:p w14:paraId="4643B7B2" w14:textId="77777777" w:rsidR="00FB6037" w:rsidRDefault="00000000" w:rsidP="00CD2DC6">
      <w:pPr>
        <w:spacing w:after="0" w:line="240" w:lineRule="auto"/>
        <w:jc w:val="both"/>
      </w:pPr>
      <w:r>
        <w:rPr>
          <w:rFonts w:ascii="Times New Roman" w:eastAsia="Times New Roman" w:hAnsi="Times New Roman" w:cs="Times New Roman"/>
          <w:sz w:val="18"/>
          <w:vertAlign w:val="superscript"/>
        </w:rPr>
        <w:t>3</w:t>
      </w:r>
      <w:r>
        <w:rPr>
          <w:rFonts w:ascii="Times New Roman" w:eastAsia="Times New Roman" w:hAnsi="Times New Roman" w:cs="Times New Roman"/>
          <w:sz w:val="24"/>
        </w:rPr>
        <w:t>Department of Oral Medicine, Faculty of Dentistry, Universitas Hang Tuah, Surabaya, Indonesia</w:t>
      </w:r>
    </w:p>
    <w:p w14:paraId="2EEAF704" w14:textId="77777777" w:rsidR="00FB6037" w:rsidRDefault="00000000" w:rsidP="00CD2DC6">
      <w:pPr>
        <w:spacing w:after="0" w:line="240" w:lineRule="auto"/>
        <w:jc w:val="both"/>
      </w:pPr>
      <w:r>
        <w:rPr>
          <w:rFonts w:ascii="Times New Roman" w:eastAsia="Times New Roman" w:hAnsi="Times New Roman" w:cs="Times New Roman"/>
          <w:sz w:val="18"/>
          <w:vertAlign w:val="superscript"/>
        </w:rPr>
        <w:t>4</w:t>
      </w:r>
      <w:r>
        <w:rPr>
          <w:rFonts w:ascii="Times New Roman" w:eastAsia="Times New Roman" w:hAnsi="Times New Roman" w:cs="Times New Roman"/>
          <w:sz w:val="24"/>
        </w:rPr>
        <w:t>Department of Conservative Dentistry, Faculty of Dental Medicine, Universitas Airlangga, Surabaya, Indonesia</w:t>
      </w:r>
    </w:p>
    <w:p w14:paraId="071315A5" w14:textId="77777777" w:rsidR="00FB6037" w:rsidRDefault="00000000" w:rsidP="00CD2DC6">
      <w:pPr>
        <w:spacing w:after="0" w:line="240" w:lineRule="auto"/>
        <w:jc w:val="both"/>
      </w:pPr>
      <w:r>
        <w:rPr>
          <w:rFonts w:ascii="Times New Roman" w:eastAsia="Times New Roman" w:hAnsi="Times New Roman" w:cs="Times New Roman"/>
          <w:sz w:val="18"/>
          <w:vertAlign w:val="superscript"/>
        </w:rPr>
        <w:t>5</w:t>
      </w:r>
      <w:r>
        <w:rPr>
          <w:rFonts w:ascii="Times New Roman" w:eastAsia="Times New Roman" w:hAnsi="Times New Roman" w:cs="Times New Roman"/>
          <w:sz w:val="24"/>
        </w:rPr>
        <w:t>Department of Conservative Dentistry and Endodontics, Nair Hospital Dental College, Maharashtra, India</w:t>
      </w:r>
    </w:p>
    <w:p w14:paraId="02320F78" w14:textId="77777777" w:rsidR="00FB6037" w:rsidRDefault="00000000" w:rsidP="00CD2DC6">
      <w:pPr>
        <w:spacing w:after="0" w:line="240" w:lineRule="auto"/>
        <w:jc w:val="both"/>
      </w:pPr>
      <w:r>
        <w:rPr>
          <w:rFonts w:ascii="Times New Roman" w:eastAsia="Times New Roman" w:hAnsi="Times New Roman" w:cs="Times New Roman"/>
          <w:sz w:val="18"/>
          <w:vertAlign w:val="superscript"/>
        </w:rPr>
        <w:t>6</w:t>
      </w:r>
      <w:r>
        <w:rPr>
          <w:rFonts w:ascii="Times New Roman" w:eastAsia="Times New Roman" w:hAnsi="Times New Roman" w:cs="Times New Roman"/>
          <w:sz w:val="24"/>
        </w:rPr>
        <w:t>Faculty of Law, Universitas 45 Surabaya, Surabaya, Indonesia</w:t>
      </w:r>
    </w:p>
    <w:p w14:paraId="55882EBB" w14:textId="77777777" w:rsidR="00FB6037" w:rsidRDefault="00FB6037">
      <w:pPr>
        <w:spacing w:after="0"/>
      </w:pPr>
    </w:p>
    <w:p w14:paraId="6475A85B" w14:textId="77777777" w:rsidR="00FB6037" w:rsidRDefault="00000000">
      <w:pPr>
        <w:keepNext/>
        <w:spacing w:before="160" w:after="100" w:line="360" w:lineRule="auto"/>
      </w:pPr>
      <w:r>
        <w:rPr>
          <w:rFonts w:ascii="Times New Roman" w:eastAsia="Times New Roman" w:hAnsi="Times New Roman" w:cs="Times New Roman"/>
          <w:b/>
          <w:sz w:val="24"/>
        </w:rPr>
        <w:t>ABSTRACT</w:t>
      </w:r>
    </w:p>
    <w:p w14:paraId="10C89589" w14:textId="77777777" w:rsidR="00FB6037" w:rsidRDefault="00000000">
      <w:pPr>
        <w:spacing w:after="100" w:line="360" w:lineRule="auto"/>
        <w:jc w:val="both"/>
      </w:pPr>
      <w:r>
        <w:rPr>
          <w:rFonts w:ascii="Times New Roman" w:eastAsia="Times New Roman" w:hAnsi="Times New Roman" w:cs="Times New Roman"/>
          <w:b/>
          <w:i/>
          <w:sz w:val="24"/>
        </w:rPr>
        <w:t xml:space="preserve">Background: </w:t>
      </w:r>
      <w:r>
        <w:rPr>
          <w:rFonts w:ascii="Times New Roman" w:eastAsia="Times New Roman" w:hAnsi="Times New Roman" w:cs="Times New Roman"/>
          <w:i/>
          <w:sz w:val="24"/>
        </w:rPr>
        <w:t xml:space="preserve">Forensic use of dental records depends on complete, retrievable, and trustworthy antemortem information. In hospitals, the same information is also a medical record and personal data, creating duties that extend beyond routine dental documentation. </w:t>
      </w:r>
      <w:r>
        <w:rPr>
          <w:rFonts w:ascii="Times New Roman" w:eastAsia="Times New Roman" w:hAnsi="Times New Roman" w:cs="Times New Roman"/>
          <w:b/>
          <w:i/>
          <w:sz w:val="24"/>
        </w:rPr>
        <w:t xml:space="preserve">Purpose: </w:t>
      </w:r>
      <w:r>
        <w:rPr>
          <w:rFonts w:ascii="Times New Roman" w:eastAsia="Times New Roman" w:hAnsi="Times New Roman" w:cs="Times New Roman"/>
          <w:i/>
          <w:sz w:val="24"/>
        </w:rPr>
        <w:t xml:space="preserve">This study analysed the legal and ethical requirements for governing forensic dental records in Indonesian hospitals. </w:t>
      </w:r>
      <w:r>
        <w:rPr>
          <w:rFonts w:ascii="Times New Roman" w:eastAsia="Times New Roman" w:hAnsi="Times New Roman" w:cs="Times New Roman"/>
          <w:b/>
          <w:i/>
          <w:sz w:val="24"/>
        </w:rPr>
        <w:t xml:space="preserve">Methods: </w:t>
      </w:r>
      <w:r>
        <w:rPr>
          <w:rFonts w:ascii="Times New Roman" w:eastAsia="Times New Roman" w:hAnsi="Times New Roman" w:cs="Times New Roman"/>
          <w:i/>
          <w:sz w:val="24"/>
        </w:rPr>
        <w:t xml:space="preserve">A normative legal study used statutory and conceptual approaches. Primary materials comprised the Health Law, medical-record regulation, personal-data-protection law, and implementing regulation. Secondary materials were peer-reviewed sources on forensic odontology, dental record keeping, ethics, and hospital governance published from 2016 to 2026. Materials were analysed across record creation, storage, access, disclosure, evidence transfer, and oversight using autonomy, beneficence, non-maleficence, and justice. </w:t>
      </w:r>
      <w:r>
        <w:rPr>
          <w:rFonts w:ascii="Times New Roman" w:eastAsia="Times New Roman" w:hAnsi="Times New Roman" w:cs="Times New Roman"/>
          <w:b/>
          <w:i/>
          <w:sz w:val="24"/>
        </w:rPr>
        <w:t xml:space="preserve">Results: </w:t>
      </w:r>
      <w:r>
        <w:rPr>
          <w:rFonts w:ascii="Times New Roman" w:eastAsia="Times New Roman" w:hAnsi="Times New Roman" w:cs="Times New Roman"/>
          <w:i/>
          <w:sz w:val="24"/>
        </w:rPr>
        <w:t xml:space="preserve">Four requirements emerged: complete and traceable odontological documentation; role-based and justified access; documented custody and integrity controls for records released for forensic purposes; and institutional accountability that distinguishes treating-dentist duties from forensic-expert functions. The analysed regulations establish general obligations for medical records and personal data but do not provide a hospital-specific workflow for forensic dental records. </w:t>
      </w:r>
      <w:r>
        <w:rPr>
          <w:rFonts w:ascii="Times New Roman" w:eastAsia="Times New Roman" w:hAnsi="Times New Roman" w:cs="Times New Roman"/>
          <w:b/>
          <w:i/>
          <w:sz w:val="24"/>
        </w:rPr>
        <w:t xml:space="preserve">Conclusion: </w:t>
      </w:r>
      <w:r>
        <w:rPr>
          <w:rFonts w:ascii="Times New Roman" w:eastAsia="Times New Roman" w:hAnsi="Times New Roman" w:cs="Times New Roman"/>
          <w:i/>
          <w:sz w:val="24"/>
        </w:rPr>
        <w:t>Hospitals should adopt a written forensic dental-record policy that standardises documentation, authorization, disclosure, audit trails, competency, and ethics oversight.</w:t>
      </w:r>
    </w:p>
    <w:p w14:paraId="5F4C76E4" w14:textId="77777777" w:rsidR="00CD2DC6" w:rsidRDefault="00CD2DC6">
      <w:pPr>
        <w:spacing w:after="60" w:line="360" w:lineRule="auto"/>
        <w:rPr>
          <w:rFonts w:ascii="Times New Roman" w:eastAsia="Times New Roman" w:hAnsi="Times New Roman" w:cs="Times New Roman"/>
          <w:b/>
          <w:sz w:val="24"/>
        </w:rPr>
      </w:pPr>
    </w:p>
    <w:p w14:paraId="7A1D6083" w14:textId="399D36CF" w:rsidR="00FB6037" w:rsidRDefault="00000000">
      <w:pPr>
        <w:spacing w:after="60" w:line="360" w:lineRule="auto"/>
      </w:pPr>
      <w:r>
        <w:rPr>
          <w:rFonts w:ascii="Times New Roman" w:eastAsia="Times New Roman" w:hAnsi="Times New Roman" w:cs="Times New Roman"/>
          <w:b/>
          <w:sz w:val="24"/>
        </w:rPr>
        <w:t xml:space="preserve">Keywords: </w:t>
      </w:r>
      <w:r>
        <w:rPr>
          <w:rFonts w:ascii="Times New Roman" w:eastAsia="Times New Roman" w:hAnsi="Times New Roman" w:cs="Times New Roman"/>
          <w:sz w:val="24"/>
        </w:rPr>
        <w:t>forensic odontology; dental records; hospital governance; medical law; data protection</w:t>
      </w:r>
    </w:p>
    <w:p w14:paraId="540C8730" w14:textId="77777777" w:rsidR="00FB6037" w:rsidRDefault="00000000">
      <w:pPr>
        <w:spacing w:after="80" w:line="360" w:lineRule="auto"/>
      </w:pPr>
      <w:r>
        <w:rPr>
          <w:rFonts w:ascii="Times New Roman" w:eastAsia="Times New Roman" w:hAnsi="Times New Roman" w:cs="Times New Roman"/>
          <w:b/>
          <w:sz w:val="24"/>
        </w:rPr>
        <w:lastRenderedPageBreak/>
        <w:t xml:space="preserve">Correspondence: </w:t>
      </w:r>
      <w:r>
        <w:rPr>
          <w:rFonts w:ascii="Times New Roman" w:eastAsia="Times New Roman" w:hAnsi="Times New Roman" w:cs="Times New Roman"/>
          <w:sz w:val="24"/>
        </w:rPr>
        <w:t>Yessy Andriani Fauziah, School of Dental Medicine, Universitas Ciputra Surabaya, Surabaya 60219, Indonesia. Email: yessy.andriani@ciputra.ac.id. Phone: +62 857-3008-8872.</w:t>
      </w:r>
    </w:p>
    <w:p w14:paraId="7FAB112E" w14:textId="77777777" w:rsidR="00FB6037" w:rsidRDefault="00000000">
      <w:pPr>
        <w:spacing w:after="140"/>
        <w:rPr>
          <w:rFonts w:ascii="Times New Roman" w:eastAsia="Times New Roman" w:hAnsi="Times New Roman" w:cs="Times New Roman"/>
          <w:sz w:val="24"/>
        </w:rPr>
      </w:pPr>
      <w:r>
        <w:rPr>
          <w:rFonts w:ascii="Times New Roman" w:eastAsia="Times New Roman" w:hAnsi="Times New Roman" w:cs="Times New Roman"/>
          <w:sz w:val="24"/>
        </w:rPr>
        <w:t>Original article</w:t>
      </w:r>
    </w:p>
    <w:p w14:paraId="70C2FCC3" w14:textId="77777777" w:rsidR="00CD2DC6" w:rsidRDefault="00CD2DC6" w:rsidP="00CD2DC6">
      <w:pPr>
        <w:spacing w:after="0" w:line="360" w:lineRule="auto"/>
        <w:jc w:val="both"/>
        <w:rPr>
          <w:rFonts w:ascii="Times New Roman" w:eastAsia="Times New Roman" w:hAnsi="Times New Roman" w:cs="Times New Roman"/>
          <w:sz w:val="24"/>
          <w:szCs w:val="24"/>
        </w:rPr>
        <w:sectPr w:rsidR="00CD2DC6" w:rsidSect="00CD2DC6">
          <w:headerReference w:type="default" r:id="rId8"/>
          <w:type w:val="continuous"/>
          <w:pgSz w:w="11906" w:h="16838"/>
          <w:pgMar w:top="1440" w:right="1440" w:bottom="1440" w:left="1440" w:header="720" w:footer="720" w:gutter="0"/>
          <w:pgNumType w:start="1"/>
          <w:cols w:space="720"/>
        </w:sectPr>
      </w:pPr>
      <w:r>
        <w:rPr>
          <w:noProof/>
        </w:rPr>
        <mc:AlternateContent>
          <mc:Choice Requires="wps">
            <w:drawing>
              <wp:anchor distT="4294967295" distB="4294967295" distL="114300" distR="114300" simplePos="0" relativeHeight="251659264" behindDoc="0" locked="0" layoutInCell="1" hidden="0" allowOverlap="1" wp14:anchorId="0367AF8B" wp14:editId="3BC60DC9">
                <wp:simplePos x="0" y="0"/>
                <wp:positionH relativeFrom="column">
                  <wp:posOffset>1</wp:posOffset>
                </wp:positionH>
                <wp:positionV relativeFrom="paragraph">
                  <wp:posOffset>17796</wp:posOffset>
                </wp:positionV>
                <wp:extent cx="571500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2488500" y="3780000"/>
                          <a:ext cx="5715000" cy="0"/>
                        </a:xfrm>
                        <a:prstGeom prst="straightConnector1">
                          <a:avLst/>
                        </a:prstGeom>
                        <a:noFill/>
                        <a:ln w="12700" cap="flat" cmpd="sng">
                          <a:solidFill>
                            <a:srgbClr val="000000"/>
                          </a:solidFill>
                          <a:prstDash val="solid"/>
                          <a:miter lim="800000"/>
                          <a:headEnd type="none" w="sm" len="sm"/>
                          <a:tailEnd type="none" w="sm" len="sm"/>
                        </a:ln>
                      </wps:spPr>
                      <wps:bodyPr/>
                    </wps:wsp>
                  </a:graphicData>
                </a:graphic>
              </wp:anchor>
            </w:drawing>
          </mc:Choice>
          <mc:Fallback>
            <w:pict>
              <v:shapetype w14:anchorId="113DEAF2" id="_x0000_t32" coordsize="21600,21600" o:spt="32" o:oned="t" path="m,l21600,21600e" filled="f">
                <v:path arrowok="t" fillok="f" o:connecttype="none"/>
                <o:lock v:ext="edit" shapetype="t"/>
              </v:shapetype>
              <v:shape id="Straight Arrow Connector 3" o:spid="_x0000_s1026" type="#_x0000_t32" style="position:absolute;margin-left:0;margin-top:1.4pt;width:450pt;height:1pt;z-index:251659264;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" strokeweight="1pt">
                <v:stroke startarrowwidth="narrow" startarrowlength="short" endarrowwidth="narrow" endarrowlength="short" joinstyle="miter"/>
              </v:shape>
            </w:pict>
          </mc:Fallback>
        </mc:AlternateContent>
      </w:r>
    </w:p>
    <w:p w14:paraId="6C8230DD" w14:textId="77777777" w:rsidR="00CD2DC6" w:rsidRDefault="00CD2DC6">
      <w:pPr>
        <w:spacing w:after="140"/>
      </w:pPr>
    </w:p>
    <w:p w14:paraId="60BEFC42" w14:textId="77777777" w:rsidR="00FB6037" w:rsidRDefault="00000000">
      <w:pPr>
        <w:keepNext/>
        <w:spacing w:before="160" w:after="100" w:line="360" w:lineRule="auto"/>
      </w:pPr>
      <w:r>
        <w:rPr>
          <w:rFonts w:ascii="Times New Roman" w:eastAsia="Times New Roman" w:hAnsi="Times New Roman" w:cs="Times New Roman"/>
          <w:b/>
          <w:sz w:val="24"/>
        </w:rPr>
        <w:t>INTRODUCTION</w:t>
      </w:r>
    </w:p>
    <w:p w14:paraId="19E05535" w14:textId="77777777" w:rsidR="00FB6037" w:rsidRDefault="00000000">
      <w:pPr>
        <w:spacing w:after="120" w:line="360" w:lineRule="auto"/>
        <w:ind w:firstLine="360"/>
        <w:jc w:val="both"/>
      </w:pPr>
      <w:r>
        <w:rPr>
          <w:rFonts w:ascii="Times New Roman" w:eastAsia="Times New Roman" w:hAnsi="Times New Roman" w:cs="Times New Roman"/>
          <w:sz w:val="24"/>
        </w:rPr>
        <w:t>Forensic odontology applies dental knowledge to legal questions, most visibly through comparison of antemortem and postmortem data for human identification.</w:t>
      </w:r>
      <w:r>
        <w:rPr>
          <w:rFonts w:ascii="Times New Roman" w:eastAsia="Times New Roman" w:hAnsi="Times New Roman" w:cs="Times New Roman"/>
          <w:sz w:val="20"/>
          <w:vertAlign w:val="superscript"/>
        </w:rPr>
        <w:t>1,2</w:t>
      </w:r>
      <w:r>
        <w:rPr>
          <w:rFonts w:ascii="Times New Roman" w:eastAsia="Times New Roman" w:hAnsi="Times New Roman" w:cs="Times New Roman"/>
          <w:sz w:val="24"/>
        </w:rPr>
        <w:t xml:space="preserve"> Its value does not arise solely from the biological resilience of teeth; it also depends on whether the clinical record is complete, interpretable, and attributable to the correct person.</w:t>
      </w:r>
      <w:r>
        <w:rPr>
          <w:rFonts w:ascii="Times New Roman" w:eastAsia="Times New Roman" w:hAnsi="Times New Roman" w:cs="Times New Roman"/>
          <w:sz w:val="20"/>
          <w:vertAlign w:val="superscript"/>
        </w:rPr>
        <w:t>1,3</w:t>
      </w:r>
      <w:r>
        <w:rPr>
          <w:rFonts w:ascii="Times New Roman" w:eastAsia="Times New Roman" w:hAnsi="Times New Roman" w:cs="Times New Roman"/>
          <w:sz w:val="24"/>
        </w:rPr>
        <w:t xml:space="preserve"> Dental charts, odontograms, radiographs, photographs, treatment notes, and laboratory records may therefore become both clinical information and potential medico-legal evidence.</w:t>
      </w:r>
      <w:r>
        <w:rPr>
          <w:rFonts w:ascii="Times New Roman" w:eastAsia="Times New Roman" w:hAnsi="Times New Roman" w:cs="Times New Roman"/>
          <w:sz w:val="20"/>
          <w:vertAlign w:val="superscript"/>
        </w:rPr>
        <w:t>3,4</w:t>
      </w:r>
      <w:r>
        <w:rPr>
          <w:rFonts w:ascii="Times New Roman" w:eastAsia="Times New Roman" w:hAnsi="Times New Roman" w:cs="Times New Roman"/>
          <w:sz w:val="24"/>
        </w:rPr>
        <w:t xml:space="preserve"> </w:t>
      </w:r>
    </w:p>
    <w:p w14:paraId="4E3194F1" w14:textId="77777777" w:rsidR="00FB6037" w:rsidRDefault="00000000">
      <w:pPr>
        <w:spacing w:after="120" w:line="360" w:lineRule="auto"/>
        <w:ind w:firstLine="360"/>
        <w:jc w:val="both"/>
      </w:pPr>
      <w:r>
        <w:rPr>
          <w:rFonts w:ascii="Times New Roman" w:eastAsia="Times New Roman" w:hAnsi="Times New Roman" w:cs="Times New Roman"/>
          <w:sz w:val="24"/>
        </w:rPr>
        <w:t>Studies from several settings have described gaps in the maintenance, standardisation, and forensic usability of dental records.</w:t>
      </w:r>
      <w:r>
        <w:rPr>
          <w:rFonts w:ascii="Times New Roman" w:eastAsia="Times New Roman" w:hAnsi="Times New Roman" w:cs="Times New Roman"/>
          <w:sz w:val="20"/>
          <w:vertAlign w:val="superscript"/>
        </w:rPr>
        <w:t>3-7</w:t>
      </w:r>
      <w:r>
        <w:rPr>
          <w:rFonts w:ascii="Times New Roman" w:eastAsia="Times New Roman" w:hAnsi="Times New Roman" w:cs="Times New Roman"/>
          <w:sz w:val="24"/>
        </w:rPr>
        <w:t xml:space="preserve"> These gaps include incomplete documentation, inconsistent retention, poor retrieval, and uncertainty about the release of records to legitimate authorities.</w:t>
      </w:r>
      <w:r>
        <w:rPr>
          <w:rFonts w:ascii="Times New Roman" w:eastAsia="Times New Roman" w:hAnsi="Times New Roman" w:cs="Times New Roman"/>
          <w:sz w:val="20"/>
          <w:vertAlign w:val="superscript"/>
        </w:rPr>
        <w:t>4,6,7</w:t>
      </w:r>
      <w:r>
        <w:rPr>
          <w:rFonts w:ascii="Times New Roman" w:eastAsia="Times New Roman" w:hAnsi="Times New Roman" w:cs="Times New Roman"/>
          <w:sz w:val="24"/>
        </w:rPr>
        <w:t xml:space="preserve"> When a record is incomplete or its provenance cannot be demonstrated, its usefulness for identification and its reliability as evidence may be weakened.</w:t>
      </w:r>
      <w:r>
        <w:rPr>
          <w:rFonts w:ascii="Times New Roman" w:eastAsia="Times New Roman" w:hAnsi="Times New Roman" w:cs="Times New Roman"/>
          <w:sz w:val="20"/>
          <w:vertAlign w:val="superscript"/>
        </w:rPr>
        <w:t>8-12</w:t>
      </w:r>
      <w:r>
        <w:rPr>
          <w:rFonts w:ascii="Times New Roman" w:eastAsia="Times New Roman" w:hAnsi="Times New Roman" w:cs="Times New Roman"/>
          <w:sz w:val="24"/>
        </w:rPr>
        <w:t xml:space="preserve"> </w:t>
      </w:r>
    </w:p>
    <w:p w14:paraId="5F2BAE5A" w14:textId="77777777" w:rsidR="00FB6037" w:rsidRDefault="00000000">
      <w:pPr>
        <w:spacing w:after="120" w:line="360" w:lineRule="auto"/>
        <w:ind w:firstLine="360"/>
        <w:jc w:val="both"/>
      </w:pPr>
      <w:r>
        <w:rPr>
          <w:rFonts w:ascii="Times New Roman" w:eastAsia="Times New Roman" w:hAnsi="Times New Roman" w:cs="Times New Roman"/>
          <w:sz w:val="24"/>
        </w:rPr>
        <w:t>Hospitals face an additional governance challenge because dental information may be generated, stored, accessed, and disclosed through institutional systems rather than an individual dental practice.</w:t>
      </w:r>
      <w:r>
        <w:rPr>
          <w:rFonts w:ascii="Times New Roman" w:eastAsia="Times New Roman" w:hAnsi="Times New Roman" w:cs="Times New Roman"/>
          <w:sz w:val="20"/>
          <w:vertAlign w:val="superscript"/>
        </w:rPr>
        <w:t>13-16</w:t>
      </w:r>
      <w:r>
        <w:rPr>
          <w:rFonts w:ascii="Times New Roman" w:eastAsia="Times New Roman" w:hAnsi="Times New Roman" w:cs="Times New Roman"/>
          <w:sz w:val="24"/>
        </w:rPr>
        <w:t xml:space="preserve"> In Indonesia, health, medical-record, data-protection, and implementing regulations establish general duties regarding health information, but they do not set out a detailed hospital workflow for forensic dental records.</w:t>
      </w:r>
      <w:r>
        <w:rPr>
          <w:rFonts w:ascii="Times New Roman" w:eastAsia="Times New Roman" w:hAnsi="Times New Roman" w:cs="Times New Roman"/>
          <w:sz w:val="20"/>
          <w:vertAlign w:val="superscript"/>
        </w:rPr>
        <w:t>17-20</w:t>
      </w:r>
      <w:r>
        <w:rPr>
          <w:rFonts w:ascii="Times New Roman" w:eastAsia="Times New Roman" w:hAnsi="Times New Roman" w:cs="Times New Roman"/>
          <w:sz w:val="24"/>
        </w:rPr>
        <w:t xml:space="preserve"> Operational decisions must therefore reconcile lawful access, confidentiality, documentation integrity, professional competence, and accountability.</w:t>
      </w:r>
      <w:r>
        <w:rPr>
          <w:rFonts w:ascii="Times New Roman" w:eastAsia="Times New Roman" w:hAnsi="Times New Roman" w:cs="Times New Roman"/>
          <w:sz w:val="20"/>
          <w:vertAlign w:val="superscript"/>
        </w:rPr>
        <w:t>16,21</w:t>
      </w:r>
      <w:r>
        <w:rPr>
          <w:rFonts w:ascii="Times New Roman" w:eastAsia="Times New Roman" w:hAnsi="Times New Roman" w:cs="Times New Roman"/>
          <w:sz w:val="24"/>
        </w:rPr>
        <w:t xml:space="preserve"> </w:t>
      </w:r>
    </w:p>
    <w:p w14:paraId="29CC9381" w14:textId="77777777" w:rsidR="00FB6037" w:rsidRDefault="00000000">
      <w:pPr>
        <w:spacing w:after="120" w:line="360" w:lineRule="auto"/>
        <w:ind w:firstLine="360"/>
        <w:jc w:val="both"/>
      </w:pPr>
      <w:r>
        <w:rPr>
          <w:rFonts w:ascii="Times New Roman" w:eastAsia="Times New Roman" w:hAnsi="Times New Roman" w:cs="Times New Roman"/>
          <w:sz w:val="24"/>
        </w:rPr>
        <w:t>The ethical issues are equally important. The use of a patient’s dental record for a forensic purpose may serve identification and justice, but it can also create risks of unnecessary disclosure, biased interpretation, or role conflict when the treating dentist is asked to act as a forensic expert.</w:t>
      </w:r>
      <w:r>
        <w:rPr>
          <w:rFonts w:ascii="Times New Roman" w:eastAsia="Times New Roman" w:hAnsi="Times New Roman" w:cs="Times New Roman"/>
          <w:sz w:val="20"/>
          <w:vertAlign w:val="superscript"/>
        </w:rPr>
        <w:t>8,10,21</w:t>
      </w:r>
      <w:r>
        <w:rPr>
          <w:rFonts w:ascii="Times New Roman" w:eastAsia="Times New Roman" w:hAnsi="Times New Roman" w:cs="Times New Roman"/>
          <w:sz w:val="24"/>
        </w:rPr>
        <w:t xml:space="preserve"> This study therefore analysed the legal and ethical requirements for governing forensic dental records in Indonesian hospitals and translated the analysis into operational controls for hospital policy.</w:t>
      </w:r>
    </w:p>
    <w:p w14:paraId="2843896A" w14:textId="75CFD471" w:rsidR="00FB6037" w:rsidRDefault="00000000">
      <w:pPr>
        <w:keepNext/>
        <w:spacing w:before="160" w:after="100" w:line="360" w:lineRule="auto"/>
      </w:pPr>
      <w:r>
        <w:rPr>
          <w:rFonts w:ascii="Times New Roman" w:eastAsia="Times New Roman" w:hAnsi="Times New Roman" w:cs="Times New Roman"/>
          <w:b/>
          <w:sz w:val="24"/>
        </w:rPr>
        <w:lastRenderedPageBreak/>
        <w:t>METHODS</w:t>
      </w:r>
    </w:p>
    <w:p w14:paraId="41FB8146" w14:textId="77777777" w:rsidR="00FB6037" w:rsidRDefault="00000000">
      <w:pPr>
        <w:keepNext/>
        <w:spacing w:before="100" w:after="40" w:line="288" w:lineRule="auto"/>
      </w:pPr>
      <w:r>
        <w:rPr>
          <w:rFonts w:ascii="Times New Roman" w:eastAsia="Times New Roman" w:hAnsi="Times New Roman" w:cs="Times New Roman"/>
          <w:b/>
          <w:sz w:val="24"/>
        </w:rPr>
        <w:t>Study design and legal materials</w:t>
      </w:r>
    </w:p>
    <w:p w14:paraId="689B2522" w14:textId="77777777" w:rsidR="00FB6037" w:rsidRDefault="00000000">
      <w:pPr>
        <w:spacing w:after="120" w:line="360" w:lineRule="auto"/>
        <w:ind w:firstLine="360"/>
        <w:jc w:val="both"/>
      </w:pPr>
      <w:r>
        <w:rPr>
          <w:rFonts w:ascii="Times New Roman" w:eastAsia="Times New Roman" w:hAnsi="Times New Roman" w:cs="Times New Roman"/>
          <w:sz w:val="24"/>
        </w:rPr>
        <w:t>This normative legal study used statutory and conceptual approaches. The statutory approach examined four primary materials: Law Number 17 of 2023 concerning Health, Minister of Health Regulation Number 24 of 2022 concerning Medical Records, Law Number 27 of 2022 concerning Personal Data Protection, and Government Regulation Number 28 of 2024 implementing the Health Law.</w:t>
      </w:r>
      <w:r>
        <w:rPr>
          <w:rFonts w:ascii="Times New Roman" w:eastAsia="Times New Roman" w:hAnsi="Times New Roman" w:cs="Times New Roman"/>
          <w:sz w:val="20"/>
          <w:vertAlign w:val="superscript"/>
        </w:rPr>
        <w:t>17-20</w:t>
      </w:r>
      <w:r>
        <w:rPr>
          <w:rFonts w:ascii="Times New Roman" w:eastAsia="Times New Roman" w:hAnsi="Times New Roman" w:cs="Times New Roman"/>
          <w:sz w:val="24"/>
        </w:rPr>
        <w:t xml:space="preserve"> The conceptual approach examined how legal duties over health information interact with forensic odontology, hospital governance, and biomedical ethics.</w:t>
      </w:r>
    </w:p>
    <w:p w14:paraId="22EC66DD" w14:textId="77777777" w:rsidR="00FB6037" w:rsidRDefault="00000000">
      <w:pPr>
        <w:keepNext/>
        <w:spacing w:before="100" w:after="40" w:line="288" w:lineRule="auto"/>
      </w:pPr>
      <w:r>
        <w:rPr>
          <w:rFonts w:ascii="Times New Roman" w:eastAsia="Times New Roman" w:hAnsi="Times New Roman" w:cs="Times New Roman"/>
          <w:b/>
          <w:sz w:val="24"/>
        </w:rPr>
        <w:t>Secondary materials and selection</w:t>
      </w:r>
    </w:p>
    <w:p w14:paraId="6232FA22" w14:textId="77777777" w:rsidR="00FB6037" w:rsidRDefault="00000000">
      <w:pPr>
        <w:spacing w:after="120" w:line="360" w:lineRule="auto"/>
        <w:ind w:firstLine="360"/>
        <w:jc w:val="both"/>
      </w:pPr>
      <w:r>
        <w:rPr>
          <w:rFonts w:ascii="Times New Roman" w:eastAsia="Times New Roman" w:hAnsi="Times New Roman" w:cs="Times New Roman"/>
          <w:sz w:val="24"/>
        </w:rPr>
        <w:t>Secondary materials consisted of peer-reviewed English-language publications from 2016 to 2026 addressing forensic dental identification, dental record maintenance, confidentiality, disclosure, digital documentation, professional practice, and hospital governance. Sources were selected purposively when they explained a governance problem relevant to record creation, storage, access, disclosure, evidence transfer, competence, or oversight. Publications focused solely on clinical procedures without relevance to records or governance were excluded.</w:t>
      </w:r>
    </w:p>
    <w:p w14:paraId="58B2DFFD" w14:textId="77777777" w:rsidR="00FB6037" w:rsidRDefault="00000000">
      <w:pPr>
        <w:keepNext/>
        <w:spacing w:before="100" w:after="40" w:line="288" w:lineRule="auto"/>
      </w:pPr>
      <w:r>
        <w:rPr>
          <w:rFonts w:ascii="Times New Roman" w:eastAsia="Times New Roman" w:hAnsi="Times New Roman" w:cs="Times New Roman"/>
          <w:b/>
          <w:sz w:val="24"/>
        </w:rPr>
        <w:t>Analysis</w:t>
      </w:r>
    </w:p>
    <w:p w14:paraId="6147CD7E" w14:textId="77777777" w:rsidR="00FB6037" w:rsidRDefault="00000000">
      <w:pPr>
        <w:spacing w:after="120" w:line="360" w:lineRule="auto"/>
        <w:ind w:firstLine="360"/>
        <w:jc w:val="both"/>
      </w:pPr>
      <w:r>
        <w:rPr>
          <w:rFonts w:ascii="Times New Roman" w:eastAsia="Times New Roman" w:hAnsi="Times New Roman" w:cs="Times New Roman"/>
          <w:sz w:val="24"/>
        </w:rPr>
        <w:t>Legal materials were described, systematised, interpreted, and used to construct a normative argument. Secondary materials were mapped to six stages of the hospital record lifecycle: creation, storage, access, disclosure, evidence transfer, and review. The resulting duties and controls were assessed against autonomy, beneficence, non-maleficence, and justice.</w:t>
      </w:r>
      <w:r>
        <w:rPr>
          <w:rFonts w:ascii="Times New Roman" w:eastAsia="Times New Roman" w:hAnsi="Times New Roman" w:cs="Times New Roman"/>
          <w:sz w:val="20"/>
          <w:vertAlign w:val="superscript"/>
        </w:rPr>
        <w:t>21</w:t>
      </w:r>
      <w:r>
        <w:rPr>
          <w:rFonts w:ascii="Times New Roman" w:eastAsia="Times New Roman" w:hAnsi="Times New Roman" w:cs="Times New Roman"/>
          <w:sz w:val="24"/>
        </w:rPr>
        <w:t xml:space="preserve"> Ethical clearance was not required because the study used only publicly available legal and scholarly materials and did not involve human participants, biological specimens, or identifiable patient data.</w:t>
      </w:r>
    </w:p>
    <w:p w14:paraId="1AA339C9" w14:textId="77777777" w:rsidR="00FB6037" w:rsidRDefault="00000000">
      <w:pPr>
        <w:keepNext/>
        <w:spacing w:before="160" w:after="100" w:line="360" w:lineRule="auto"/>
      </w:pPr>
      <w:r>
        <w:rPr>
          <w:rFonts w:ascii="Times New Roman" w:eastAsia="Times New Roman" w:hAnsi="Times New Roman" w:cs="Times New Roman"/>
          <w:b/>
          <w:sz w:val="24"/>
        </w:rPr>
        <w:t>RESULTS</w:t>
      </w:r>
    </w:p>
    <w:p w14:paraId="02EC93CA" w14:textId="77777777" w:rsidR="00FB6037" w:rsidRDefault="00000000">
      <w:pPr>
        <w:keepNext/>
        <w:spacing w:before="100" w:after="40" w:line="288" w:lineRule="auto"/>
      </w:pPr>
      <w:r>
        <w:rPr>
          <w:rFonts w:ascii="Times New Roman" w:eastAsia="Times New Roman" w:hAnsi="Times New Roman" w:cs="Times New Roman"/>
          <w:b/>
          <w:sz w:val="24"/>
        </w:rPr>
        <w:t>Legal and ethical governance requirements</w:t>
      </w:r>
    </w:p>
    <w:p w14:paraId="48EE4F99" w14:textId="77777777" w:rsidR="00FB6037" w:rsidRDefault="00000000">
      <w:pPr>
        <w:spacing w:after="120" w:line="360" w:lineRule="auto"/>
        <w:ind w:firstLine="360"/>
        <w:jc w:val="both"/>
      </w:pPr>
      <w:r>
        <w:rPr>
          <w:rFonts w:ascii="Times New Roman" w:eastAsia="Times New Roman" w:hAnsi="Times New Roman" w:cs="Times New Roman"/>
          <w:sz w:val="24"/>
        </w:rPr>
        <w:t xml:space="preserve">The analysis identified a governance gap between general legal duties over health information and the practical steps required when dental records are used for a forensic purpose. The relevant regulations support obligations concerning health services, medical records, personal data, and institutional implementation, but none specifies a complete hospital process for receiving a forensic request, verifying authority, preparing a minimum-necessary </w:t>
      </w:r>
      <w:r>
        <w:rPr>
          <w:rFonts w:ascii="Times New Roman" w:eastAsia="Times New Roman" w:hAnsi="Times New Roman" w:cs="Times New Roman"/>
          <w:sz w:val="24"/>
        </w:rPr>
        <w:lastRenderedPageBreak/>
        <w:t>record package, documenting transfer, and auditing later access.</w:t>
      </w:r>
      <w:r>
        <w:rPr>
          <w:rFonts w:ascii="Times New Roman" w:eastAsia="Times New Roman" w:hAnsi="Times New Roman" w:cs="Times New Roman"/>
          <w:sz w:val="20"/>
          <w:vertAlign w:val="superscript"/>
        </w:rPr>
        <w:t>17-20</w:t>
      </w:r>
      <w:r>
        <w:rPr>
          <w:rFonts w:ascii="Times New Roman" w:eastAsia="Times New Roman" w:hAnsi="Times New Roman" w:cs="Times New Roman"/>
          <w:sz w:val="24"/>
        </w:rPr>
        <w:t xml:space="preserve"> Table 1 maps the legal materials to the governance implications identified in this study.</w:t>
      </w:r>
    </w:p>
    <w:p w14:paraId="797088A8" w14:textId="77777777" w:rsidR="00FB6037" w:rsidRDefault="00000000">
      <w:pPr>
        <w:keepNext/>
        <w:spacing w:before="100" w:after="40" w:line="288" w:lineRule="auto"/>
      </w:pPr>
      <w:r>
        <w:rPr>
          <w:rFonts w:ascii="Times New Roman" w:eastAsia="Times New Roman" w:hAnsi="Times New Roman" w:cs="Times New Roman"/>
          <w:b/>
          <w:sz w:val="24"/>
        </w:rPr>
        <w:t>Record completeness and evidentiary provenance</w:t>
      </w:r>
    </w:p>
    <w:p w14:paraId="6D379156" w14:textId="77777777" w:rsidR="00FB6037" w:rsidRDefault="00000000">
      <w:pPr>
        <w:spacing w:after="120" w:line="360" w:lineRule="auto"/>
        <w:ind w:firstLine="360"/>
        <w:jc w:val="both"/>
      </w:pPr>
      <w:r>
        <w:rPr>
          <w:rFonts w:ascii="Times New Roman" w:eastAsia="Times New Roman" w:hAnsi="Times New Roman" w:cs="Times New Roman"/>
          <w:sz w:val="24"/>
        </w:rPr>
        <w:t>Clinical completeness and forensic readiness are related but not identical. Clinical notes may be sufficient to guide continuing treatment while still lacking a standardised odontogram, imaging metadata, author identification, or transparent correction history needed for later forensic comparison.</w:t>
      </w:r>
      <w:r>
        <w:rPr>
          <w:rFonts w:ascii="Times New Roman" w:eastAsia="Times New Roman" w:hAnsi="Times New Roman" w:cs="Times New Roman"/>
          <w:sz w:val="20"/>
          <w:vertAlign w:val="superscript"/>
        </w:rPr>
        <w:t>3,4,7</w:t>
      </w:r>
      <w:r>
        <w:rPr>
          <w:rFonts w:ascii="Times New Roman" w:eastAsia="Times New Roman" w:hAnsi="Times New Roman" w:cs="Times New Roman"/>
          <w:sz w:val="24"/>
        </w:rPr>
        <w:t xml:space="preserve"> For governance purposes, provenance should be understood as the ability to show which patient record was used, who generated each entry, when the entry was created or amended, and how a copy was exported. This does not convert every dental record into forensic evidence; it makes the record capable of being evaluated responsibly if a lawful forensic need later arises.</w:t>
      </w:r>
      <w:r>
        <w:rPr>
          <w:rFonts w:ascii="Times New Roman" w:eastAsia="Times New Roman" w:hAnsi="Times New Roman" w:cs="Times New Roman"/>
          <w:sz w:val="20"/>
          <w:vertAlign w:val="superscript"/>
        </w:rPr>
        <w:t>1,8,15</w:t>
      </w:r>
      <w:r>
        <w:rPr>
          <w:rFonts w:ascii="Times New Roman" w:eastAsia="Times New Roman" w:hAnsi="Times New Roman" w:cs="Times New Roman"/>
          <w:sz w:val="24"/>
        </w:rPr>
        <w:t xml:space="preserve"> </w:t>
      </w:r>
    </w:p>
    <w:p w14:paraId="07CF7746" w14:textId="77777777" w:rsidR="00FB6037" w:rsidRDefault="00000000">
      <w:pPr>
        <w:keepNext/>
        <w:spacing w:before="100" w:after="40" w:line="288" w:lineRule="auto"/>
      </w:pPr>
      <w:r>
        <w:rPr>
          <w:rFonts w:ascii="Times New Roman" w:eastAsia="Times New Roman" w:hAnsi="Times New Roman" w:cs="Times New Roman"/>
          <w:b/>
          <w:sz w:val="24"/>
        </w:rPr>
        <w:t>Lawful access and minimum-necessary disclosure</w:t>
      </w:r>
    </w:p>
    <w:p w14:paraId="3D1F629D" w14:textId="77777777" w:rsidR="00FB6037" w:rsidRDefault="00000000">
      <w:pPr>
        <w:spacing w:after="120" w:line="360" w:lineRule="auto"/>
        <w:ind w:firstLine="360"/>
        <w:jc w:val="both"/>
      </w:pPr>
      <w:r>
        <w:rPr>
          <w:rFonts w:ascii="Times New Roman" w:eastAsia="Times New Roman" w:hAnsi="Times New Roman" w:cs="Times New Roman"/>
          <w:sz w:val="24"/>
        </w:rPr>
        <w:t>A forensic request should not be handled as a routine clinical referral. Before releasing a record, the hospital must be able to identify the requestor, the authority relied upon, the stated purpose, the requested data elements, and the unit responsible for approving disclosure.</w:t>
      </w:r>
      <w:r>
        <w:rPr>
          <w:rFonts w:ascii="Times New Roman" w:eastAsia="Times New Roman" w:hAnsi="Times New Roman" w:cs="Times New Roman"/>
          <w:sz w:val="20"/>
          <w:vertAlign w:val="superscript"/>
        </w:rPr>
        <w:t>7,17-20</w:t>
      </w:r>
      <w:r>
        <w:rPr>
          <w:rFonts w:ascii="Times New Roman" w:eastAsia="Times New Roman" w:hAnsi="Times New Roman" w:cs="Times New Roman"/>
          <w:sz w:val="24"/>
        </w:rPr>
        <w:t xml:space="preserve"> The resulting record package should be limited to information relevant to the stated purpose and should preserve the relationship between source data and exported copies. This approach reduces the risk that legitimate forensic cooperation becomes unnecessary secondary use of personal health information.</w:t>
      </w:r>
      <w:r>
        <w:rPr>
          <w:rFonts w:ascii="Times New Roman" w:eastAsia="Times New Roman" w:hAnsi="Times New Roman" w:cs="Times New Roman"/>
          <w:sz w:val="20"/>
          <w:vertAlign w:val="superscript"/>
        </w:rPr>
        <w:t>7,8,19,21</w:t>
      </w:r>
      <w:r>
        <w:rPr>
          <w:rFonts w:ascii="Times New Roman" w:eastAsia="Times New Roman" w:hAnsi="Times New Roman" w:cs="Times New Roman"/>
          <w:sz w:val="24"/>
        </w:rPr>
        <w:t xml:space="preserve"> </w:t>
      </w:r>
    </w:p>
    <w:p w14:paraId="781704FD" w14:textId="77777777" w:rsidR="00FB6037" w:rsidRDefault="00000000">
      <w:pPr>
        <w:keepNext/>
        <w:spacing w:before="100" w:after="40" w:line="288" w:lineRule="auto"/>
      </w:pPr>
      <w:r>
        <w:rPr>
          <w:rFonts w:ascii="Times New Roman" w:eastAsia="Times New Roman" w:hAnsi="Times New Roman" w:cs="Times New Roman"/>
          <w:b/>
          <w:sz w:val="24"/>
        </w:rPr>
        <w:t>Role differentiation and institutional accountability</w:t>
      </w:r>
    </w:p>
    <w:p w14:paraId="26274397" w14:textId="77777777" w:rsidR="00FB6037" w:rsidRDefault="00000000">
      <w:pPr>
        <w:spacing w:after="120" w:line="360" w:lineRule="auto"/>
        <w:ind w:firstLine="360"/>
        <w:jc w:val="both"/>
      </w:pPr>
      <w:r>
        <w:rPr>
          <w:rFonts w:ascii="Times New Roman" w:eastAsia="Times New Roman" w:hAnsi="Times New Roman" w:cs="Times New Roman"/>
          <w:sz w:val="24"/>
        </w:rPr>
        <w:t>The treating dentist, forensic odontologist, medical-record officer, information technology unit, and hospital legal function should not be assumed to have interchangeable roles. Treating dentists generate accurate clinical records; forensic experts interpret dental findings within an agreed scope; records officers preserve and release information through authorised pathways; and hospital governance bodies provide policy, audit, and accountability.</w:t>
      </w:r>
      <w:r>
        <w:rPr>
          <w:rFonts w:ascii="Times New Roman" w:eastAsia="Times New Roman" w:hAnsi="Times New Roman" w:cs="Times New Roman"/>
          <w:sz w:val="20"/>
          <w:vertAlign w:val="superscript"/>
        </w:rPr>
        <w:t>8,9,16,21</w:t>
      </w:r>
      <w:r>
        <w:rPr>
          <w:rFonts w:ascii="Times New Roman" w:eastAsia="Times New Roman" w:hAnsi="Times New Roman" w:cs="Times New Roman"/>
          <w:sz w:val="24"/>
        </w:rPr>
        <w:t xml:space="preserve"> Clarifying these roles protects patients and practitioners alike by reducing informal disclosure, unsupported expert opinion, and uncertainty about who is accountable for a decision made within the hospital system.</w:t>
      </w:r>
    </w:p>
    <w:p w14:paraId="4B58BE10" w14:textId="77777777" w:rsidR="00FB6037" w:rsidRDefault="00000000">
      <w:r>
        <w:br w:type="page"/>
      </w:r>
    </w:p>
    <w:p w14:paraId="26804D39" w14:textId="77777777" w:rsidR="00FB6037" w:rsidRDefault="00000000">
      <w:pPr>
        <w:keepNext/>
        <w:spacing w:before="60" w:after="60" w:line="240" w:lineRule="auto"/>
      </w:pPr>
      <w:r>
        <w:rPr>
          <w:rFonts w:ascii="Times New Roman" w:eastAsia="Times New Roman" w:hAnsi="Times New Roman" w:cs="Times New Roman"/>
          <w:b/>
          <w:sz w:val="18"/>
        </w:rPr>
        <w:lastRenderedPageBreak/>
        <w:t>Table 1. Indonesian legal materials and governance implications for forensic dental records</w:t>
      </w:r>
    </w:p>
    <w:tbl>
      <w:tblPr>
        <w:tblStyle w:val="TableGrid"/>
        <w:tblW w:w="9223"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51"/>
        <w:gridCol w:w="2664"/>
        <w:gridCol w:w="4608"/>
      </w:tblGrid>
      <w:tr w:rsidR="00FB6037" w14:paraId="78E8554E" w14:textId="77777777" w:rsidTr="00827A72">
        <w:tc>
          <w:tcPr>
            <w:tcW w:w="1951" w:type="dxa"/>
            <w:tcBorders>
              <w:bottom w:val="single" w:sz="4" w:space="0" w:color="auto"/>
            </w:tcBorders>
          </w:tcPr>
          <w:p w14:paraId="231F3C48" w14:textId="77777777" w:rsidR="00FB6037" w:rsidRDefault="00000000" w:rsidP="0044342B">
            <w:r>
              <w:rPr>
                <w:rFonts w:ascii="Times New Roman" w:eastAsia="Times New Roman" w:hAnsi="Times New Roman" w:cs="Times New Roman"/>
                <w:b/>
                <w:sz w:val="16"/>
              </w:rPr>
              <w:t>Legal material</w:t>
            </w:r>
          </w:p>
        </w:tc>
        <w:tc>
          <w:tcPr>
            <w:tcW w:w="2664" w:type="dxa"/>
            <w:tcBorders>
              <w:bottom w:val="single" w:sz="4" w:space="0" w:color="auto"/>
            </w:tcBorders>
          </w:tcPr>
          <w:p w14:paraId="00584EF5" w14:textId="77777777" w:rsidR="00FB6037" w:rsidRDefault="00000000" w:rsidP="0044342B">
            <w:r>
              <w:rPr>
                <w:rFonts w:ascii="Times New Roman" w:eastAsia="Times New Roman" w:hAnsi="Times New Roman" w:cs="Times New Roman"/>
                <w:b/>
                <w:sz w:val="16"/>
              </w:rPr>
              <w:t>Regulatory focus</w:t>
            </w:r>
          </w:p>
        </w:tc>
        <w:tc>
          <w:tcPr>
            <w:tcW w:w="4608" w:type="dxa"/>
            <w:tcBorders>
              <w:bottom w:val="single" w:sz="4" w:space="0" w:color="auto"/>
            </w:tcBorders>
          </w:tcPr>
          <w:p w14:paraId="56D9B457" w14:textId="77777777" w:rsidR="00FB6037" w:rsidRDefault="00000000" w:rsidP="0044342B">
            <w:r>
              <w:rPr>
                <w:rFonts w:ascii="Times New Roman" w:eastAsia="Times New Roman" w:hAnsi="Times New Roman" w:cs="Times New Roman"/>
                <w:b/>
                <w:sz w:val="16"/>
              </w:rPr>
              <w:t>Governance implication for forensic dental records</w:t>
            </w:r>
          </w:p>
        </w:tc>
      </w:tr>
      <w:tr w:rsidR="00FB6037" w14:paraId="53B3B501" w14:textId="77777777" w:rsidTr="00827A72">
        <w:tc>
          <w:tcPr>
            <w:tcW w:w="1951" w:type="dxa"/>
            <w:tcBorders>
              <w:top w:val="single" w:sz="4" w:space="0" w:color="auto"/>
            </w:tcBorders>
          </w:tcPr>
          <w:p w14:paraId="041D888D" w14:textId="77777777" w:rsidR="00FB6037" w:rsidRDefault="00000000">
            <w:r>
              <w:rPr>
                <w:rFonts w:ascii="Times New Roman" w:eastAsia="Times New Roman" w:hAnsi="Times New Roman" w:cs="Times New Roman"/>
                <w:sz w:val="16"/>
              </w:rPr>
              <w:t>Law No. 17 of 2023 concerning Health</w:t>
            </w:r>
          </w:p>
        </w:tc>
        <w:tc>
          <w:tcPr>
            <w:tcW w:w="2664" w:type="dxa"/>
            <w:tcBorders>
              <w:top w:val="single" w:sz="4" w:space="0" w:color="auto"/>
            </w:tcBorders>
          </w:tcPr>
          <w:p w14:paraId="7C0C3C65" w14:textId="77777777" w:rsidR="00FB6037" w:rsidRDefault="00000000">
            <w:r>
              <w:rPr>
                <w:rFonts w:ascii="Times New Roman" w:eastAsia="Times New Roman" w:hAnsi="Times New Roman" w:cs="Times New Roman"/>
                <w:sz w:val="16"/>
              </w:rPr>
              <w:t>Health services, patient protection, and institutional responsibility.</w:t>
            </w:r>
          </w:p>
        </w:tc>
        <w:tc>
          <w:tcPr>
            <w:tcW w:w="4608" w:type="dxa"/>
            <w:tcBorders>
              <w:top w:val="single" w:sz="4" w:space="0" w:color="auto"/>
            </w:tcBorders>
          </w:tcPr>
          <w:p w14:paraId="7C75F137" w14:textId="77777777" w:rsidR="00FB6037" w:rsidRDefault="00000000">
            <w:r>
              <w:rPr>
                <w:rFonts w:ascii="Times New Roman" w:eastAsia="Times New Roman" w:hAnsi="Times New Roman" w:cs="Times New Roman"/>
                <w:sz w:val="16"/>
              </w:rPr>
              <w:t>Hospital policy should link clinical dental documentation with medico-legal readiness and accountability.</w:t>
            </w:r>
          </w:p>
        </w:tc>
      </w:tr>
      <w:tr w:rsidR="00FB6037" w14:paraId="0B90640D" w14:textId="77777777" w:rsidTr="00827A72">
        <w:tc>
          <w:tcPr>
            <w:tcW w:w="1951" w:type="dxa"/>
          </w:tcPr>
          <w:p w14:paraId="3033C21A" w14:textId="77777777" w:rsidR="00FB6037" w:rsidRDefault="00000000">
            <w:r>
              <w:rPr>
                <w:rFonts w:ascii="Times New Roman" w:eastAsia="Times New Roman" w:hAnsi="Times New Roman" w:cs="Times New Roman"/>
                <w:sz w:val="16"/>
              </w:rPr>
              <w:t>Minister of Health Regulation No. 24 of 2022 concerning Medical Records</w:t>
            </w:r>
          </w:p>
        </w:tc>
        <w:tc>
          <w:tcPr>
            <w:tcW w:w="2664" w:type="dxa"/>
          </w:tcPr>
          <w:p w14:paraId="4CAA3803" w14:textId="77777777" w:rsidR="00FB6037" w:rsidRDefault="00000000">
            <w:r>
              <w:rPr>
                <w:rFonts w:ascii="Times New Roman" w:eastAsia="Times New Roman" w:hAnsi="Times New Roman" w:cs="Times New Roman"/>
                <w:sz w:val="16"/>
              </w:rPr>
              <w:t>Medical-record management, including electronic records.</w:t>
            </w:r>
          </w:p>
        </w:tc>
        <w:tc>
          <w:tcPr>
            <w:tcW w:w="4608" w:type="dxa"/>
          </w:tcPr>
          <w:p w14:paraId="39339964" w14:textId="77777777" w:rsidR="00FB6037" w:rsidRDefault="00000000">
            <w:r>
              <w:rPr>
                <w:rFonts w:ascii="Times New Roman" w:eastAsia="Times New Roman" w:hAnsi="Times New Roman" w:cs="Times New Roman"/>
                <w:sz w:val="16"/>
              </w:rPr>
              <w:t>Dental charts, odontograms, and imaging should be retrievable, attributable, and managed within the hospital medical-record system.</w:t>
            </w:r>
          </w:p>
        </w:tc>
      </w:tr>
      <w:tr w:rsidR="00FB6037" w14:paraId="398A2DC0" w14:textId="77777777" w:rsidTr="00827A72">
        <w:tc>
          <w:tcPr>
            <w:tcW w:w="1951" w:type="dxa"/>
          </w:tcPr>
          <w:p w14:paraId="3D5B0E94" w14:textId="77777777" w:rsidR="00FB6037" w:rsidRDefault="00000000">
            <w:r>
              <w:rPr>
                <w:rFonts w:ascii="Times New Roman" w:eastAsia="Times New Roman" w:hAnsi="Times New Roman" w:cs="Times New Roman"/>
                <w:sz w:val="16"/>
              </w:rPr>
              <w:t>Law No. 27 of 2022 concerning Personal Data Protection</w:t>
            </w:r>
          </w:p>
        </w:tc>
        <w:tc>
          <w:tcPr>
            <w:tcW w:w="2664" w:type="dxa"/>
          </w:tcPr>
          <w:p w14:paraId="694B2505" w14:textId="77777777" w:rsidR="00FB6037" w:rsidRDefault="00000000">
            <w:r>
              <w:rPr>
                <w:rFonts w:ascii="Times New Roman" w:eastAsia="Times New Roman" w:hAnsi="Times New Roman" w:cs="Times New Roman"/>
                <w:sz w:val="16"/>
              </w:rPr>
              <w:t>Protection and processing of personal data.</w:t>
            </w:r>
          </w:p>
        </w:tc>
        <w:tc>
          <w:tcPr>
            <w:tcW w:w="4608" w:type="dxa"/>
          </w:tcPr>
          <w:p w14:paraId="02D8282E" w14:textId="77777777" w:rsidR="00FB6037" w:rsidRDefault="00000000">
            <w:r>
              <w:rPr>
                <w:rFonts w:ascii="Times New Roman" w:eastAsia="Times New Roman" w:hAnsi="Times New Roman" w:cs="Times New Roman"/>
                <w:sz w:val="16"/>
              </w:rPr>
              <w:t>Forensic access and disclosure should have a documented legal basis, purpose limitation, authorization, and access traceability.</w:t>
            </w:r>
          </w:p>
        </w:tc>
      </w:tr>
      <w:tr w:rsidR="00FB6037" w14:paraId="3935281C" w14:textId="77777777" w:rsidTr="00827A72">
        <w:tc>
          <w:tcPr>
            <w:tcW w:w="1951" w:type="dxa"/>
          </w:tcPr>
          <w:p w14:paraId="0509EBB5" w14:textId="77777777" w:rsidR="00FB6037" w:rsidRDefault="00000000">
            <w:r>
              <w:rPr>
                <w:rFonts w:ascii="Times New Roman" w:eastAsia="Times New Roman" w:hAnsi="Times New Roman" w:cs="Times New Roman"/>
                <w:sz w:val="16"/>
              </w:rPr>
              <w:t>Government Regulation No. 28 of 2024</w:t>
            </w:r>
          </w:p>
        </w:tc>
        <w:tc>
          <w:tcPr>
            <w:tcW w:w="2664" w:type="dxa"/>
          </w:tcPr>
          <w:p w14:paraId="68A437C6" w14:textId="77777777" w:rsidR="00FB6037" w:rsidRDefault="00000000">
            <w:r>
              <w:rPr>
                <w:rFonts w:ascii="Times New Roman" w:eastAsia="Times New Roman" w:hAnsi="Times New Roman" w:cs="Times New Roman"/>
                <w:sz w:val="16"/>
              </w:rPr>
              <w:t>Implementation of the Health Law.</w:t>
            </w:r>
          </w:p>
        </w:tc>
        <w:tc>
          <w:tcPr>
            <w:tcW w:w="4608" w:type="dxa"/>
          </w:tcPr>
          <w:p w14:paraId="7EFC8988" w14:textId="77777777" w:rsidR="00FB6037" w:rsidRDefault="00000000">
            <w:r>
              <w:rPr>
                <w:rFonts w:ascii="Times New Roman" w:eastAsia="Times New Roman" w:hAnsi="Times New Roman" w:cs="Times New Roman"/>
                <w:sz w:val="16"/>
              </w:rPr>
              <w:t>Hospital governance, risk management, and service procedures should operationalise record and data-protection duties in forensic contexts.</w:t>
            </w:r>
          </w:p>
        </w:tc>
      </w:tr>
    </w:tbl>
    <w:p w14:paraId="47507DD5" w14:textId="77777777" w:rsidR="00FB6037" w:rsidRDefault="00FB6037">
      <w:pPr>
        <w:spacing w:after="40"/>
      </w:pPr>
    </w:p>
    <w:p w14:paraId="75F82F0A" w14:textId="77777777" w:rsidR="00FB6037" w:rsidRDefault="00000000">
      <w:pPr>
        <w:keepNext/>
        <w:spacing w:before="100" w:after="40" w:line="288" w:lineRule="auto"/>
      </w:pPr>
      <w:r>
        <w:rPr>
          <w:rFonts w:ascii="Times New Roman" w:eastAsia="Times New Roman" w:hAnsi="Times New Roman" w:cs="Times New Roman"/>
          <w:b/>
          <w:sz w:val="24"/>
        </w:rPr>
        <w:t>Operational controls</w:t>
      </w:r>
    </w:p>
    <w:p w14:paraId="4D318A98" w14:textId="77777777" w:rsidR="00FB6037" w:rsidRDefault="00000000">
      <w:pPr>
        <w:spacing w:after="120" w:line="360" w:lineRule="auto"/>
        <w:ind w:firstLine="360"/>
        <w:jc w:val="both"/>
      </w:pPr>
      <w:r>
        <w:rPr>
          <w:rFonts w:ascii="Times New Roman" w:eastAsia="Times New Roman" w:hAnsi="Times New Roman" w:cs="Times New Roman"/>
          <w:sz w:val="24"/>
        </w:rPr>
        <w:t>A usable hospital policy must treat forensic use as a controlled extension of the clinical record lifecycle rather than as an informal request for information. The controls proposed in Table 2 are intended to preserve the clinical value of the record, protect the data subject, and support reliable forensic use.</w:t>
      </w:r>
    </w:p>
    <w:p w14:paraId="009EBBB8" w14:textId="77777777" w:rsidR="00FB6037" w:rsidRDefault="00000000">
      <w:pPr>
        <w:keepNext/>
        <w:spacing w:before="60" w:after="60" w:line="240" w:lineRule="auto"/>
      </w:pPr>
      <w:r>
        <w:rPr>
          <w:rFonts w:ascii="Times New Roman" w:eastAsia="Times New Roman" w:hAnsi="Times New Roman" w:cs="Times New Roman"/>
          <w:b/>
          <w:sz w:val="18"/>
        </w:rPr>
        <w:t>Table 2. Proposed hospital controls for forensic dental-record use</w:t>
      </w:r>
    </w:p>
    <w:tbl>
      <w:tblPr>
        <w:tblStyle w:val="TableGrid"/>
        <w:tblW w:w="9295"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59"/>
        <w:gridCol w:w="1944"/>
        <w:gridCol w:w="4552"/>
        <w:gridCol w:w="1640"/>
      </w:tblGrid>
      <w:tr w:rsidR="00FB6037" w14:paraId="1BB73A56" w14:textId="77777777" w:rsidTr="00827A72">
        <w:tc>
          <w:tcPr>
            <w:tcW w:w="1159" w:type="dxa"/>
            <w:tcBorders>
              <w:bottom w:val="single" w:sz="4" w:space="0" w:color="auto"/>
            </w:tcBorders>
          </w:tcPr>
          <w:p w14:paraId="649434CB" w14:textId="77777777" w:rsidR="00FB6037" w:rsidRDefault="00000000" w:rsidP="00827A72">
            <w:r>
              <w:rPr>
                <w:rFonts w:ascii="Times New Roman" w:eastAsia="Times New Roman" w:hAnsi="Times New Roman" w:cs="Times New Roman"/>
                <w:b/>
                <w:sz w:val="16"/>
              </w:rPr>
              <w:t>Stage</w:t>
            </w:r>
          </w:p>
        </w:tc>
        <w:tc>
          <w:tcPr>
            <w:tcW w:w="1944" w:type="dxa"/>
            <w:tcBorders>
              <w:bottom w:val="single" w:sz="4" w:space="0" w:color="auto"/>
            </w:tcBorders>
          </w:tcPr>
          <w:p w14:paraId="24BA3D5F" w14:textId="77777777" w:rsidR="00FB6037" w:rsidRDefault="00000000" w:rsidP="00827A72">
            <w:r>
              <w:rPr>
                <w:rFonts w:ascii="Times New Roman" w:eastAsia="Times New Roman" w:hAnsi="Times New Roman" w:cs="Times New Roman"/>
                <w:b/>
                <w:sz w:val="16"/>
              </w:rPr>
              <w:t>Principal risk</w:t>
            </w:r>
          </w:p>
        </w:tc>
        <w:tc>
          <w:tcPr>
            <w:tcW w:w="4552" w:type="dxa"/>
            <w:tcBorders>
              <w:bottom w:val="single" w:sz="4" w:space="0" w:color="auto"/>
            </w:tcBorders>
          </w:tcPr>
          <w:p w14:paraId="17D11A7D" w14:textId="77777777" w:rsidR="00FB6037" w:rsidRDefault="00000000" w:rsidP="0044342B">
            <w:r>
              <w:rPr>
                <w:rFonts w:ascii="Times New Roman" w:eastAsia="Times New Roman" w:hAnsi="Times New Roman" w:cs="Times New Roman"/>
                <w:b/>
                <w:sz w:val="16"/>
              </w:rPr>
              <w:t>Proposed control</w:t>
            </w:r>
          </w:p>
        </w:tc>
        <w:tc>
          <w:tcPr>
            <w:tcW w:w="1640" w:type="dxa"/>
            <w:tcBorders>
              <w:bottom w:val="single" w:sz="4" w:space="0" w:color="auto"/>
            </w:tcBorders>
          </w:tcPr>
          <w:p w14:paraId="4BF1F0FF" w14:textId="77777777" w:rsidR="00FB6037" w:rsidRDefault="00000000" w:rsidP="00827A72">
            <w:r>
              <w:rPr>
                <w:rFonts w:ascii="Times New Roman" w:eastAsia="Times New Roman" w:hAnsi="Times New Roman" w:cs="Times New Roman"/>
                <w:b/>
                <w:sz w:val="16"/>
              </w:rPr>
              <w:t>Accountable unit</w:t>
            </w:r>
          </w:p>
        </w:tc>
      </w:tr>
      <w:tr w:rsidR="00FB6037" w14:paraId="3586CF9F" w14:textId="77777777" w:rsidTr="00827A72">
        <w:tc>
          <w:tcPr>
            <w:tcW w:w="1159" w:type="dxa"/>
            <w:tcBorders>
              <w:top w:val="single" w:sz="4" w:space="0" w:color="auto"/>
            </w:tcBorders>
          </w:tcPr>
          <w:p w14:paraId="5F45A498" w14:textId="77777777" w:rsidR="00FB6037" w:rsidRDefault="00000000">
            <w:r>
              <w:rPr>
                <w:rFonts w:ascii="Times New Roman" w:eastAsia="Times New Roman" w:hAnsi="Times New Roman" w:cs="Times New Roman"/>
                <w:sz w:val="16"/>
              </w:rPr>
              <w:t>Record creation</w:t>
            </w:r>
          </w:p>
        </w:tc>
        <w:tc>
          <w:tcPr>
            <w:tcW w:w="1944" w:type="dxa"/>
            <w:tcBorders>
              <w:top w:val="single" w:sz="4" w:space="0" w:color="auto"/>
            </w:tcBorders>
          </w:tcPr>
          <w:p w14:paraId="0DC853A2" w14:textId="77777777" w:rsidR="00FB6037" w:rsidRDefault="00000000">
            <w:r>
              <w:rPr>
                <w:rFonts w:ascii="Times New Roman" w:eastAsia="Times New Roman" w:hAnsi="Times New Roman" w:cs="Times New Roman"/>
                <w:sz w:val="16"/>
              </w:rPr>
              <w:t>Incomplete or ambiguous odontological data.</w:t>
            </w:r>
          </w:p>
        </w:tc>
        <w:tc>
          <w:tcPr>
            <w:tcW w:w="4552" w:type="dxa"/>
            <w:tcBorders>
              <w:top w:val="single" w:sz="4" w:space="0" w:color="auto"/>
            </w:tcBorders>
          </w:tcPr>
          <w:p w14:paraId="593D1D5B" w14:textId="77777777" w:rsidR="00FB6037" w:rsidRDefault="00000000">
            <w:r>
              <w:rPr>
                <w:rFonts w:ascii="Times New Roman" w:eastAsia="Times New Roman" w:hAnsi="Times New Roman" w:cs="Times New Roman"/>
                <w:sz w:val="16"/>
              </w:rPr>
              <w:t>Require contemporaneous entries, standardised odontograms, image metadata, author identification, and visible amendment history.</w:t>
            </w:r>
          </w:p>
        </w:tc>
        <w:tc>
          <w:tcPr>
            <w:tcW w:w="1640" w:type="dxa"/>
            <w:tcBorders>
              <w:top w:val="single" w:sz="4" w:space="0" w:color="auto"/>
            </w:tcBorders>
          </w:tcPr>
          <w:p w14:paraId="189C0C0B" w14:textId="77777777" w:rsidR="00FB6037" w:rsidRDefault="00000000">
            <w:r>
              <w:rPr>
                <w:rFonts w:ascii="Times New Roman" w:eastAsia="Times New Roman" w:hAnsi="Times New Roman" w:cs="Times New Roman"/>
                <w:sz w:val="16"/>
              </w:rPr>
              <w:t>Dental unit and treating dentist</w:t>
            </w:r>
          </w:p>
        </w:tc>
      </w:tr>
      <w:tr w:rsidR="00FB6037" w14:paraId="1CFE0860" w14:textId="77777777" w:rsidTr="00827A72">
        <w:tc>
          <w:tcPr>
            <w:tcW w:w="1159" w:type="dxa"/>
          </w:tcPr>
          <w:p w14:paraId="0FD7E77F" w14:textId="77777777" w:rsidR="00FB6037" w:rsidRDefault="00000000">
            <w:r>
              <w:rPr>
                <w:rFonts w:ascii="Times New Roman" w:eastAsia="Times New Roman" w:hAnsi="Times New Roman" w:cs="Times New Roman"/>
                <w:sz w:val="16"/>
              </w:rPr>
              <w:t>Storage and retrieval</w:t>
            </w:r>
          </w:p>
        </w:tc>
        <w:tc>
          <w:tcPr>
            <w:tcW w:w="1944" w:type="dxa"/>
          </w:tcPr>
          <w:p w14:paraId="68D8B9B8" w14:textId="77777777" w:rsidR="00FB6037" w:rsidRDefault="00000000">
            <w:r>
              <w:rPr>
                <w:rFonts w:ascii="Times New Roman" w:eastAsia="Times New Roman" w:hAnsi="Times New Roman" w:cs="Times New Roman"/>
                <w:sz w:val="16"/>
              </w:rPr>
              <w:t>Loss, fragmentation, or inability to identify the correct patient record.</w:t>
            </w:r>
          </w:p>
        </w:tc>
        <w:tc>
          <w:tcPr>
            <w:tcW w:w="4552" w:type="dxa"/>
          </w:tcPr>
          <w:p w14:paraId="5D59A5BA" w14:textId="77777777" w:rsidR="00FB6037" w:rsidRDefault="00000000">
            <w:r>
              <w:rPr>
                <w:rFonts w:ascii="Times New Roman" w:eastAsia="Times New Roman" w:hAnsi="Times New Roman" w:cs="Times New Roman"/>
                <w:sz w:val="16"/>
              </w:rPr>
              <w:t>Integrate dental information with the institutional medical-record system and use unique patient identifiers and retention controls.</w:t>
            </w:r>
          </w:p>
        </w:tc>
        <w:tc>
          <w:tcPr>
            <w:tcW w:w="1640" w:type="dxa"/>
          </w:tcPr>
          <w:p w14:paraId="5337C143" w14:textId="77777777" w:rsidR="00FB6037" w:rsidRDefault="00000000">
            <w:r>
              <w:rPr>
                <w:rFonts w:ascii="Times New Roman" w:eastAsia="Times New Roman" w:hAnsi="Times New Roman" w:cs="Times New Roman"/>
                <w:sz w:val="16"/>
              </w:rPr>
              <w:t>Medical-record unit and information technology unit</w:t>
            </w:r>
          </w:p>
        </w:tc>
      </w:tr>
      <w:tr w:rsidR="00FB6037" w14:paraId="5EFDEB9B" w14:textId="77777777" w:rsidTr="00827A72">
        <w:tc>
          <w:tcPr>
            <w:tcW w:w="1159" w:type="dxa"/>
          </w:tcPr>
          <w:p w14:paraId="589406F7" w14:textId="77777777" w:rsidR="00FB6037" w:rsidRDefault="00000000">
            <w:r>
              <w:rPr>
                <w:rFonts w:ascii="Times New Roman" w:eastAsia="Times New Roman" w:hAnsi="Times New Roman" w:cs="Times New Roman"/>
                <w:sz w:val="16"/>
              </w:rPr>
              <w:t>Access</w:t>
            </w:r>
          </w:p>
        </w:tc>
        <w:tc>
          <w:tcPr>
            <w:tcW w:w="1944" w:type="dxa"/>
          </w:tcPr>
          <w:p w14:paraId="41DC257F" w14:textId="77777777" w:rsidR="00FB6037" w:rsidRDefault="00000000">
            <w:r>
              <w:rPr>
                <w:rFonts w:ascii="Times New Roman" w:eastAsia="Times New Roman" w:hAnsi="Times New Roman" w:cs="Times New Roman"/>
                <w:sz w:val="16"/>
              </w:rPr>
              <w:t>Unauthorized browsing or access without a defensible purpose.</w:t>
            </w:r>
          </w:p>
        </w:tc>
        <w:tc>
          <w:tcPr>
            <w:tcW w:w="4552" w:type="dxa"/>
          </w:tcPr>
          <w:p w14:paraId="359744F7" w14:textId="77777777" w:rsidR="00FB6037" w:rsidRDefault="00000000">
            <w:r>
              <w:rPr>
                <w:rFonts w:ascii="Times New Roman" w:eastAsia="Times New Roman" w:hAnsi="Times New Roman" w:cs="Times New Roman"/>
                <w:sz w:val="16"/>
              </w:rPr>
              <w:t>Apply role-based access, case-specific authorization, and date/time access logs.</w:t>
            </w:r>
          </w:p>
        </w:tc>
        <w:tc>
          <w:tcPr>
            <w:tcW w:w="1640" w:type="dxa"/>
          </w:tcPr>
          <w:p w14:paraId="073D8AAE" w14:textId="77777777" w:rsidR="00FB6037" w:rsidRDefault="00000000">
            <w:r>
              <w:rPr>
                <w:rFonts w:ascii="Times New Roman" w:eastAsia="Times New Roman" w:hAnsi="Times New Roman" w:cs="Times New Roman"/>
                <w:sz w:val="16"/>
              </w:rPr>
              <w:t>Medical-record unit, data-protection function, and information technology unit</w:t>
            </w:r>
          </w:p>
        </w:tc>
      </w:tr>
      <w:tr w:rsidR="00FB6037" w14:paraId="2481D14C" w14:textId="77777777" w:rsidTr="00827A72">
        <w:tc>
          <w:tcPr>
            <w:tcW w:w="1159" w:type="dxa"/>
          </w:tcPr>
          <w:p w14:paraId="4E449491" w14:textId="77777777" w:rsidR="00FB6037" w:rsidRDefault="00000000">
            <w:r>
              <w:rPr>
                <w:rFonts w:ascii="Times New Roman" w:eastAsia="Times New Roman" w:hAnsi="Times New Roman" w:cs="Times New Roman"/>
                <w:sz w:val="16"/>
              </w:rPr>
              <w:t>Disclosure</w:t>
            </w:r>
          </w:p>
        </w:tc>
        <w:tc>
          <w:tcPr>
            <w:tcW w:w="1944" w:type="dxa"/>
          </w:tcPr>
          <w:p w14:paraId="380450CC" w14:textId="77777777" w:rsidR="00FB6037" w:rsidRDefault="00000000">
            <w:r>
              <w:rPr>
                <w:rFonts w:ascii="Times New Roman" w:eastAsia="Times New Roman" w:hAnsi="Times New Roman" w:cs="Times New Roman"/>
                <w:sz w:val="16"/>
              </w:rPr>
              <w:t>Over-disclosure or release to an unverified requester.</w:t>
            </w:r>
          </w:p>
        </w:tc>
        <w:tc>
          <w:tcPr>
            <w:tcW w:w="4552" w:type="dxa"/>
          </w:tcPr>
          <w:p w14:paraId="189C7EF3" w14:textId="77777777" w:rsidR="00FB6037" w:rsidRDefault="00000000">
            <w:r>
              <w:rPr>
                <w:rFonts w:ascii="Times New Roman" w:eastAsia="Times New Roman" w:hAnsi="Times New Roman" w:cs="Times New Roman"/>
                <w:sz w:val="16"/>
              </w:rPr>
              <w:t>Verify authority, document the legal basis and purpose, disclose the minimum necessary package, and register the disclosure.</w:t>
            </w:r>
          </w:p>
        </w:tc>
        <w:tc>
          <w:tcPr>
            <w:tcW w:w="1640" w:type="dxa"/>
          </w:tcPr>
          <w:p w14:paraId="46BEE5C7" w14:textId="77777777" w:rsidR="00FB6037" w:rsidRDefault="00000000">
            <w:r>
              <w:rPr>
                <w:rFonts w:ascii="Times New Roman" w:eastAsia="Times New Roman" w:hAnsi="Times New Roman" w:cs="Times New Roman"/>
                <w:sz w:val="16"/>
              </w:rPr>
              <w:t>Medical-record unit and hospital legal function</w:t>
            </w:r>
          </w:p>
        </w:tc>
      </w:tr>
      <w:tr w:rsidR="00FB6037" w14:paraId="47FF1A01" w14:textId="77777777" w:rsidTr="00827A72">
        <w:tc>
          <w:tcPr>
            <w:tcW w:w="1159" w:type="dxa"/>
          </w:tcPr>
          <w:p w14:paraId="23470775" w14:textId="77777777" w:rsidR="00FB6037" w:rsidRDefault="00000000">
            <w:r>
              <w:rPr>
                <w:rFonts w:ascii="Times New Roman" w:eastAsia="Times New Roman" w:hAnsi="Times New Roman" w:cs="Times New Roman"/>
                <w:sz w:val="16"/>
              </w:rPr>
              <w:t>Evidence transfer</w:t>
            </w:r>
          </w:p>
        </w:tc>
        <w:tc>
          <w:tcPr>
            <w:tcW w:w="1944" w:type="dxa"/>
          </w:tcPr>
          <w:p w14:paraId="76F5EBD7" w14:textId="77777777" w:rsidR="00FB6037" w:rsidRDefault="00000000">
            <w:r>
              <w:rPr>
                <w:rFonts w:ascii="Times New Roman" w:eastAsia="Times New Roman" w:hAnsi="Times New Roman" w:cs="Times New Roman"/>
                <w:sz w:val="16"/>
              </w:rPr>
              <w:t>Alteration or an untraceable copy of a record, odontogram, or radiograph.</w:t>
            </w:r>
          </w:p>
        </w:tc>
        <w:tc>
          <w:tcPr>
            <w:tcW w:w="4552" w:type="dxa"/>
          </w:tcPr>
          <w:p w14:paraId="53659D3A" w14:textId="77777777" w:rsidR="00FB6037" w:rsidRDefault="00000000">
            <w:r>
              <w:rPr>
                <w:rFonts w:ascii="Times New Roman" w:eastAsia="Times New Roman" w:hAnsi="Times New Roman" w:cs="Times New Roman"/>
                <w:sz w:val="16"/>
              </w:rPr>
              <w:t>Use certified exports, a transfer register, and a chain-of-custody form for records released for forensic examination.</w:t>
            </w:r>
          </w:p>
        </w:tc>
        <w:tc>
          <w:tcPr>
            <w:tcW w:w="1640" w:type="dxa"/>
          </w:tcPr>
          <w:p w14:paraId="7C4D994D" w14:textId="77777777" w:rsidR="00FB6037" w:rsidRDefault="00000000">
            <w:r>
              <w:rPr>
                <w:rFonts w:ascii="Times New Roman" w:eastAsia="Times New Roman" w:hAnsi="Times New Roman" w:cs="Times New Roman"/>
                <w:sz w:val="16"/>
              </w:rPr>
              <w:t>Forensic liaison and medical-record unit</w:t>
            </w:r>
          </w:p>
        </w:tc>
      </w:tr>
      <w:tr w:rsidR="00FB6037" w14:paraId="06B883DD" w14:textId="77777777" w:rsidTr="00827A72">
        <w:tc>
          <w:tcPr>
            <w:tcW w:w="1159" w:type="dxa"/>
          </w:tcPr>
          <w:p w14:paraId="20957C18" w14:textId="77777777" w:rsidR="00FB6037" w:rsidRDefault="00000000">
            <w:r>
              <w:rPr>
                <w:rFonts w:ascii="Times New Roman" w:eastAsia="Times New Roman" w:hAnsi="Times New Roman" w:cs="Times New Roman"/>
                <w:sz w:val="16"/>
              </w:rPr>
              <w:t>Interpretation and review</w:t>
            </w:r>
          </w:p>
        </w:tc>
        <w:tc>
          <w:tcPr>
            <w:tcW w:w="1944" w:type="dxa"/>
          </w:tcPr>
          <w:p w14:paraId="21C6757E" w14:textId="77777777" w:rsidR="00FB6037" w:rsidRDefault="00000000">
            <w:r>
              <w:rPr>
                <w:rFonts w:ascii="Times New Roman" w:eastAsia="Times New Roman" w:hAnsi="Times New Roman" w:cs="Times New Roman"/>
                <w:sz w:val="16"/>
              </w:rPr>
              <w:t>Conflict between the treating-dentist role and independent expert opinion.</w:t>
            </w:r>
          </w:p>
        </w:tc>
        <w:tc>
          <w:tcPr>
            <w:tcW w:w="4552" w:type="dxa"/>
          </w:tcPr>
          <w:p w14:paraId="55963545" w14:textId="77777777" w:rsidR="00FB6037" w:rsidRDefault="00000000">
            <w:r>
              <w:rPr>
                <w:rFonts w:ascii="Times New Roman" w:eastAsia="Times New Roman" w:hAnsi="Times New Roman" w:cs="Times New Roman"/>
                <w:sz w:val="16"/>
              </w:rPr>
              <w:t>Use credentialing, role separation where feasible, peer review for expert reports, regular audits, and incident reporting.</w:t>
            </w:r>
          </w:p>
        </w:tc>
        <w:tc>
          <w:tcPr>
            <w:tcW w:w="1640" w:type="dxa"/>
          </w:tcPr>
          <w:p w14:paraId="7E867161" w14:textId="77777777" w:rsidR="00FB6037" w:rsidRDefault="00000000">
            <w:r>
              <w:rPr>
                <w:rFonts w:ascii="Times New Roman" w:eastAsia="Times New Roman" w:hAnsi="Times New Roman" w:cs="Times New Roman"/>
                <w:sz w:val="16"/>
              </w:rPr>
              <w:t>Medical committee, quality unit, and ethics committee</w:t>
            </w:r>
          </w:p>
        </w:tc>
      </w:tr>
    </w:tbl>
    <w:p w14:paraId="6FA75EDE" w14:textId="77777777" w:rsidR="00FB6037" w:rsidRDefault="00FB6037">
      <w:pPr>
        <w:spacing w:after="40"/>
      </w:pPr>
    </w:p>
    <w:p w14:paraId="02EF6396" w14:textId="77777777" w:rsidR="00FB6037" w:rsidRDefault="00000000">
      <w:pPr>
        <w:spacing w:after="120" w:line="360" w:lineRule="auto"/>
        <w:ind w:firstLine="360"/>
        <w:jc w:val="both"/>
      </w:pPr>
      <w:r>
        <w:rPr>
          <w:rFonts w:ascii="Times New Roman" w:eastAsia="Times New Roman" w:hAnsi="Times New Roman" w:cs="Times New Roman"/>
          <w:sz w:val="24"/>
        </w:rPr>
        <w:t>The controls also show that hospital accountability cannot be assigned only to the treating dentist. The medical-record unit, information technology unit, legal function, medical committee, quality unit, and ethics committee each have a distinct role in making forensic use lawful, traceable, and ethically defensible.</w:t>
      </w:r>
      <w:r>
        <w:rPr>
          <w:rFonts w:ascii="Times New Roman" w:eastAsia="Times New Roman" w:hAnsi="Times New Roman" w:cs="Times New Roman"/>
          <w:sz w:val="20"/>
          <w:vertAlign w:val="superscript"/>
        </w:rPr>
        <w:t>16,17,20</w:t>
      </w:r>
      <w:r>
        <w:rPr>
          <w:rFonts w:ascii="Times New Roman" w:eastAsia="Times New Roman" w:hAnsi="Times New Roman" w:cs="Times New Roman"/>
          <w:sz w:val="24"/>
        </w:rPr>
        <w:t xml:space="preserve"> </w:t>
      </w:r>
    </w:p>
    <w:p w14:paraId="34CC2B90" w14:textId="77777777" w:rsidR="00FB6037" w:rsidRDefault="00000000">
      <w:pPr>
        <w:keepNext/>
        <w:spacing w:before="100" w:after="40" w:line="288" w:lineRule="auto"/>
      </w:pPr>
      <w:r>
        <w:rPr>
          <w:rFonts w:ascii="Times New Roman" w:eastAsia="Times New Roman" w:hAnsi="Times New Roman" w:cs="Times New Roman"/>
          <w:b/>
          <w:sz w:val="24"/>
        </w:rPr>
        <w:t>Minimum institutional policy content</w:t>
      </w:r>
    </w:p>
    <w:p w14:paraId="17B00464" w14:textId="77777777" w:rsidR="00FB6037" w:rsidRDefault="00000000">
      <w:pPr>
        <w:spacing w:after="120" w:line="360" w:lineRule="auto"/>
        <w:ind w:firstLine="360"/>
        <w:jc w:val="both"/>
      </w:pPr>
      <w:r>
        <w:rPr>
          <w:rFonts w:ascii="Times New Roman" w:eastAsia="Times New Roman" w:hAnsi="Times New Roman" w:cs="Times New Roman"/>
          <w:sz w:val="24"/>
        </w:rPr>
        <w:t xml:space="preserve">The proposed controls can be translated into a concise hospital policy. Table 3 identifies the minimum elements that should be documented, assigned to responsible units, and monitored through routine review. The table is not a substitute for legal advice in a particular </w:t>
      </w:r>
      <w:r>
        <w:rPr>
          <w:rFonts w:ascii="Times New Roman" w:eastAsia="Times New Roman" w:hAnsi="Times New Roman" w:cs="Times New Roman"/>
          <w:sz w:val="24"/>
        </w:rPr>
        <w:lastRenderedPageBreak/>
        <w:t>case; it is a governance baseline intended to make lawful and ethical decision making operational.</w:t>
      </w:r>
    </w:p>
    <w:p w14:paraId="56A528F9" w14:textId="77777777" w:rsidR="00FB6037" w:rsidRDefault="00000000">
      <w:pPr>
        <w:keepNext/>
        <w:spacing w:before="60" w:after="60" w:line="240" w:lineRule="auto"/>
      </w:pPr>
      <w:r>
        <w:rPr>
          <w:rFonts w:ascii="Times New Roman" w:eastAsia="Times New Roman" w:hAnsi="Times New Roman" w:cs="Times New Roman"/>
          <w:b/>
          <w:sz w:val="18"/>
        </w:rPr>
        <w:t>Table 3. Minimum elements of a hospital forensic dental-record policy</w:t>
      </w:r>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0"/>
        <w:gridCol w:w="5256"/>
        <w:gridCol w:w="2304"/>
      </w:tblGrid>
      <w:tr w:rsidR="00FB6037" w14:paraId="48A87857" w14:textId="77777777" w:rsidTr="00827A72">
        <w:tc>
          <w:tcPr>
            <w:tcW w:w="1800" w:type="dxa"/>
            <w:tcBorders>
              <w:bottom w:val="single" w:sz="4" w:space="0" w:color="auto"/>
            </w:tcBorders>
          </w:tcPr>
          <w:p w14:paraId="1921BE96" w14:textId="77777777" w:rsidR="00FB6037" w:rsidRDefault="00000000" w:rsidP="0044342B">
            <w:r>
              <w:rPr>
                <w:rFonts w:ascii="Times New Roman" w:eastAsia="Times New Roman" w:hAnsi="Times New Roman" w:cs="Times New Roman"/>
                <w:b/>
                <w:sz w:val="16"/>
              </w:rPr>
              <w:t>Policy domain</w:t>
            </w:r>
          </w:p>
        </w:tc>
        <w:tc>
          <w:tcPr>
            <w:tcW w:w="5256" w:type="dxa"/>
            <w:tcBorders>
              <w:bottom w:val="single" w:sz="4" w:space="0" w:color="auto"/>
            </w:tcBorders>
          </w:tcPr>
          <w:p w14:paraId="3E994A12" w14:textId="77777777" w:rsidR="00FB6037" w:rsidRDefault="00000000" w:rsidP="0044342B">
            <w:r>
              <w:rPr>
                <w:rFonts w:ascii="Times New Roman" w:eastAsia="Times New Roman" w:hAnsi="Times New Roman" w:cs="Times New Roman"/>
                <w:b/>
                <w:sz w:val="16"/>
              </w:rPr>
              <w:t>Minimum documented provisions</w:t>
            </w:r>
          </w:p>
        </w:tc>
        <w:tc>
          <w:tcPr>
            <w:tcW w:w="2304" w:type="dxa"/>
            <w:tcBorders>
              <w:bottom w:val="single" w:sz="4" w:space="0" w:color="auto"/>
            </w:tcBorders>
          </w:tcPr>
          <w:p w14:paraId="19BB7C9E" w14:textId="77777777" w:rsidR="00FB6037" w:rsidRDefault="00000000" w:rsidP="0044342B">
            <w:r>
              <w:rPr>
                <w:rFonts w:ascii="Times New Roman" w:eastAsia="Times New Roman" w:hAnsi="Times New Roman" w:cs="Times New Roman"/>
                <w:b/>
                <w:sz w:val="16"/>
              </w:rPr>
              <w:t>Evidence of implementation</w:t>
            </w:r>
          </w:p>
        </w:tc>
      </w:tr>
      <w:tr w:rsidR="00FB6037" w14:paraId="37C42008" w14:textId="77777777" w:rsidTr="00827A72">
        <w:tc>
          <w:tcPr>
            <w:tcW w:w="1800" w:type="dxa"/>
            <w:tcBorders>
              <w:top w:val="single" w:sz="4" w:space="0" w:color="auto"/>
            </w:tcBorders>
          </w:tcPr>
          <w:p w14:paraId="021D6B44" w14:textId="77777777" w:rsidR="00FB6037" w:rsidRDefault="00000000">
            <w:r>
              <w:rPr>
                <w:rFonts w:ascii="Times New Roman" w:eastAsia="Times New Roman" w:hAnsi="Times New Roman" w:cs="Times New Roman"/>
                <w:sz w:val="16"/>
              </w:rPr>
              <w:t>Scope and definitions</w:t>
            </w:r>
          </w:p>
        </w:tc>
        <w:tc>
          <w:tcPr>
            <w:tcW w:w="5256" w:type="dxa"/>
            <w:tcBorders>
              <w:top w:val="single" w:sz="4" w:space="0" w:color="auto"/>
            </w:tcBorders>
          </w:tcPr>
          <w:p w14:paraId="3DA8B205" w14:textId="77777777" w:rsidR="00FB6037" w:rsidRDefault="00000000">
            <w:r>
              <w:rPr>
                <w:rFonts w:ascii="Times New Roman" w:eastAsia="Times New Roman" w:hAnsi="Times New Roman" w:cs="Times New Roman"/>
                <w:sz w:val="16"/>
              </w:rPr>
              <w:t>Define forensic dental record use, covered data, request types, and exceptional circumstances.</w:t>
            </w:r>
          </w:p>
        </w:tc>
        <w:tc>
          <w:tcPr>
            <w:tcW w:w="2304" w:type="dxa"/>
            <w:tcBorders>
              <w:top w:val="single" w:sz="4" w:space="0" w:color="auto"/>
            </w:tcBorders>
          </w:tcPr>
          <w:p w14:paraId="0BC24B01" w14:textId="77777777" w:rsidR="00FB6037" w:rsidRDefault="00000000">
            <w:r>
              <w:rPr>
                <w:rFonts w:ascii="Times New Roman" w:eastAsia="Times New Roman" w:hAnsi="Times New Roman" w:cs="Times New Roman"/>
                <w:sz w:val="16"/>
              </w:rPr>
              <w:t>Approved policy and controlled document version.</w:t>
            </w:r>
          </w:p>
        </w:tc>
      </w:tr>
      <w:tr w:rsidR="00FB6037" w14:paraId="381EBA98" w14:textId="77777777" w:rsidTr="00827A72">
        <w:tc>
          <w:tcPr>
            <w:tcW w:w="1800" w:type="dxa"/>
          </w:tcPr>
          <w:p w14:paraId="7A0DB55C" w14:textId="77777777" w:rsidR="00FB6037" w:rsidRDefault="00000000">
            <w:r>
              <w:rPr>
                <w:rFonts w:ascii="Times New Roman" w:eastAsia="Times New Roman" w:hAnsi="Times New Roman" w:cs="Times New Roman"/>
                <w:sz w:val="16"/>
              </w:rPr>
              <w:t>Roles and competence</w:t>
            </w:r>
          </w:p>
        </w:tc>
        <w:tc>
          <w:tcPr>
            <w:tcW w:w="5256" w:type="dxa"/>
          </w:tcPr>
          <w:p w14:paraId="7AF37E2F" w14:textId="77777777" w:rsidR="00FB6037" w:rsidRDefault="00000000">
            <w:r>
              <w:rPr>
                <w:rFonts w:ascii="Times New Roman" w:eastAsia="Times New Roman" w:hAnsi="Times New Roman" w:cs="Times New Roman"/>
                <w:sz w:val="16"/>
              </w:rPr>
              <w:t>Assign responsibilities to the dental unit, forensic liaison, medical-record unit, legal function, information technology unit, and oversight committees.</w:t>
            </w:r>
          </w:p>
        </w:tc>
        <w:tc>
          <w:tcPr>
            <w:tcW w:w="2304" w:type="dxa"/>
          </w:tcPr>
          <w:p w14:paraId="6A3CC356" w14:textId="77777777" w:rsidR="00FB6037" w:rsidRDefault="00000000">
            <w:r>
              <w:rPr>
                <w:rFonts w:ascii="Times New Roman" w:eastAsia="Times New Roman" w:hAnsi="Times New Roman" w:cs="Times New Roman"/>
                <w:sz w:val="16"/>
              </w:rPr>
              <w:t>Role matrix, credentialing record, and contact list.</w:t>
            </w:r>
          </w:p>
        </w:tc>
      </w:tr>
      <w:tr w:rsidR="00FB6037" w14:paraId="12F01282" w14:textId="77777777" w:rsidTr="00827A72">
        <w:tc>
          <w:tcPr>
            <w:tcW w:w="1800" w:type="dxa"/>
          </w:tcPr>
          <w:p w14:paraId="0DE938D5" w14:textId="77777777" w:rsidR="00FB6037" w:rsidRDefault="00000000">
            <w:r>
              <w:rPr>
                <w:rFonts w:ascii="Times New Roman" w:eastAsia="Times New Roman" w:hAnsi="Times New Roman" w:cs="Times New Roman"/>
                <w:sz w:val="16"/>
              </w:rPr>
              <w:t>Record specification</w:t>
            </w:r>
          </w:p>
        </w:tc>
        <w:tc>
          <w:tcPr>
            <w:tcW w:w="5256" w:type="dxa"/>
          </w:tcPr>
          <w:p w14:paraId="4735EE2A" w14:textId="77777777" w:rsidR="00FB6037" w:rsidRDefault="00000000">
            <w:r>
              <w:rPr>
                <w:rFonts w:ascii="Times New Roman" w:eastAsia="Times New Roman" w:hAnsi="Times New Roman" w:cs="Times New Roman"/>
                <w:sz w:val="16"/>
              </w:rPr>
              <w:t>Set minimum content for odontograms, radiographs, clinical notes, images, author identity, date, and correction history.</w:t>
            </w:r>
          </w:p>
        </w:tc>
        <w:tc>
          <w:tcPr>
            <w:tcW w:w="2304" w:type="dxa"/>
          </w:tcPr>
          <w:p w14:paraId="7AFE903B" w14:textId="77777777" w:rsidR="00FB6037" w:rsidRDefault="00000000">
            <w:r>
              <w:rPr>
                <w:rFonts w:ascii="Times New Roman" w:eastAsia="Times New Roman" w:hAnsi="Times New Roman" w:cs="Times New Roman"/>
                <w:sz w:val="16"/>
              </w:rPr>
              <w:t>Record templates and periodic completeness audit.</w:t>
            </w:r>
          </w:p>
        </w:tc>
      </w:tr>
      <w:tr w:rsidR="00FB6037" w14:paraId="7A5651EA" w14:textId="77777777" w:rsidTr="00827A72">
        <w:tc>
          <w:tcPr>
            <w:tcW w:w="1800" w:type="dxa"/>
          </w:tcPr>
          <w:p w14:paraId="1F02CE6F" w14:textId="77777777" w:rsidR="00FB6037" w:rsidRDefault="00000000">
            <w:r>
              <w:rPr>
                <w:rFonts w:ascii="Times New Roman" w:eastAsia="Times New Roman" w:hAnsi="Times New Roman" w:cs="Times New Roman"/>
                <w:sz w:val="16"/>
              </w:rPr>
              <w:t>Request verification</w:t>
            </w:r>
          </w:p>
        </w:tc>
        <w:tc>
          <w:tcPr>
            <w:tcW w:w="5256" w:type="dxa"/>
          </w:tcPr>
          <w:p w14:paraId="49B63D8F" w14:textId="77777777" w:rsidR="00FB6037" w:rsidRDefault="00000000">
            <w:r>
              <w:rPr>
                <w:rFonts w:ascii="Times New Roman" w:eastAsia="Times New Roman" w:hAnsi="Times New Roman" w:cs="Times New Roman"/>
                <w:sz w:val="16"/>
              </w:rPr>
              <w:t>Specify the information required before access or release, including requestor identity, authority, case reference, purpose, and approval route.</w:t>
            </w:r>
          </w:p>
        </w:tc>
        <w:tc>
          <w:tcPr>
            <w:tcW w:w="2304" w:type="dxa"/>
          </w:tcPr>
          <w:p w14:paraId="6F646A7E" w14:textId="77777777" w:rsidR="00FB6037" w:rsidRDefault="00000000">
            <w:r>
              <w:rPr>
                <w:rFonts w:ascii="Times New Roman" w:eastAsia="Times New Roman" w:hAnsi="Times New Roman" w:cs="Times New Roman"/>
                <w:sz w:val="16"/>
              </w:rPr>
              <w:t>Forensic request form and authorization record.</w:t>
            </w:r>
          </w:p>
        </w:tc>
      </w:tr>
      <w:tr w:rsidR="00FB6037" w14:paraId="66C9CE2A" w14:textId="77777777" w:rsidTr="00827A72">
        <w:tc>
          <w:tcPr>
            <w:tcW w:w="1800" w:type="dxa"/>
          </w:tcPr>
          <w:p w14:paraId="5C917ECF" w14:textId="77777777" w:rsidR="00FB6037" w:rsidRDefault="00000000">
            <w:r>
              <w:rPr>
                <w:rFonts w:ascii="Times New Roman" w:eastAsia="Times New Roman" w:hAnsi="Times New Roman" w:cs="Times New Roman"/>
                <w:sz w:val="16"/>
              </w:rPr>
              <w:t>Disclosure and minimisation</w:t>
            </w:r>
          </w:p>
        </w:tc>
        <w:tc>
          <w:tcPr>
            <w:tcW w:w="5256" w:type="dxa"/>
          </w:tcPr>
          <w:p w14:paraId="54BAAE54" w14:textId="77777777" w:rsidR="00FB6037" w:rsidRDefault="00000000">
            <w:r>
              <w:rPr>
                <w:rFonts w:ascii="Times New Roman" w:eastAsia="Times New Roman" w:hAnsi="Times New Roman" w:cs="Times New Roman"/>
                <w:sz w:val="16"/>
              </w:rPr>
              <w:t>Require a documented legal basis, purpose limitation, minimum-necessary data package, and disclosure register.</w:t>
            </w:r>
          </w:p>
        </w:tc>
        <w:tc>
          <w:tcPr>
            <w:tcW w:w="2304" w:type="dxa"/>
          </w:tcPr>
          <w:p w14:paraId="18BEB245" w14:textId="77777777" w:rsidR="00FB6037" w:rsidRDefault="00000000">
            <w:r>
              <w:rPr>
                <w:rFonts w:ascii="Times New Roman" w:eastAsia="Times New Roman" w:hAnsi="Times New Roman" w:cs="Times New Roman"/>
                <w:sz w:val="16"/>
              </w:rPr>
              <w:t>Disclosure log and approved export checklist.</w:t>
            </w:r>
          </w:p>
        </w:tc>
      </w:tr>
      <w:tr w:rsidR="00FB6037" w14:paraId="6C64595F" w14:textId="77777777" w:rsidTr="00827A72">
        <w:tc>
          <w:tcPr>
            <w:tcW w:w="1800" w:type="dxa"/>
          </w:tcPr>
          <w:p w14:paraId="66F71DF0" w14:textId="77777777" w:rsidR="00FB6037" w:rsidRDefault="00000000">
            <w:r>
              <w:rPr>
                <w:rFonts w:ascii="Times New Roman" w:eastAsia="Times New Roman" w:hAnsi="Times New Roman" w:cs="Times New Roman"/>
                <w:sz w:val="16"/>
              </w:rPr>
              <w:t>Integrity and custody</w:t>
            </w:r>
          </w:p>
        </w:tc>
        <w:tc>
          <w:tcPr>
            <w:tcW w:w="5256" w:type="dxa"/>
          </w:tcPr>
          <w:p w14:paraId="3144639E" w14:textId="77777777" w:rsidR="00FB6037" w:rsidRDefault="00000000">
            <w:r>
              <w:rPr>
                <w:rFonts w:ascii="Times New Roman" w:eastAsia="Times New Roman" w:hAnsi="Times New Roman" w:cs="Times New Roman"/>
                <w:sz w:val="16"/>
              </w:rPr>
              <w:t>Preserve source-record provenance and document certified export, transfer, receipt, and any subsequent handover.</w:t>
            </w:r>
          </w:p>
        </w:tc>
        <w:tc>
          <w:tcPr>
            <w:tcW w:w="2304" w:type="dxa"/>
          </w:tcPr>
          <w:p w14:paraId="27AE7FAA" w14:textId="77777777" w:rsidR="00FB6037" w:rsidRDefault="00000000">
            <w:r>
              <w:rPr>
                <w:rFonts w:ascii="Times New Roman" w:eastAsia="Times New Roman" w:hAnsi="Times New Roman" w:cs="Times New Roman"/>
                <w:sz w:val="16"/>
              </w:rPr>
              <w:t>Chain-of-custody form and export audit trail.</w:t>
            </w:r>
          </w:p>
        </w:tc>
      </w:tr>
      <w:tr w:rsidR="00FB6037" w14:paraId="68A896B3" w14:textId="77777777" w:rsidTr="00827A72">
        <w:tc>
          <w:tcPr>
            <w:tcW w:w="1800" w:type="dxa"/>
          </w:tcPr>
          <w:p w14:paraId="60C58FB0" w14:textId="77777777" w:rsidR="00FB6037" w:rsidRDefault="00000000">
            <w:r>
              <w:rPr>
                <w:rFonts w:ascii="Times New Roman" w:eastAsia="Times New Roman" w:hAnsi="Times New Roman" w:cs="Times New Roman"/>
                <w:sz w:val="16"/>
              </w:rPr>
              <w:t>Ethics and conflict management</w:t>
            </w:r>
          </w:p>
        </w:tc>
        <w:tc>
          <w:tcPr>
            <w:tcW w:w="5256" w:type="dxa"/>
          </w:tcPr>
          <w:p w14:paraId="16264EA6" w14:textId="77777777" w:rsidR="00FB6037" w:rsidRDefault="00000000">
            <w:r>
              <w:rPr>
                <w:rFonts w:ascii="Times New Roman" w:eastAsia="Times New Roman" w:hAnsi="Times New Roman" w:cs="Times New Roman"/>
                <w:sz w:val="16"/>
              </w:rPr>
              <w:t>Provide a route for confidentiality concerns, role conflicts, and independent review of expert opinions.</w:t>
            </w:r>
          </w:p>
        </w:tc>
        <w:tc>
          <w:tcPr>
            <w:tcW w:w="2304" w:type="dxa"/>
          </w:tcPr>
          <w:p w14:paraId="56A3E582" w14:textId="77777777" w:rsidR="00FB6037" w:rsidRDefault="00000000">
            <w:r>
              <w:rPr>
                <w:rFonts w:ascii="Times New Roman" w:eastAsia="Times New Roman" w:hAnsi="Times New Roman" w:cs="Times New Roman"/>
                <w:sz w:val="16"/>
              </w:rPr>
              <w:t>Ethics consultation or medical-committee record.</w:t>
            </w:r>
          </w:p>
        </w:tc>
      </w:tr>
      <w:tr w:rsidR="00FB6037" w14:paraId="01F55D7F" w14:textId="77777777" w:rsidTr="00827A72">
        <w:tc>
          <w:tcPr>
            <w:tcW w:w="1800" w:type="dxa"/>
          </w:tcPr>
          <w:p w14:paraId="26AA2F24" w14:textId="77777777" w:rsidR="00FB6037" w:rsidRDefault="00000000">
            <w:r>
              <w:rPr>
                <w:rFonts w:ascii="Times New Roman" w:eastAsia="Times New Roman" w:hAnsi="Times New Roman" w:cs="Times New Roman"/>
                <w:sz w:val="16"/>
              </w:rPr>
              <w:t>Training, audit, and incidents</w:t>
            </w:r>
          </w:p>
        </w:tc>
        <w:tc>
          <w:tcPr>
            <w:tcW w:w="5256" w:type="dxa"/>
          </w:tcPr>
          <w:p w14:paraId="69DF30F2" w14:textId="77777777" w:rsidR="00FB6037" w:rsidRDefault="00000000">
            <w:r>
              <w:rPr>
                <w:rFonts w:ascii="Times New Roman" w:eastAsia="Times New Roman" w:hAnsi="Times New Roman" w:cs="Times New Roman"/>
                <w:sz w:val="16"/>
              </w:rPr>
              <w:t>Require training, periodic testing of the pathway, audit of access and releases, and incident reporting with corrective action.</w:t>
            </w:r>
          </w:p>
        </w:tc>
        <w:tc>
          <w:tcPr>
            <w:tcW w:w="2304" w:type="dxa"/>
          </w:tcPr>
          <w:p w14:paraId="3265AEF3" w14:textId="77777777" w:rsidR="00FB6037" w:rsidRDefault="00000000">
            <w:r>
              <w:rPr>
                <w:rFonts w:ascii="Times New Roman" w:eastAsia="Times New Roman" w:hAnsi="Times New Roman" w:cs="Times New Roman"/>
                <w:sz w:val="16"/>
              </w:rPr>
              <w:t>Training register, audit report, and corrective-action log.</w:t>
            </w:r>
          </w:p>
        </w:tc>
      </w:tr>
    </w:tbl>
    <w:p w14:paraId="3D1093F9" w14:textId="77777777" w:rsidR="00FB6037" w:rsidRDefault="00FB6037">
      <w:pPr>
        <w:spacing w:after="40"/>
      </w:pPr>
    </w:p>
    <w:p w14:paraId="40099233" w14:textId="77777777" w:rsidR="00FB6037" w:rsidRDefault="00000000">
      <w:pPr>
        <w:keepNext/>
        <w:spacing w:before="160" w:after="100" w:line="360" w:lineRule="auto"/>
      </w:pPr>
      <w:r>
        <w:rPr>
          <w:rFonts w:ascii="Times New Roman" w:eastAsia="Times New Roman" w:hAnsi="Times New Roman" w:cs="Times New Roman"/>
          <w:b/>
          <w:sz w:val="24"/>
        </w:rPr>
        <w:t>DISCUSSION</w:t>
      </w:r>
    </w:p>
    <w:p w14:paraId="4A3A77BB" w14:textId="77777777" w:rsidR="00FB6037" w:rsidRDefault="00000000">
      <w:pPr>
        <w:spacing w:after="120" w:line="360" w:lineRule="auto"/>
        <w:ind w:firstLine="360"/>
        <w:jc w:val="both"/>
      </w:pPr>
      <w:r>
        <w:rPr>
          <w:rFonts w:ascii="Times New Roman" w:eastAsia="Times New Roman" w:hAnsi="Times New Roman" w:cs="Times New Roman"/>
          <w:sz w:val="24"/>
        </w:rPr>
        <w:t>The principal contribution of this study is to shift attention from the existence of dental records to their governance. A clinically detailed record may still have limited forensic value if it cannot be located promptly, linked confidently to the correct patient, understood by an independent examiner, or shown to be an unaltered copy of the original clinical information.</w:t>
      </w:r>
      <w:r>
        <w:rPr>
          <w:rFonts w:ascii="Times New Roman" w:eastAsia="Times New Roman" w:hAnsi="Times New Roman" w:cs="Times New Roman"/>
          <w:sz w:val="20"/>
          <w:vertAlign w:val="superscript"/>
        </w:rPr>
        <w:t>1,3,4,8</w:t>
      </w:r>
      <w:r>
        <w:rPr>
          <w:rFonts w:ascii="Times New Roman" w:eastAsia="Times New Roman" w:hAnsi="Times New Roman" w:cs="Times New Roman"/>
          <w:sz w:val="24"/>
        </w:rPr>
        <w:t xml:space="preserve"> This distinction is important because surveys consistently show that record maintenance and forensic awareness are uneven, even when dentists recognise their general importance.</w:t>
      </w:r>
      <w:r>
        <w:rPr>
          <w:rFonts w:ascii="Times New Roman" w:eastAsia="Times New Roman" w:hAnsi="Times New Roman" w:cs="Times New Roman"/>
          <w:sz w:val="20"/>
          <w:vertAlign w:val="superscript"/>
        </w:rPr>
        <w:t>3-7,11,12</w:t>
      </w:r>
      <w:r>
        <w:rPr>
          <w:rFonts w:ascii="Times New Roman" w:eastAsia="Times New Roman" w:hAnsi="Times New Roman" w:cs="Times New Roman"/>
          <w:sz w:val="24"/>
        </w:rPr>
        <w:t xml:space="preserve"> </w:t>
      </w:r>
    </w:p>
    <w:p w14:paraId="40102C88" w14:textId="77777777" w:rsidR="00FB6037" w:rsidRDefault="00000000">
      <w:pPr>
        <w:spacing w:after="120" w:line="360" w:lineRule="auto"/>
        <w:ind w:firstLine="360"/>
        <w:jc w:val="both"/>
      </w:pPr>
      <w:r>
        <w:rPr>
          <w:rFonts w:ascii="Times New Roman" w:eastAsia="Times New Roman" w:hAnsi="Times New Roman" w:cs="Times New Roman"/>
          <w:sz w:val="24"/>
        </w:rPr>
        <w:t>Completeness is the first control point. Standardised odontograms, radiographs, treatment notes, and clinically relevant images provide the comparison material that forensic odontologists need; however, each item also needs context, including patient identity, date, author, and a transparent correction history.</w:t>
      </w:r>
      <w:r>
        <w:rPr>
          <w:rFonts w:ascii="Times New Roman" w:eastAsia="Times New Roman" w:hAnsi="Times New Roman" w:cs="Times New Roman"/>
          <w:sz w:val="20"/>
          <w:vertAlign w:val="superscript"/>
        </w:rPr>
        <w:t>3,4,7,15</w:t>
      </w:r>
      <w:r>
        <w:rPr>
          <w:rFonts w:ascii="Times New Roman" w:eastAsia="Times New Roman" w:hAnsi="Times New Roman" w:cs="Times New Roman"/>
          <w:sz w:val="24"/>
        </w:rPr>
        <w:t xml:space="preserve"> A digital system may improve retrieval and standardisation, but digitisation alone does not establish evidentiary integrity. Hospitals should therefore maintain controls that make the provenance, authorization, and export history of a record reviewable.</w:t>
      </w:r>
      <w:r>
        <w:rPr>
          <w:rFonts w:ascii="Times New Roman" w:eastAsia="Times New Roman" w:hAnsi="Times New Roman" w:cs="Times New Roman"/>
          <w:sz w:val="20"/>
          <w:vertAlign w:val="superscript"/>
        </w:rPr>
        <w:t>13-15</w:t>
      </w:r>
      <w:r>
        <w:rPr>
          <w:rFonts w:ascii="Times New Roman" w:eastAsia="Times New Roman" w:hAnsi="Times New Roman" w:cs="Times New Roman"/>
          <w:sz w:val="24"/>
        </w:rPr>
        <w:t xml:space="preserve"> </w:t>
      </w:r>
    </w:p>
    <w:p w14:paraId="478930F3" w14:textId="77777777" w:rsidR="00FB6037" w:rsidRDefault="00000000">
      <w:pPr>
        <w:spacing w:after="120" w:line="360" w:lineRule="auto"/>
        <w:ind w:firstLine="360"/>
        <w:jc w:val="both"/>
      </w:pPr>
      <w:r>
        <w:rPr>
          <w:rFonts w:ascii="Times New Roman" w:eastAsia="Times New Roman" w:hAnsi="Times New Roman" w:cs="Times New Roman"/>
          <w:sz w:val="24"/>
        </w:rPr>
        <w:t>Access and disclosure require a separate decision. A request for dental information may be justified in an identification or legal investigation, yet disclosure should not become routine simply because the information could be useful. The hospital should verify the requester’s authority, record the legal basis and purpose, disclose only what is necessary, and retain an audit trail.</w:t>
      </w:r>
      <w:r>
        <w:rPr>
          <w:rFonts w:ascii="Times New Roman" w:eastAsia="Times New Roman" w:hAnsi="Times New Roman" w:cs="Times New Roman"/>
          <w:sz w:val="20"/>
          <w:vertAlign w:val="superscript"/>
        </w:rPr>
        <w:t>7,17-20</w:t>
      </w:r>
      <w:r>
        <w:rPr>
          <w:rFonts w:ascii="Times New Roman" w:eastAsia="Times New Roman" w:hAnsi="Times New Roman" w:cs="Times New Roman"/>
          <w:sz w:val="24"/>
        </w:rPr>
        <w:t xml:space="preserve"> These safeguards operationalise autonomy and confidentiality while still allowing records to support public interests such as identification and justice.</w:t>
      </w:r>
      <w:r>
        <w:rPr>
          <w:rFonts w:ascii="Times New Roman" w:eastAsia="Times New Roman" w:hAnsi="Times New Roman" w:cs="Times New Roman"/>
          <w:sz w:val="20"/>
          <w:vertAlign w:val="superscript"/>
        </w:rPr>
        <w:t>10,21</w:t>
      </w:r>
      <w:r>
        <w:rPr>
          <w:rFonts w:ascii="Times New Roman" w:eastAsia="Times New Roman" w:hAnsi="Times New Roman" w:cs="Times New Roman"/>
          <w:sz w:val="24"/>
        </w:rPr>
        <w:t xml:space="preserve"> </w:t>
      </w:r>
    </w:p>
    <w:p w14:paraId="7527C86B" w14:textId="77777777" w:rsidR="00FB6037" w:rsidRDefault="00000000">
      <w:pPr>
        <w:spacing w:after="120" w:line="360" w:lineRule="auto"/>
        <w:ind w:firstLine="360"/>
        <w:jc w:val="both"/>
      </w:pPr>
      <w:r>
        <w:rPr>
          <w:rFonts w:ascii="Times New Roman" w:eastAsia="Times New Roman" w:hAnsi="Times New Roman" w:cs="Times New Roman"/>
          <w:sz w:val="24"/>
        </w:rPr>
        <w:lastRenderedPageBreak/>
        <w:t>The dual role of a treating dentist and forensic expert deserves particular attention. Treating dentists owe duties of care, confidentiality, and accurate documentation to the patient, whereas forensic experts must provide an independent opinion to a legal process.</w:t>
      </w:r>
      <w:r>
        <w:rPr>
          <w:rFonts w:ascii="Times New Roman" w:eastAsia="Times New Roman" w:hAnsi="Times New Roman" w:cs="Times New Roman"/>
          <w:sz w:val="20"/>
          <w:vertAlign w:val="superscript"/>
        </w:rPr>
        <w:t>8,9,21</w:t>
      </w:r>
      <w:r>
        <w:rPr>
          <w:rFonts w:ascii="Times New Roman" w:eastAsia="Times New Roman" w:hAnsi="Times New Roman" w:cs="Times New Roman"/>
          <w:sz w:val="24"/>
        </w:rPr>
        <w:t xml:space="preserve"> Where the same individual is asked to perform both functions, hospitals should assess competence, conflict of interest, scope of opinion, and whether an independent forensic reviewer is available. This arrangement is more consistent with non-maleficence and justice than an informal transfer of clinical records or unsupported testimony.</w:t>
      </w:r>
    </w:p>
    <w:p w14:paraId="1240B187" w14:textId="77777777" w:rsidR="00FB6037" w:rsidRDefault="00000000">
      <w:pPr>
        <w:spacing w:after="120" w:line="360" w:lineRule="auto"/>
        <w:ind w:firstLine="360"/>
        <w:jc w:val="both"/>
      </w:pPr>
      <w:r>
        <w:rPr>
          <w:rFonts w:ascii="Times New Roman" w:eastAsia="Times New Roman" w:hAnsi="Times New Roman" w:cs="Times New Roman"/>
          <w:sz w:val="24"/>
        </w:rPr>
        <w:t>The proposed controls are deliberately hospital-centred. Forensic odontological readiness cannot be achieved by instructing dentists to make better notes while leaving retrieval, information security, authorization, and release procedures undefined. Hospital governance provides the mechanism for connecting individual professional duties with organisational systems, including medical-record administration, digital security, incident reporting, and quality review.</w:t>
      </w:r>
      <w:r>
        <w:rPr>
          <w:rFonts w:ascii="Times New Roman" w:eastAsia="Times New Roman" w:hAnsi="Times New Roman" w:cs="Times New Roman"/>
          <w:sz w:val="20"/>
          <w:vertAlign w:val="superscript"/>
        </w:rPr>
        <w:t>4,13,16</w:t>
      </w:r>
      <w:r>
        <w:rPr>
          <w:rFonts w:ascii="Times New Roman" w:eastAsia="Times New Roman" w:hAnsi="Times New Roman" w:cs="Times New Roman"/>
          <w:sz w:val="24"/>
        </w:rPr>
        <w:t xml:space="preserve"> This organisational perspective is particularly relevant when a request is received outside normal clinical care, when a patient cannot participate in the decision, or when several units must collaborate quickly during a mass-casualty response.</w:t>
      </w:r>
      <w:r>
        <w:rPr>
          <w:rFonts w:ascii="Times New Roman" w:eastAsia="Times New Roman" w:hAnsi="Times New Roman" w:cs="Times New Roman"/>
          <w:sz w:val="20"/>
          <w:vertAlign w:val="superscript"/>
        </w:rPr>
        <w:t>1,2,16,22</w:t>
      </w:r>
      <w:r>
        <w:rPr>
          <w:rFonts w:ascii="Times New Roman" w:eastAsia="Times New Roman" w:hAnsi="Times New Roman" w:cs="Times New Roman"/>
          <w:sz w:val="24"/>
        </w:rPr>
        <w:t xml:space="preserve"> </w:t>
      </w:r>
    </w:p>
    <w:p w14:paraId="56E736DF" w14:textId="77777777" w:rsidR="00FB6037" w:rsidRDefault="00000000">
      <w:pPr>
        <w:spacing w:after="120" w:line="360" w:lineRule="auto"/>
        <w:ind w:firstLine="360"/>
        <w:jc w:val="both"/>
      </w:pPr>
      <w:r>
        <w:rPr>
          <w:rFonts w:ascii="Times New Roman" w:eastAsia="Times New Roman" w:hAnsi="Times New Roman" w:cs="Times New Roman"/>
          <w:sz w:val="24"/>
        </w:rPr>
        <w:t>Ethical governance should not be treated as a separate, after-the-fact review. Autonomy is reflected in constrained and transparent handling of personal information; beneficence is reflected in the potential contribution to identification and public protection; non-maleficence requires avoiding avoidable disclosure, misidentification, and unsupported inference; and justice requires that the same protective controls apply irrespective of a patient’s social status or the perceived importance of the case.</w:t>
      </w:r>
      <w:r>
        <w:rPr>
          <w:rFonts w:ascii="Times New Roman" w:eastAsia="Times New Roman" w:hAnsi="Times New Roman" w:cs="Times New Roman"/>
          <w:sz w:val="20"/>
          <w:vertAlign w:val="superscript"/>
        </w:rPr>
        <w:t>10,21</w:t>
      </w:r>
      <w:r>
        <w:rPr>
          <w:rFonts w:ascii="Times New Roman" w:eastAsia="Times New Roman" w:hAnsi="Times New Roman" w:cs="Times New Roman"/>
          <w:sz w:val="24"/>
        </w:rPr>
        <w:t xml:space="preserve"> A standing policy and designated review pathway allow these considerations to be addressed consistently rather than through ad hoc decisions by individual clinicians.</w:t>
      </w:r>
    </w:p>
    <w:p w14:paraId="7F30F701" w14:textId="77777777" w:rsidR="00FB6037" w:rsidRDefault="00000000">
      <w:pPr>
        <w:spacing w:after="120" w:line="360" w:lineRule="auto"/>
        <w:ind w:firstLine="360"/>
        <w:jc w:val="both"/>
      </w:pPr>
      <w:r>
        <w:rPr>
          <w:rFonts w:ascii="Times New Roman" w:eastAsia="Times New Roman" w:hAnsi="Times New Roman" w:cs="Times New Roman"/>
          <w:sz w:val="24"/>
        </w:rPr>
        <w:t>Implementation should be embedded in hospital governance. A written policy should define a forensic request pathway, named responsible units, minimum record content, authorization thresholds, release documentation, chain-of-custody procedures, training, and periodic audit.</w:t>
      </w:r>
      <w:r>
        <w:rPr>
          <w:rFonts w:ascii="Times New Roman" w:eastAsia="Times New Roman" w:hAnsi="Times New Roman" w:cs="Times New Roman"/>
          <w:sz w:val="20"/>
          <w:vertAlign w:val="superscript"/>
        </w:rPr>
        <w:t>16-20</w:t>
      </w:r>
      <w:r>
        <w:rPr>
          <w:rFonts w:ascii="Times New Roman" w:eastAsia="Times New Roman" w:hAnsi="Times New Roman" w:cs="Times New Roman"/>
          <w:sz w:val="24"/>
        </w:rPr>
        <w:t xml:space="preserve"> The policy should be rehearsed in quality-improvement or disaster-readiness activities so that lawful access and evidence integrity are not improvised during a high-pressure event.</w:t>
      </w:r>
      <w:r>
        <w:rPr>
          <w:rFonts w:ascii="Times New Roman" w:eastAsia="Times New Roman" w:hAnsi="Times New Roman" w:cs="Times New Roman"/>
          <w:sz w:val="20"/>
          <w:vertAlign w:val="superscript"/>
        </w:rPr>
        <w:t>1,2,16</w:t>
      </w:r>
      <w:r>
        <w:rPr>
          <w:rFonts w:ascii="Times New Roman" w:eastAsia="Times New Roman" w:hAnsi="Times New Roman" w:cs="Times New Roman"/>
          <w:sz w:val="24"/>
        </w:rPr>
        <w:t xml:space="preserve"> </w:t>
      </w:r>
    </w:p>
    <w:p w14:paraId="1480D415" w14:textId="77777777" w:rsidR="00FB6037" w:rsidRDefault="00000000">
      <w:pPr>
        <w:spacing w:after="120" w:line="360" w:lineRule="auto"/>
        <w:ind w:firstLine="360"/>
        <w:jc w:val="both"/>
      </w:pPr>
      <w:r>
        <w:rPr>
          <w:rFonts w:ascii="Times New Roman" w:eastAsia="Times New Roman" w:hAnsi="Times New Roman" w:cs="Times New Roman"/>
          <w:sz w:val="24"/>
        </w:rPr>
        <w:t xml:space="preserve">This study has limitations. It is a normative analysis of Indonesian legal materials and selected scholarly sources; it does not measure hospital readiness, evaluate a specific information system, or establish the effectiveness of the proposed controls. Future empirical </w:t>
      </w:r>
      <w:r>
        <w:rPr>
          <w:rFonts w:ascii="Times New Roman" w:eastAsia="Times New Roman" w:hAnsi="Times New Roman" w:cs="Times New Roman"/>
          <w:sz w:val="24"/>
        </w:rPr>
        <w:lastRenderedPageBreak/>
        <w:t>studies should assess the completeness of hospital dental records, the feasibility of role-based access and audit trails, and the views of dentists, forensic practitioners, record managers, legal staff, and patients. In conclusion, forensic dental records should be governed as both clinical information and potential medico-legal evidence. A hospital policy that standardises documentation, authorization, disclosure, custody, competence, and oversight can strengthen patient protection, professional accountability, and the reliability of forensic dental services.</w:t>
      </w:r>
    </w:p>
    <w:p w14:paraId="2D54E0B4" w14:textId="77777777" w:rsidR="00FB6037" w:rsidRDefault="00000000">
      <w:pPr>
        <w:keepNext/>
        <w:spacing w:before="160" w:after="100" w:line="360" w:lineRule="auto"/>
      </w:pPr>
      <w:r>
        <w:rPr>
          <w:rFonts w:ascii="Times New Roman" w:eastAsia="Times New Roman" w:hAnsi="Times New Roman" w:cs="Times New Roman"/>
          <w:b/>
          <w:sz w:val="24"/>
        </w:rPr>
        <w:t>ACKNOWLEDGEMENT</w:t>
      </w:r>
    </w:p>
    <w:p w14:paraId="2C3D2046" w14:textId="77777777" w:rsidR="00FB6037" w:rsidRDefault="00000000">
      <w:pPr>
        <w:spacing w:after="100" w:line="360" w:lineRule="auto"/>
      </w:pPr>
      <w:r>
        <w:rPr>
          <w:rFonts w:ascii="Times New Roman" w:eastAsia="Times New Roman" w:hAnsi="Times New Roman" w:cs="Times New Roman"/>
          <w:sz w:val="24"/>
        </w:rPr>
        <w:t>Not applicable.</w:t>
      </w:r>
    </w:p>
    <w:p w14:paraId="400BF0D3" w14:textId="77777777" w:rsidR="00FB6037" w:rsidRDefault="00000000">
      <w:pPr>
        <w:keepNext/>
        <w:spacing w:before="160" w:after="100" w:line="360" w:lineRule="auto"/>
      </w:pPr>
      <w:r>
        <w:rPr>
          <w:rFonts w:ascii="Times New Roman" w:eastAsia="Times New Roman" w:hAnsi="Times New Roman" w:cs="Times New Roman"/>
          <w:b/>
          <w:sz w:val="24"/>
        </w:rPr>
        <w:t>REFERENCES</w:t>
      </w:r>
    </w:p>
    <w:p w14:paraId="2522AEDD" w14:textId="77777777" w:rsidR="00FB6037" w:rsidRDefault="00000000">
      <w:pPr>
        <w:spacing w:after="20" w:line="240" w:lineRule="auto"/>
        <w:ind w:left="360" w:hanging="360"/>
      </w:pPr>
      <w:r>
        <w:rPr>
          <w:rFonts w:ascii="Times New Roman" w:eastAsia="Times New Roman" w:hAnsi="Times New Roman" w:cs="Times New Roman"/>
          <w:sz w:val="20"/>
        </w:rPr>
        <w:t>1. Forrest A. Forensic odontology in DVI: current practice and recent advances. Forensic Sci Res. 2019;4(4):316-330. doi:10.1080/20961790.2019.1678710.</w:t>
      </w:r>
    </w:p>
    <w:p w14:paraId="3E9B1074" w14:textId="77777777" w:rsidR="00FB6037" w:rsidRDefault="00000000">
      <w:pPr>
        <w:spacing w:after="20" w:line="240" w:lineRule="auto"/>
        <w:ind w:left="360" w:hanging="360"/>
      </w:pPr>
      <w:r>
        <w:rPr>
          <w:rFonts w:ascii="Times New Roman" w:eastAsia="Times New Roman" w:hAnsi="Times New Roman" w:cs="Times New Roman"/>
          <w:sz w:val="20"/>
        </w:rPr>
        <w:t>2. Zikir A, Manica S. Forensic dentistry and disaster victim identification (DVI) in Indonesia. Aust J Forensic Sci. 2021;53(1):75-83. doi:10.1080/00450618.2019.1661513.</w:t>
      </w:r>
    </w:p>
    <w:p w14:paraId="5DD30682" w14:textId="77777777" w:rsidR="00FB6037" w:rsidRDefault="00000000">
      <w:pPr>
        <w:spacing w:after="20" w:line="240" w:lineRule="auto"/>
        <w:ind w:left="360" w:hanging="360"/>
      </w:pPr>
      <w:r>
        <w:rPr>
          <w:rFonts w:ascii="Times New Roman" w:eastAsia="Times New Roman" w:hAnsi="Times New Roman" w:cs="Times New Roman"/>
          <w:sz w:val="20"/>
        </w:rPr>
        <w:t>3. Pavicin IS, Jonjic A, Maretic I, Dumancic J, Zymber Ceshko A. Maintenance of dental records and forensic odontology awareness: a survey of Croatian dentists with implications for dental education. Dent J (Basel). 2021;9(4):37. doi:10.3390/dj9040037.</w:t>
      </w:r>
    </w:p>
    <w:p w14:paraId="03AD974D" w14:textId="77777777" w:rsidR="00FB6037" w:rsidRDefault="00000000">
      <w:pPr>
        <w:spacing w:after="20" w:line="240" w:lineRule="auto"/>
        <w:ind w:left="360" w:hanging="360"/>
      </w:pPr>
      <w:r>
        <w:rPr>
          <w:rFonts w:ascii="Times New Roman" w:eastAsia="Times New Roman" w:hAnsi="Times New Roman" w:cs="Times New Roman"/>
          <w:sz w:val="20"/>
        </w:rPr>
        <w:t>4. Baqai HS, Zaidi SJA, Baig QA, Bashir MB, Anwar M, Ansari AS. Maintenance of dental records and awareness of forensic odontology among Pakistani dentists: a mixed-method study with implications for dental data repository. BMC Oral Health. 2023;23:783. doi:10.1186/s12903-023-03500-2.</w:t>
      </w:r>
    </w:p>
    <w:p w14:paraId="359211EE" w14:textId="77777777" w:rsidR="00FB6037" w:rsidRDefault="00000000">
      <w:pPr>
        <w:spacing w:after="20" w:line="240" w:lineRule="auto"/>
        <w:ind w:left="360" w:hanging="360"/>
      </w:pPr>
      <w:r>
        <w:rPr>
          <w:rFonts w:ascii="Times New Roman" w:eastAsia="Times New Roman" w:hAnsi="Times New Roman" w:cs="Times New Roman"/>
          <w:sz w:val="20"/>
        </w:rPr>
        <w:t>5. Alamoudi RA, Alghamdi NS. Awareness of forensic dentistry among dental professionals in western Saudi Arabia: a knowledge, attitude, and practice-based cross-sectional study. Medicine (Baltimore). 2024;103(14):e37738. doi:10.1097/MD.0000000000037738.</w:t>
      </w:r>
    </w:p>
    <w:p w14:paraId="3FC6B0B3" w14:textId="77777777" w:rsidR="00FB6037" w:rsidRDefault="00000000">
      <w:pPr>
        <w:spacing w:after="20" w:line="240" w:lineRule="auto"/>
        <w:ind w:left="360" w:hanging="360"/>
      </w:pPr>
      <w:r>
        <w:rPr>
          <w:rFonts w:ascii="Times New Roman" w:eastAsia="Times New Roman" w:hAnsi="Times New Roman" w:cs="Times New Roman"/>
          <w:sz w:val="20"/>
        </w:rPr>
        <w:t>6. Khalifa FN, Ibrahim FM, Ghaly MM, Elhabbak SM, Soltan M, Hamdy MK. Forensic odontology-related awareness, knowledge, and attitude among dentists and dental students in two Egyptian universities: a survey-based study. J Forensic Odontostomatol. 2024;42(2):28-38. doi:10.5281/zenodo.13335793.</w:t>
      </w:r>
    </w:p>
    <w:p w14:paraId="4475A9AE" w14:textId="77777777" w:rsidR="00FB6037" w:rsidRDefault="00000000">
      <w:pPr>
        <w:spacing w:after="20" w:line="240" w:lineRule="auto"/>
        <w:ind w:left="360" w:hanging="360"/>
      </w:pPr>
      <w:r>
        <w:rPr>
          <w:rFonts w:ascii="Times New Roman" w:eastAsia="Times New Roman" w:hAnsi="Times New Roman" w:cs="Times New Roman"/>
          <w:sz w:val="20"/>
        </w:rPr>
        <w:t>7. Borah B, Gowsalya M, Kale AD, Angadi PV. Assessment of knowledge among dental practitioners regarding digital dental record platform as a forensic aid for personal identification. J Oral Maxillofac Pathol. 2025;29:301-308.</w:t>
      </w:r>
    </w:p>
    <w:p w14:paraId="70FB4C34" w14:textId="77777777" w:rsidR="00FB6037" w:rsidRDefault="00000000">
      <w:pPr>
        <w:spacing w:after="20" w:line="240" w:lineRule="auto"/>
        <w:ind w:left="360" w:hanging="360"/>
      </w:pPr>
      <w:r>
        <w:rPr>
          <w:rFonts w:ascii="Times New Roman" w:eastAsia="Times New Roman" w:hAnsi="Times New Roman" w:cs="Times New Roman"/>
          <w:sz w:val="20"/>
        </w:rPr>
        <w:t>8. Sallis C, Manica S. Comparative dental analysis: should dentists release dental records? Dent Update. 2021;48(2):148-151. doi:10.12968/denu.2021.48.2.148.</w:t>
      </w:r>
    </w:p>
    <w:p w14:paraId="73A7587B" w14:textId="77777777" w:rsidR="00FB6037" w:rsidRDefault="00000000">
      <w:pPr>
        <w:spacing w:after="20" w:line="240" w:lineRule="auto"/>
        <w:ind w:left="360" w:hanging="360"/>
      </w:pPr>
      <w:r>
        <w:rPr>
          <w:rFonts w:ascii="Times New Roman" w:eastAsia="Times New Roman" w:hAnsi="Times New Roman" w:cs="Times New Roman"/>
          <w:sz w:val="20"/>
        </w:rPr>
        <w:t>9. Manica S, Forgie A. Forensic dentistry now and in the future. Dent Update. 2017;44(6):522-530. doi:10.12968/denu.2017.44.6.522.</w:t>
      </w:r>
    </w:p>
    <w:p w14:paraId="75FA4E9B" w14:textId="77777777" w:rsidR="00FB6037" w:rsidRDefault="00000000">
      <w:pPr>
        <w:spacing w:after="20" w:line="240" w:lineRule="auto"/>
        <w:ind w:left="360" w:hanging="360"/>
      </w:pPr>
      <w:r>
        <w:rPr>
          <w:rFonts w:ascii="Times New Roman" w:eastAsia="Times New Roman" w:hAnsi="Times New Roman" w:cs="Times New Roman"/>
          <w:sz w:val="20"/>
        </w:rPr>
        <w:t>10. Sims CA, Berketa J, Higgins D. Is human identification by dental comparison a scientifically valid process? Sci Justice. 2020;60(5):403-405.</w:t>
      </w:r>
    </w:p>
    <w:p w14:paraId="1EA68E1E" w14:textId="77777777" w:rsidR="00FB6037" w:rsidRDefault="00000000">
      <w:pPr>
        <w:spacing w:after="20" w:line="240" w:lineRule="auto"/>
        <w:ind w:left="360" w:hanging="360"/>
      </w:pPr>
      <w:r>
        <w:rPr>
          <w:rFonts w:ascii="Times New Roman" w:eastAsia="Times New Roman" w:hAnsi="Times New Roman" w:cs="Times New Roman"/>
          <w:sz w:val="20"/>
        </w:rPr>
        <w:t>11. Gambhir RS, Singh G, Talwar PS, Gambhir J, Munjal V. Knowledge and awareness of forensic odontology among dentists in India: a systematic review. J Forensic Dent Sci. 2016;8(1):2-6. doi:10.4103/0975-1475.176954.</w:t>
      </w:r>
    </w:p>
    <w:p w14:paraId="76A6C779" w14:textId="77777777" w:rsidR="00FB6037" w:rsidRDefault="00000000">
      <w:pPr>
        <w:spacing w:after="20" w:line="240" w:lineRule="auto"/>
        <w:ind w:left="360" w:hanging="360"/>
      </w:pPr>
      <w:r>
        <w:rPr>
          <w:rFonts w:ascii="Times New Roman" w:eastAsia="Times New Roman" w:hAnsi="Times New Roman" w:cs="Times New Roman"/>
          <w:sz w:val="20"/>
        </w:rPr>
        <w:t>12. Akram SAZ, Khan S, Tauheed S. Knowledge, awareness and practice of forensic odontology among dental practitioners in Karachi, Pakistan. Pak J Med Dent. 2019;8(1):78-83.</w:t>
      </w:r>
    </w:p>
    <w:p w14:paraId="773F5E19" w14:textId="77777777" w:rsidR="00FB6037" w:rsidRDefault="00000000">
      <w:pPr>
        <w:spacing w:after="20" w:line="240" w:lineRule="auto"/>
        <w:ind w:left="360" w:hanging="360"/>
      </w:pPr>
      <w:r>
        <w:rPr>
          <w:rFonts w:ascii="Times New Roman" w:eastAsia="Times New Roman" w:hAnsi="Times New Roman" w:cs="Times New Roman"/>
          <w:sz w:val="20"/>
        </w:rPr>
        <w:t>13. Khanagar SB, Vishwanathaiah S, Naik S, et al. Application and performance of artificial intelligence technology in forensic odontology - a systematic review. Leg Med (Tokyo). 2021;48:101826. doi:10.1016/j.legalmed.2020.101826.</w:t>
      </w:r>
    </w:p>
    <w:p w14:paraId="5509C9B6" w14:textId="77777777" w:rsidR="00FB6037" w:rsidRDefault="00000000">
      <w:pPr>
        <w:spacing w:after="20" w:line="240" w:lineRule="auto"/>
        <w:ind w:left="360" w:hanging="360"/>
      </w:pPr>
      <w:r>
        <w:rPr>
          <w:rFonts w:ascii="Times New Roman" w:eastAsia="Times New Roman" w:hAnsi="Times New Roman" w:cs="Times New Roman"/>
          <w:sz w:val="20"/>
        </w:rPr>
        <w:t>14. Mohammad N, Ahmad R, Kurniawan A, et al. Applications of contemporary artificial intelligence technology in forensic odontology as primary forensic identifier: a scoping review. Front Artif Intell. 2022;5:1049584. doi:10.3389/frai.2022.1049584.</w:t>
      </w:r>
    </w:p>
    <w:p w14:paraId="738C22DB" w14:textId="77777777" w:rsidR="00FB6037" w:rsidRDefault="00000000">
      <w:pPr>
        <w:spacing w:after="20" w:line="240" w:lineRule="auto"/>
        <w:ind w:left="360" w:hanging="360"/>
      </w:pPr>
      <w:r>
        <w:rPr>
          <w:rFonts w:ascii="Times New Roman" w:eastAsia="Times New Roman" w:hAnsi="Times New Roman" w:cs="Times New Roman"/>
          <w:sz w:val="20"/>
        </w:rPr>
        <w:t>15. Radu CC, Hogea T, Carasca C, Radu CM. Forensic odontology in the digital era: a narrative review of current methods and emerging trends. Diagnostics. 2025;15(20):2550. doi:10.3390/diagnostics15202550.</w:t>
      </w:r>
    </w:p>
    <w:p w14:paraId="6222204C" w14:textId="77777777" w:rsidR="00FB6037" w:rsidRDefault="00000000">
      <w:pPr>
        <w:spacing w:after="20" w:line="240" w:lineRule="auto"/>
        <w:ind w:left="360" w:hanging="360"/>
      </w:pPr>
      <w:r>
        <w:rPr>
          <w:rFonts w:ascii="Times New Roman" w:eastAsia="Times New Roman" w:hAnsi="Times New Roman" w:cs="Times New Roman"/>
          <w:sz w:val="20"/>
        </w:rPr>
        <w:t>16. Jalilvand MA, Raeisi AR, Shaarbafchizadeh N. Hospital governance accountability structure: a scoping review. BMC Health Serv Res. 2024;24:47. doi:10.1186/s12913-023-10135-0.</w:t>
      </w:r>
    </w:p>
    <w:p w14:paraId="523DDD73" w14:textId="77777777" w:rsidR="00FB6037" w:rsidRDefault="00000000">
      <w:pPr>
        <w:spacing w:after="20" w:line="240" w:lineRule="auto"/>
        <w:ind w:left="360" w:hanging="360"/>
      </w:pPr>
      <w:r>
        <w:rPr>
          <w:rFonts w:ascii="Times New Roman" w:eastAsia="Times New Roman" w:hAnsi="Times New Roman" w:cs="Times New Roman"/>
          <w:sz w:val="20"/>
        </w:rPr>
        <w:lastRenderedPageBreak/>
        <w:t>17. Republic of Indonesia. Law Number 17 of 2023 concerning Health. Jakarta: Government of Indonesia; 2023.</w:t>
      </w:r>
    </w:p>
    <w:p w14:paraId="2A655673" w14:textId="77777777" w:rsidR="00FB6037" w:rsidRDefault="00000000">
      <w:pPr>
        <w:spacing w:after="20" w:line="240" w:lineRule="auto"/>
        <w:ind w:left="360" w:hanging="360"/>
      </w:pPr>
      <w:r>
        <w:rPr>
          <w:rFonts w:ascii="Times New Roman" w:eastAsia="Times New Roman" w:hAnsi="Times New Roman" w:cs="Times New Roman"/>
          <w:sz w:val="20"/>
        </w:rPr>
        <w:t>18. Republic of Indonesia. Minister of Health Regulation Number 24 of 2022 concerning Medical Records. Jakarta: Ministry of Health of the Republic of Indonesia; 2022.</w:t>
      </w:r>
    </w:p>
    <w:p w14:paraId="0CB2532C" w14:textId="77777777" w:rsidR="00FB6037" w:rsidRDefault="00000000">
      <w:pPr>
        <w:spacing w:after="20" w:line="240" w:lineRule="auto"/>
        <w:ind w:left="360" w:hanging="360"/>
      </w:pPr>
      <w:r>
        <w:rPr>
          <w:rFonts w:ascii="Times New Roman" w:eastAsia="Times New Roman" w:hAnsi="Times New Roman" w:cs="Times New Roman"/>
          <w:sz w:val="20"/>
        </w:rPr>
        <w:t>19. Republic of Indonesia. Law Number 27 of 2022 concerning Personal Data Protection. Jakarta: Government of Indonesia; 2022.</w:t>
      </w:r>
    </w:p>
    <w:p w14:paraId="302D66D9" w14:textId="77777777" w:rsidR="00FB6037" w:rsidRDefault="00000000">
      <w:pPr>
        <w:spacing w:after="20" w:line="240" w:lineRule="auto"/>
        <w:ind w:left="360" w:hanging="360"/>
      </w:pPr>
      <w:r>
        <w:rPr>
          <w:rFonts w:ascii="Times New Roman" w:eastAsia="Times New Roman" w:hAnsi="Times New Roman" w:cs="Times New Roman"/>
          <w:sz w:val="20"/>
        </w:rPr>
        <w:t>20. Republic of Indonesia. Government Regulation Number 28 of 2024 concerning the implementing regulation of Law Number 17 of 2023 concerning Health. Jakarta: Government of Indonesia; 2024.</w:t>
      </w:r>
    </w:p>
    <w:p w14:paraId="58CF5E95" w14:textId="77777777" w:rsidR="00FB6037" w:rsidRDefault="00000000">
      <w:pPr>
        <w:spacing w:after="20" w:line="240" w:lineRule="auto"/>
        <w:ind w:left="360" w:hanging="360"/>
      </w:pPr>
      <w:r>
        <w:rPr>
          <w:rFonts w:ascii="Times New Roman" w:eastAsia="Times New Roman" w:hAnsi="Times New Roman" w:cs="Times New Roman"/>
          <w:sz w:val="20"/>
        </w:rPr>
        <w:t>21. Beauchamp TL, Childress JF. Principles of biomedical ethics. 8th ed. New York: Oxford University Press; 2019.</w:t>
      </w:r>
    </w:p>
    <w:p w14:paraId="266C6C79" w14:textId="77777777" w:rsidR="00FB6037" w:rsidRDefault="00000000">
      <w:pPr>
        <w:spacing w:after="20" w:line="240" w:lineRule="auto"/>
        <w:ind w:left="360" w:hanging="360"/>
      </w:pPr>
      <w:r>
        <w:rPr>
          <w:rFonts w:ascii="Times New Roman" w:eastAsia="Times New Roman" w:hAnsi="Times New Roman" w:cs="Times New Roman"/>
          <w:sz w:val="20"/>
        </w:rPr>
        <w:t>22. International Criminal Police Organization. Disaster victim identification guide. Lyon: INTERPOL; 2018.</w:t>
      </w:r>
    </w:p>
    <w:sectPr w:rsidR="00FB6037">
      <w:type w:val="continuous"/>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33BB9" w14:textId="77777777" w:rsidR="005C46AA" w:rsidRDefault="005C46AA">
      <w:pPr>
        <w:spacing w:after="0" w:line="240" w:lineRule="auto"/>
      </w:pPr>
      <w:r>
        <w:separator/>
      </w:r>
    </w:p>
  </w:endnote>
  <w:endnote w:type="continuationSeparator" w:id="0">
    <w:p w14:paraId="68818CCB" w14:textId="77777777" w:rsidR="005C46AA" w:rsidRDefault="005C4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B5249" w14:textId="77777777" w:rsidR="005C46AA" w:rsidRDefault="005C46AA">
      <w:pPr>
        <w:spacing w:after="0" w:line="240" w:lineRule="auto"/>
      </w:pPr>
      <w:r>
        <w:separator/>
      </w:r>
    </w:p>
  </w:footnote>
  <w:footnote w:type="continuationSeparator" w:id="0">
    <w:p w14:paraId="0647E2B8" w14:textId="77777777" w:rsidR="005C46AA" w:rsidRDefault="005C46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226C6" w14:textId="77777777" w:rsidR="00436F66" w:rsidRDefault="00000000">
    <w:r>
      <w:rPr>
        <w:noProof/>
      </w:rPr>
      <mc:AlternateContent>
        <mc:Choice Requires="wps">
          <w:drawing>
            <wp:anchor distT="0" distB="0" distL="114300" distR="114300" simplePos="0" relativeHeight="251659264" behindDoc="0" locked="0" layoutInCell="1" hidden="0" allowOverlap="1" wp14:anchorId="7781C9FD" wp14:editId="492EDF61">
              <wp:simplePos x="0" y="0"/>
              <wp:positionH relativeFrom="column">
                <wp:posOffset>1</wp:posOffset>
              </wp:positionH>
              <wp:positionV relativeFrom="paragraph">
                <wp:posOffset>0</wp:posOffset>
              </wp:positionV>
              <wp:extent cx="1270000" cy="274851"/>
              <wp:effectExtent l="0" t="0" r="0" b="0"/>
              <wp:wrapNone/>
              <wp:docPr id="4" name="Rectangle 4"/>
              <wp:cNvGraphicFramePr/>
              <a:graphic xmlns:a="http://schemas.openxmlformats.org/drawingml/2006/main">
                <a:graphicData uri="http://schemas.microsoft.com/office/word/2010/wordprocessingShape">
                  <wps:wsp>
                    <wps:cNvSpPr/>
                    <wps:spPr>
                      <a:xfrm>
                        <a:off x="4717350" y="3651413"/>
                        <a:ext cx="1257300" cy="257175"/>
                      </a:xfrm>
                      <a:prstGeom prst="rect">
                        <a:avLst/>
                      </a:prstGeom>
                      <a:solidFill>
                        <a:srgbClr val="FFFFFF"/>
                      </a:solidFill>
                      <a:ln w="12700" cap="flat" cmpd="sng">
                        <a:solidFill>
                          <a:srgbClr val="000000"/>
                        </a:solidFill>
                        <a:prstDash val="solid"/>
                        <a:miter lim="800000"/>
                        <a:headEnd type="none" w="sm" len="sm"/>
                        <a:tailEnd type="none" w="sm" len="sm"/>
                      </a:ln>
                    </wps:spPr>
                    <wps:txbx>
                      <w:txbxContent>
                        <w:p w14:paraId="380BAAE4" w14:textId="59EACCDB" w:rsidR="00436F66" w:rsidRDefault="00783CD2">
                          <w:pPr>
                            <w:spacing w:after="0" w:line="258" w:lineRule="auto"/>
                            <w:jc w:val="center"/>
                            <w:textDirection w:val="btLr"/>
                          </w:pPr>
                          <w:r>
                            <w:rPr>
                              <w:rFonts w:ascii="Times New Roman" w:eastAsia="Times New Roman" w:hAnsi="Times New Roman" w:cs="Times New Roman"/>
                              <w:color w:val="000000"/>
                            </w:rPr>
                            <w:t>Review</w:t>
                          </w:r>
                          <w:r w:rsidR="00000000">
                            <w:rPr>
                              <w:rFonts w:ascii="Times New Roman" w:eastAsia="Times New Roman" w:hAnsi="Times New Roman" w:cs="Times New Roman"/>
                              <w:color w:val="000000"/>
                            </w:rPr>
                            <w:t xml:space="preserve"> article</w:t>
                          </w:r>
                        </w:p>
                      </w:txbxContent>
                    </wps:txbx>
                    <wps:bodyPr spcFirstLastPara="1" wrap="square" lIns="91425" tIns="45700" rIns="91425" bIns="45700" anchor="ctr" anchorCtr="0">
                      <a:noAutofit/>
                    </wps:bodyPr>
                  </wps:wsp>
                </a:graphicData>
              </a:graphic>
            </wp:anchor>
          </w:drawing>
        </mc:Choice>
        <mc:Fallback>
          <w:pict>
            <v:rect w14:anchorId="7781C9FD" id="Rectangle 4" o:spid="_x0000_s1026" style="position:absolute;margin-left:0;margin-top:0;width:100pt;height:2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" strokeweight="1pt">
              <v:stroke startarrowwidth="narrow" startarrowlength="short" endarrowwidth="narrow" endarrowlength="short"/>
              <v:textbox inset="2.53958mm,1.2694mm,2.53958mm,1.2694mm">
                <w:txbxContent>
                  <w:p w14:paraId="380BAAE4" w14:textId="59EACCDB" w:rsidR="00436F66" w:rsidRDefault="00783CD2">
                    <w:pPr>
                      <w:spacing w:after="0" w:line="258" w:lineRule="auto"/>
                      <w:jc w:val="center"/>
                      <w:textDirection w:val="btLr"/>
                    </w:pPr>
                    <w:r>
                      <w:rPr>
                        <w:rFonts w:ascii="Times New Roman" w:eastAsia="Times New Roman" w:hAnsi="Times New Roman" w:cs="Times New Roman"/>
                        <w:color w:val="000000"/>
                      </w:rPr>
                      <w:t>Review</w:t>
                    </w:r>
                    <w:r w:rsidR="00000000">
                      <w:rPr>
                        <w:rFonts w:ascii="Times New Roman" w:eastAsia="Times New Roman" w:hAnsi="Times New Roman" w:cs="Times New Roman"/>
                        <w:color w:val="000000"/>
                      </w:rPr>
                      <w:t xml:space="preserve"> article</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E72850"/>
    <w:multiLevelType w:val="multilevel"/>
    <w:tmpl w:val="91A4AE10"/>
    <w:lvl w:ilvl="0">
      <w:start w:val="2"/>
      <w:numFmt w:val="decimal"/>
      <w:lvlText w:val="%1."/>
      <w:lvlJc w:val="left"/>
      <w:pPr>
        <w:ind w:left="0" w:firstLine="0"/>
      </w:pPr>
      <w:rPr>
        <w:rFonts w:ascii="Times New Roman" w:eastAsia="Times New Roman" w:hAnsi="Times New Roman" w:cs="Times New Roman"/>
        <w:b w:val="0"/>
        <w:i w:val="0"/>
        <w:smallCaps w:val="0"/>
        <w:strike w:val="0"/>
        <w:color w:val="231F20"/>
        <w:sz w:val="22"/>
        <w:szCs w:val="22"/>
        <w:u w:val="none"/>
        <w:vertAlign w:val="baseline"/>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16cid:durableId="374693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037"/>
    <w:rsid w:val="000064A8"/>
    <w:rsid w:val="00436F66"/>
    <w:rsid w:val="0044342B"/>
    <w:rsid w:val="005C46AA"/>
    <w:rsid w:val="00783CD2"/>
    <w:rsid w:val="00827A72"/>
    <w:rsid w:val="00C802FA"/>
    <w:rsid w:val="00CD2DC6"/>
    <w:rsid w:val="00FB603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0BDD4"/>
  <w15:docId w15:val="{DADE26BF-EBCA-4ED9-B9D1-085BE715D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MSGENFONTSTYLENAMETEMPLATEROLELEVELMSGENFONTSTYLENAMEBYROLEHEADING3">
    <w:name w:val="MSG_EN_FONT_STYLE_NAME_TEMPLATE_ROLE_LEVEL MSG_EN_FONT_STYLE_NAME_BY_ROLE_HEADING 3"/>
    <w:rsid w:val="003D0700"/>
    <w:rPr>
      <w:rFonts w:ascii="Arial" w:eastAsia="Arial" w:hAnsi="Arial" w:cs="Arial" w:hint="default"/>
      <w:b/>
      <w:bCs/>
      <w:i w:val="0"/>
      <w:iCs w:val="0"/>
      <w:smallCaps w:val="0"/>
      <w:strike w:val="0"/>
      <w:dstrike w:val="0"/>
      <w:color w:val="231F20"/>
      <w:spacing w:val="0"/>
      <w:w w:val="100"/>
      <w:position w:val="0"/>
      <w:sz w:val="32"/>
      <w:szCs w:val="32"/>
      <w:u w:val="none"/>
      <w:effect w:val="none"/>
      <w:lang w:val="en-US" w:eastAsia="en-US" w:bidi="en-US"/>
    </w:rPr>
  </w:style>
  <w:style w:type="character" w:customStyle="1" w:styleId="MSGENFONTSTYLENAMETEMPLATEROLENUMBERMSGENFONTSTYLENAMEBYROLETEXT5">
    <w:name w:val="MSG_EN_FONT_STYLE_NAME_TEMPLATE_ROLE_NUMBER MSG_EN_FONT_STYLE_NAME_BY_ROLE_TEXT 5"/>
    <w:rsid w:val="003D0700"/>
    <w:rPr>
      <w:rFonts w:ascii="Times New Roman" w:eastAsia="Times New Roman" w:hAnsi="Times New Roman" w:cs="Times New Roman" w:hint="default"/>
      <w:b/>
      <w:bCs/>
      <w:i w:val="0"/>
      <w:iCs w:val="0"/>
      <w:smallCaps w:val="0"/>
      <w:strike w:val="0"/>
      <w:dstrike w:val="0"/>
      <w:color w:val="231F20"/>
      <w:spacing w:val="0"/>
      <w:w w:val="100"/>
      <w:position w:val="0"/>
      <w:sz w:val="15"/>
      <w:szCs w:val="15"/>
      <w:u w:val="none"/>
      <w:effect w:val="none"/>
      <w:lang w:val="en-US" w:eastAsia="en-US" w:bidi="en-US"/>
    </w:rPr>
  </w:style>
  <w:style w:type="character" w:customStyle="1" w:styleId="MSGENFONTSTYLENAMETEMPLATEROLENUMBERMSGENFONTSTYLENAMEBYROLETEXT5MSGENFONTSTYLEMODIFERNOTBOLD">
    <w:name w:val="MSG_EN_FONT_STYLE_NAME_TEMPLATE_ROLE_NUMBER MSG_EN_FONT_STYLE_NAME_BY_ROLE_TEXT 5 + MSG_EN_FONT_STYLE_MODIFER_NOT_BOLD"/>
    <w:rsid w:val="003D0700"/>
    <w:rPr>
      <w:rFonts w:ascii="Times New Roman" w:eastAsia="Times New Roman" w:hAnsi="Times New Roman" w:cs="Times New Roman" w:hint="default"/>
      <w:b/>
      <w:bCs/>
      <w:i w:val="0"/>
      <w:iCs w:val="0"/>
      <w:smallCaps w:val="0"/>
      <w:strike w:val="0"/>
      <w:dstrike w:val="0"/>
      <w:color w:val="231F20"/>
      <w:spacing w:val="0"/>
      <w:w w:val="100"/>
      <w:position w:val="0"/>
      <w:sz w:val="15"/>
      <w:szCs w:val="15"/>
      <w:u w:val="none"/>
      <w:effect w:val="none"/>
      <w:lang w:val="en-US" w:eastAsia="en-US" w:bidi="en-US"/>
    </w:rPr>
  </w:style>
  <w:style w:type="character" w:customStyle="1" w:styleId="MSGENFONTSTYLENAMETEMPLATEROLENUMBERMSGENFONTSTYLENAMEBYROLETEXT6">
    <w:name w:val="MSG_EN_FONT_STYLE_NAME_TEMPLATE_ROLE_NUMBER MSG_EN_FONT_STYLE_NAME_BY_ROLE_TEXT 6"/>
    <w:rsid w:val="003D0700"/>
    <w:rPr>
      <w:rFonts w:ascii="Times New Roman" w:eastAsia="Times New Roman" w:hAnsi="Times New Roman" w:cs="Times New Roman" w:hint="default"/>
      <w:b w:val="0"/>
      <w:bCs w:val="0"/>
      <w:i w:val="0"/>
      <w:iCs w:val="0"/>
      <w:smallCaps w:val="0"/>
      <w:strike w:val="0"/>
      <w:dstrike w:val="0"/>
      <w:color w:val="231F20"/>
      <w:spacing w:val="0"/>
      <w:w w:val="100"/>
      <w:position w:val="0"/>
      <w:sz w:val="15"/>
      <w:szCs w:val="15"/>
      <w:u w:val="none"/>
      <w:effect w:val="none"/>
      <w:lang w:val="en-US" w:eastAsia="en-US" w:bidi="en-US"/>
    </w:rPr>
  </w:style>
  <w:style w:type="character" w:customStyle="1" w:styleId="MSGENFONTSTYLENAMETEMPLATEROLENUMBERMSGENFONTSTYLENAMEBYROLETEXT7">
    <w:name w:val="MSG_EN_FONT_STYLE_NAME_TEMPLATE_ROLE_NUMBER MSG_EN_FONT_STYLE_NAME_BY_ROLE_TEXT 7"/>
    <w:rsid w:val="003D0700"/>
    <w:rPr>
      <w:rFonts w:ascii="Times New Roman" w:eastAsia="Times New Roman" w:hAnsi="Times New Roman" w:cs="Times New Roman" w:hint="default"/>
      <w:b/>
      <w:bCs/>
      <w:i/>
      <w:iCs/>
      <w:smallCaps w:val="0"/>
      <w:strike w:val="0"/>
      <w:dstrike w:val="0"/>
      <w:color w:val="231F20"/>
      <w:spacing w:val="0"/>
      <w:w w:val="100"/>
      <w:position w:val="0"/>
      <w:sz w:val="18"/>
      <w:szCs w:val="18"/>
      <w:u w:val="none"/>
      <w:effect w:val="none"/>
      <w:lang w:val="en-US" w:eastAsia="en-US" w:bidi="en-US"/>
    </w:rPr>
  </w:style>
  <w:style w:type="character" w:customStyle="1" w:styleId="MSGENFONTSTYLENAMETEMPLATEROLENUMBERMSGENFONTSTYLENAMEBYROLETEXT8MSGENFONTSTYLEMODIFERBOLD">
    <w:name w:val="MSG_EN_FONT_STYLE_NAME_TEMPLATE_ROLE_NUMBER MSG_EN_FONT_STYLE_NAME_BY_ROLE_TEXT 8 + MSG_EN_FONT_STYLE_MODIFER_BOLD"/>
    <w:rsid w:val="003D0700"/>
    <w:rPr>
      <w:rFonts w:ascii="Times New Roman" w:eastAsia="Times New Roman" w:hAnsi="Times New Roman" w:cs="Times New Roman" w:hint="default"/>
      <w:b/>
      <w:bCs/>
      <w:i/>
      <w:iCs/>
      <w:smallCaps w:val="0"/>
      <w:strike w:val="0"/>
      <w:dstrike w:val="0"/>
      <w:color w:val="231F20"/>
      <w:spacing w:val="0"/>
      <w:w w:val="100"/>
      <w:position w:val="0"/>
      <w:sz w:val="18"/>
      <w:szCs w:val="18"/>
      <w:u w:val="none"/>
      <w:effect w:val="none"/>
      <w:lang w:val="en-US" w:eastAsia="en-US" w:bidi="en-US"/>
    </w:rPr>
  </w:style>
  <w:style w:type="character" w:customStyle="1" w:styleId="MSGENFONTSTYLENAMETEMPLATEROLENUMBERMSGENFONTSTYLENAMEBYROLETEXT8">
    <w:name w:val="MSG_EN_FONT_STYLE_NAME_TEMPLATE_ROLE_NUMBER MSG_EN_FONT_STYLE_NAME_BY_ROLE_TEXT 8"/>
    <w:rsid w:val="003D0700"/>
    <w:rPr>
      <w:rFonts w:ascii="Times New Roman" w:eastAsia="Times New Roman" w:hAnsi="Times New Roman" w:cs="Times New Roman" w:hint="default"/>
      <w:b w:val="0"/>
      <w:bCs w:val="0"/>
      <w:i/>
      <w:iCs/>
      <w:smallCaps w:val="0"/>
      <w:strike w:val="0"/>
      <w:dstrike w:val="0"/>
      <w:color w:val="231F20"/>
      <w:spacing w:val="0"/>
      <w:w w:val="100"/>
      <w:position w:val="0"/>
      <w:sz w:val="18"/>
      <w:szCs w:val="18"/>
      <w:u w:val="none"/>
      <w:effect w:val="none"/>
      <w:lang w:val="en-US" w:eastAsia="en-US" w:bidi="en-US"/>
    </w:rPr>
  </w:style>
  <w:style w:type="character" w:customStyle="1" w:styleId="MSGENFONTSTYLENAMETEMPLATEROLENUMBERMSGENFONTSTYLENAMEBYROLETEXT9MSGENFONTSTYLEMODIFERITALIC">
    <w:name w:val="MSG_EN_FONT_STYLE_NAME_TEMPLATE_ROLE_NUMBER MSG_EN_FONT_STYLE_NAME_BY_ROLE_TEXT 9 + MSG_EN_FONT_STYLE_MODIFER_ITALIC"/>
    <w:rsid w:val="003D0700"/>
    <w:rPr>
      <w:rFonts w:ascii="Times New Roman" w:eastAsia="Times New Roman" w:hAnsi="Times New Roman" w:cs="Times New Roman" w:hint="default"/>
      <w:b w:val="0"/>
      <w:bCs w:val="0"/>
      <w:i/>
      <w:iCs/>
      <w:smallCaps w:val="0"/>
      <w:strike w:val="0"/>
      <w:dstrike w:val="0"/>
      <w:color w:val="231F20"/>
      <w:spacing w:val="0"/>
      <w:w w:val="100"/>
      <w:position w:val="0"/>
      <w:sz w:val="18"/>
      <w:szCs w:val="18"/>
      <w:u w:val="none"/>
      <w:effect w:val="none"/>
      <w:lang w:val="en-US" w:eastAsia="en-US" w:bidi="en-US"/>
    </w:rPr>
  </w:style>
  <w:style w:type="character" w:customStyle="1" w:styleId="MSGENFONTSTYLENAMETEMPLATEROLENUMBERMSGENFONTSTYLENAMEBYROLETEXT9">
    <w:name w:val="MSG_EN_FONT_STYLE_NAME_TEMPLATE_ROLE_NUMBER MSG_EN_FONT_STYLE_NAME_BY_ROLE_TEXT 9"/>
    <w:rsid w:val="003D0700"/>
    <w:rPr>
      <w:rFonts w:ascii="Times New Roman" w:eastAsia="Times New Roman" w:hAnsi="Times New Roman" w:cs="Times New Roman" w:hint="default"/>
      <w:b w:val="0"/>
      <w:bCs w:val="0"/>
      <w:i w:val="0"/>
      <w:iCs w:val="0"/>
      <w:smallCaps w:val="0"/>
      <w:strike w:val="0"/>
      <w:dstrike w:val="0"/>
      <w:color w:val="231F20"/>
      <w:spacing w:val="0"/>
      <w:w w:val="100"/>
      <w:position w:val="0"/>
      <w:sz w:val="18"/>
      <w:szCs w:val="18"/>
      <w:u w:val="none"/>
      <w:effect w:val="none"/>
      <w:lang w:val="en-US" w:eastAsia="en-US" w:bidi="en-US"/>
    </w:rPr>
  </w:style>
  <w:style w:type="character" w:customStyle="1" w:styleId="MSGENFONTSTYLENAMETEMPLATEROLENUMBERMSGENFONTSTYLENAMEBYROLETEXT10">
    <w:name w:val="MSG_EN_FONT_STYLE_NAME_TEMPLATE_ROLE_NUMBER MSG_EN_FONT_STYLE_NAME_BY_ROLE_TEXT 10"/>
    <w:rsid w:val="003D0700"/>
    <w:rPr>
      <w:rFonts w:ascii="Times New Roman" w:eastAsia="Times New Roman" w:hAnsi="Times New Roman" w:cs="Times New Roman" w:hint="default"/>
      <w:b/>
      <w:bCs/>
      <w:i w:val="0"/>
      <w:iCs w:val="0"/>
      <w:smallCaps w:val="0"/>
      <w:strike w:val="0"/>
      <w:dstrike w:val="0"/>
      <w:color w:val="231F20"/>
      <w:spacing w:val="0"/>
      <w:w w:val="100"/>
      <w:position w:val="0"/>
      <w:sz w:val="18"/>
      <w:szCs w:val="18"/>
      <w:u w:val="none"/>
      <w:effect w:val="none"/>
      <w:lang w:val="en-US" w:eastAsia="en-US" w:bidi="en-US"/>
    </w:rPr>
  </w:style>
  <w:style w:type="character" w:customStyle="1" w:styleId="MSGENFONTSTYLENAMETEMPLATEROLENUMBERMSGENFONTSTYLENAMEBYROLETEXT2">
    <w:name w:val="MSG_EN_FONT_STYLE_NAME_TEMPLATE_ROLE_NUMBER MSG_EN_FONT_STYLE_NAME_BY_ROLE_TEXT 2"/>
    <w:rsid w:val="003D0700"/>
    <w:rPr>
      <w:rFonts w:ascii="Times New Roman" w:eastAsia="Times New Roman" w:hAnsi="Times New Roman" w:cs="Times New Roman" w:hint="default"/>
      <w:b w:val="0"/>
      <w:bCs w:val="0"/>
      <w:i w:val="0"/>
      <w:iCs w:val="0"/>
      <w:smallCaps w:val="0"/>
      <w:strike w:val="0"/>
      <w:dstrike w:val="0"/>
      <w:color w:val="231F20"/>
      <w:spacing w:val="0"/>
      <w:w w:val="100"/>
      <w:position w:val="0"/>
      <w:sz w:val="19"/>
      <w:szCs w:val="19"/>
      <w:u w:val="none"/>
      <w:effect w:val="none"/>
      <w:lang w:val="en-US" w:eastAsia="en-US" w:bidi="en-US"/>
    </w:rPr>
  </w:style>
  <w:style w:type="character" w:styleId="Hyperlink">
    <w:name w:val="Hyperlink"/>
    <w:uiPriority w:val="99"/>
    <w:unhideWhenUsed/>
    <w:rsid w:val="00214AEF"/>
    <w:rPr>
      <w:color w:val="0563C1"/>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827A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3C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3CD2"/>
    <w:rPr>
      <w:lang w:eastAsia="en-US"/>
    </w:rPr>
  </w:style>
  <w:style w:type="paragraph" w:styleId="Footer">
    <w:name w:val="footer"/>
    <w:basedOn w:val="Normal"/>
    <w:link w:val="FooterChar"/>
    <w:uiPriority w:val="99"/>
    <w:unhideWhenUsed/>
    <w:rsid w:val="00783C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3CD2"/>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68IJoDepOKve8kMZQizyj9zQXQ==">CgMxLjAyCGguZ2pkZ3hzOAByITE5Ry1LcUdiUXRyM1ZDaTlHai1JYWpvLXhCTjU0SGtwZw==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3571</Words>
  <Characters>20361</Characters>
  <Application>Microsoft Office Word</Application>
  <DocSecurity>0</DocSecurity>
  <Lines>169</Lines>
  <Paragraphs>47</Paragraphs>
  <ScaleCrop>false</ScaleCrop>
  <Company/>
  <LinksUpToDate>false</LinksUpToDate>
  <CharactersWithSpaces>23885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of forensic dental records</dc:title>
  <dc:subject>Forensic odontology, hospital governance, and dental records</dc:subject>
  <dc:creator>Yessy Andriani Fauziah</dc:creator>
  <cp:keywords>forensic odontology; dental records; hospital governance; medical law; data protection</cp:keywords>
  <dc:description/>
  <cp:lastModifiedBy>.</cp:lastModifiedBy>
  <cp:revision>5</cp:revision>
  <dcterms:created xsi:type="dcterms:W3CDTF">2021-07-01T07:48:00Z</dcterms:created>
  <dcterms:modified xsi:type="dcterms:W3CDTF">2026-06-25T07:44:00Z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41261570-ed70-35ba-9550-a517dc051f02</vt:lpwstr>
  </property>
  <property fmtid="{D5CDD505-2E9C-101B-9397-08002B2CF9AE}" pid="4" name="Mendeley Citation Style_1">
    <vt:lpwstr>http://www.zotero.org/styles/dental-journal-majalah-kedokteran-gigi</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http://www.zotero.org/styles/american-medical-association-alphabetical</vt:lpwstr>
  </property>
  <property fmtid="{D5CDD505-2E9C-101B-9397-08002B2CF9AE}" pid="8" name="Mendeley Recent Style Name 1_1">
    <vt:lpwstr>American Medical Association (sorted alphabetically)</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American Political Science Association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6th edition</vt:lpwstr>
  </property>
  <property fmtid="{D5CDD505-2E9C-101B-9397-08002B2CF9AE}" pid="13" name="Mendeley Recent Style Id 4_1">
    <vt:lpwstr>http://www.zotero.org/styles/dental-journal-majalah-kedokteran-gigi</vt:lpwstr>
  </property>
  <property fmtid="{D5CDD505-2E9C-101B-9397-08002B2CF9AE}" pid="14" name="Mendeley Recent Style Name 4_1">
    <vt:lpwstr>Dental Journal: Majalah Kedokteran Gigi</vt:lpwstr>
  </property>
  <property fmtid="{D5CDD505-2E9C-101B-9397-08002B2CF9AE}" pid="15" name="Mendeley Recent Style Id 5_1">
    <vt:lpwstr>http://www.zotero.org/styles/elsevier-harvard</vt:lpwstr>
  </property>
  <property fmtid="{D5CDD505-2E9C-101B-9397-08002B2CF9AE}" pid="16" name="Mendeley Recent Style Name 5_1">
    <vt:lpwstr>Elsevier - Harvard (with titles)</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http://www.zotero.org/styles/vancouver-brackets-no-et-al</vt:lpwstr>
  </property>
  <property fmtid="{D5CDD505-2E9C-101B-9397-08002B2CF9AE}" pid="24" name="Mendeley Recent Style Name 9_1">
    <vt:lpwstr>Vancouver (brackets, no "et al.")</vt:lpwstr>
  </property>
</Properties>
</file>