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F7102" w14:textId="77777777" w:rsidR="001E3D75" w:rsidRDefault="00000000">
      <w:pPr>
        <w:pStyle w:val="JPSSTitle"/>
        <w:rPr>
          <w:b/>
          <w:bCs/>
        </w:rPr>
      </w:pPr>
      <w:r>
        <w:rPr>
          <w:b/>
          <w:bCs/>
        </w:rPr>
        <w:t>Sexual Violence, Power Relations, Reporting Barriers, and a Culture of Silence in Three Indonesian Universities</w:t>
      </w:r>
    </w:p>
    <w:p w14:paraId="020F22F0" w14:textId="77777777" w:rsidR="001E3D75" w:rsidRDefault="00000000">
      <w:pPr>
        <w:ind w:firstLine="0"/>
        <w:jc w:val="center"/>
      </w:pPr>
      <w:r>
        <w:t>Abstract</w:t>
      </w:r>
    </w:p>
    <w:p w14:paraId="19BBF010" w14:textId="1F838245" w:rsidR="001E3D75" w:rsidRDefault="00000000">
      <w:pPr>
        <w:ind w:firstLine="0"/>
      </w:pPr>
      <w:r>
        <w:t>Sexual violence in higher education is shaped by power imbalances, patriarchal culture, limited literacy concerning consent and reporting, and inadequate prevention and response mechanisms. This mixed-methods study analyzed the mechanisms through which a culture of silence forms in cases of sexual violence at three Indonesian universities. Surveys, in-depth interviews, focus group discussions, observations, and document reviews were used. Survey data were analyzed descriptively, while qualitative data were analyzed thematically. The findings show that unequal power relations, normalization of sexually inappropriate conduct, limited literacy, fear of academic and social consequences, and low trust in institutional reporting mechanisms discourage disclosure. Strengthening sexual violence prevention and response education and providing reporting mechanisms that are safe, confidential, accessible, and survivor-centered are necessary to disrupt normalization and reduce the culture of silence in higher education.</w:t>
      </w:r>
    </w:p>
    <w:p w14:paraId="59F542FF" w14:textId="77777777" w:rsidR="001E3D75" w:rsidRDefault="00000000">
      <w:pPr>
        <w:ind w:firstLine="0"/>
      </w:pPr>
      <w:r>
        <w:rPr>
          <w:i/>
        </w:rPr>
        <w:t xml:space="preserve">Keywords: </w:t>
      </w:r>
      <w:r>
        <w:t>campus sexual violence; culture of silence; higher education; power relations; reporting mechanisms</w:t>
      </w:r>
    </w:p>
    <w:p w14:paraId="31180F6C" w14:textId="77777777" w:rsidR="001E3D75" w:rsidRDefault="001E3D75">
      <w:pPr>
        <w:sectPr w:rsidR="001E3D75">
          <w:footerReference w:type="default" r:id="rId8"/>
          <w:pgSz w:w="11909" w:h="16834"/>
          <w:pgMar w:top="1440" w:right="1440" w:bottom="1440" w:left="1440" w:header="720" w:footer="720" w:gutter="0"/>
          <w:cols w:space="720"/>
          <w:docGrid w:linePitch="360"/>
        </w:sectPr>
      </w:pPr>
    </w:p>
    <w:p w14:paraId="03147376" w14:textId="77777777" w:rsidR="001E3D75" w:rsidRDefault="00000000">
      <w:pPr>
        <w:pStyle w:val="JPSSHeading1"/>
        <w:keepNext/>
      </w:pPr>
      <w:r>
        <w:lastRenderedPageBreak/>
        <w:t>Introduction</w:t>
      </w:r>
    </w:p>
    <w:p w14:paraId="429E2572" w14:textId="77777777" w:rsidR="001E3D75" w:rsidRDefault="00000000">
      <w:r>
        <w:t>Sexual violence in higher education institutions remains a serious issue that requires attention from various stakeholders. Universities, which should serve as safe spaces for learning, developing personal potential, and building academic relationships, are not entirely free from sexual violence. Cases of sexual violence may occur in various campus activities, including lectures, academic supervision, research, student organizations, fieldwork, and informal interactions within the campus environment (Linder, 2024). Sexual violence in higher education also demonstrates that academic spaces can become unsafe when social and institutional relations are not supported by strong protection mechanisms (Marfu’ah et al., 2021).</w:t>
      </w:r>
    </w:p>
    <w:p w14:paraId="480F6D5E" w14:textId="77777777" w:rsidR="001E3D75" w:rsidRDefault="00000000">
      <w:r>
        <w:t>Cases of sexual violence in higher education are often described as an iceberg phenomenon because only a small proportion of cases become publicly known. Many survivors choose to remain silent because they feel ashamed, fear stigmatization, or are concerned that they will not receive adequate protection from their institutions (Fitri et al., 2021). Survivors may also experience psychological distress that makes the reporting process even more difficult. Sexual violence has serious consequences for survivors, particularly in psychological, social, and academic aspects, as well as in their sense of safety when participating in educational activities (Dworkin et al., 2021). The low reporting rate indicates that systems for preventing and addressing sexual violence in higher education institutions still require substantial improvement.</w:t>
      </w:r>
    </w:p>
    <w:p w14:paraId="12E38FA9" w14:textId="77777777" w:rsidR="001E3D75" w:rsidRDefault="00000000">
      <w:r>
        <w:t xml:space="preserve">Sexual violence on campus cannot be understood merely as an individual act. This issue is closely related to unequal power relations between perpetrators and survivors. Power imbalances may arise in relationships between lecturers and students, seniors and juniors, leaders and subordinates, or individuals who hold authority and those in more vulnerable positions. Unequal power relations often place survivors in a difficult position to refuse, </w:t>
      </w:r>
      <w:r>
        <w:lastRenderedPageBreak/>
        <w:t>report the incident, or obtain justice (Nikmatullah, 2020). Patriarchal culture also increases survivors’ vulnerability because women are often placed in unequal positions within social and academic relationships (Soejoeti &amp; Susanti, 2020).</w:t>
      </w:r>
    </w:p>
    <w:p w14:paraId="3F0AF813" w14:textId="77777777" w:rsidR="001E3D75" w:rsidRDefault="00000000">
      <w:r>
        <w:t>The Indonesian government responded to this issue by issuing Regulation of the Minister of Education, Culture, Research, and Technology Number 30 of 2021 concerning the Prevention and Handling of Sexual Violence in Higher Education Institutions. This regulation provides an important foundation for universities to establish systems for prevention, reporting, assistance, and case response. In Indonesia, the policy framework is commonly known as Pencegahan dan Penanganan Kekerasan Seksual (PPKS). To facilitate international understanding, this article refers to the framework as sexual violence prevention and response. From a legal perspective, the regulation provides guidance for higher education institutions in developing systems for preventing and responding to sexual violence on campus (Saraswati &amp; Sewu, 2022).</w:t>
      </w:r>
    </w:p>
    <w:p w14:paraId="22DBB4CA" w14:textId="77777777" w:rsidR="001E3D75" w:rsidRDefault="00000000">
      <w:r>
        <w:t>The regulation demonstrates that sexual violence in higher education can no longer be regarded as a private matter but must be treated as an institutional problem requiring systematic intervention. Sexual violence has also received increasing public attention because media coverage contributes to shaping public understanding of the urgency of regulations aimed at protecting survivors (Akbar, 2021). The implementation of the policy on sexual violence prevention and response requires the support of internal policies, adequate resources, task forces, and the commitment of university leaders (Adawiyah et al., 2022).</w:t>
      </w:r>
    </w:p>
    <w:p w14:paraId="61B37296" w14:textId="77777777" w:rsidR="001E3D75" w:rsidRDefault="00000000">
      <w:r>
        <w:t xml:space="preserve">The implementation of sexual violence prevention and response policies in higher education institutions continues to face various challenges. Several universities have established task forces or service units, but prevention efforts are often limited to awareness-raising activities and case handling after incidents have occurred. Understanding among campus communities regarding forms of sexual violence, reporting mechanisms, consent, </w:t>
      </w:r>
      <w:r>
        <w:lastRenderedPageBreak/>
        <w:t>survivor protection, and institutional responsibility remains uneven. Students need adequate knowledge to identify different forms of sexual violence and understand the reporting procedures available within their institutions (Khafsoh &amp; Suhairi, 2021). Limited understanding may cause sexual violence to be normalized, remain unreported, or be handled inappropriately. When sexual acts are not recognized as violence and survivors do not trust the reporting system, their experiences tend to be concealed or shared only with close acquaintances. This condition creates a culture of silence that makes cases difficult to detect and allows violence to recur.</w:t>
      </w:r>
    </w:p>
    <w:p w14:paraId="3C3FD017" w14:textId="77777777" w:rsidR="001E3D75" w:rsidRDefault="00000000">
      <w:r>
        <w:t>The culture of silence surrounding sexual violence is not solely influenced by survivors’ personal decisions but is also shaped by the conditions of the campus environment. Unequal power relations may cause survivors to fear losing grades, academic opportunities, organizational positions, or social relationships. At the same time, limited literacy regarding consent and forms of sexual violence may lead certain acts to be regarded as jokes or socially acceptable behavior. Education on sexual violence is necessary to increase students’ awareness, improve their understanding of survivors’ experiences, and develop their ability to identify and respond appropriately to acts of sexual violence (Schneider &amp; Hirsch, 2020). This condition becomes more entrenched when reporting mechanisms are not widely known, are difficult to access, or are not trusted to provide adequate protection for survivors. Sexual violence prevention and response education must therefore be positioned as an institutional intervention through curricula, teaching materials, and learning processes to strengthen literacy concerning power relations, consent, survivors’ rights, and reporting mechanisms (Yusran et al., 2022).</w:t>
      </w:r>
    </w:p>
    <w:p w14:paraId="771ED5E6" w14:textId="77777777" w:rsidR="001E3D75" w:rsidRDefault="00000000">
      <w:r>
        <w:t xml:space="preserve">Based on the preceding discussion, this study addresses the following question: how do power relations, the normalization of violence, and weaknesses in reporting systems contribute to the formation of a culture of silence in cases of sexual violence at three higher </w:t>
      </w:r>
      <w:r>
        <w:lastRenderedPageBreak/>
        <w:t>education institutions? This study aims to analyze the mechanisms through which a culture of silence is formed by examining the relationships among power relations, the normalization of sexual acts, campus community literacy, and access to reporting mechanisms. The study was conducted at three Indonesian universities. The findings are expected to provide a foundation for strengthening sexual violence prevention and response education and developing reporting mechanisms that are safe, accessible, confidential, and survivor-centered.</w:t>
      </w:r>
    </w:p>
    <w:p w14:paraId="7500C6B2" w14:textId="77777777" w:rsidR="001E3D75" w:rsidRDefault="00000000">
      <w:pPr>
        <w:pStyle w:val="JPSSHeading1"/>
        <w:keepNext/>
      </w:pPr>
      <w:r>
        <w:t>Literature Review</w:t>
      </w:r>
    </w:p>
    <w:p w14:paraId="39D39B77" w14:textId="77777777" w:rsidR="001E3D75" w:rsidRDefault="00000000">
      <w:pPr>
        <w:pStyle w:val="JPSSHeading2"/>
        <w:keepNext/>
      </w:pPr>
      <w:r>
        <w:t>Sexual Violence in Higher Education</w:t>
      </w:r>
    </w:p>
    <w:p w14:paraId="0600075D" w14:textId="77777777" w:rsidR="001E3D75" w:rsidRDefault="00000000">
      <w:r>
        <w:t>Sexual violence in higher education refers to acts of violence that occur in academic and non-academic settings and may involve students, lecturers, educational staff, or other individuals who interact within the campus environment. Sexual violence is not limited to forced sexual intercourse but also includes verbal, nonverbal, physical, digital, and symbolic acts that degrade a person’s dignity, body, or reproductive functions. In higher education, sexual violence may occur during lectures, academic supervision, research activities, community service programs, student organization activities, fieldwork, and informal interactions among members of the academic community (Linder, 2024). The diverse settings in which sexual violence may occur indicate that universities require prevention and response systems that are not merely administrative but also address the broader academic culture.</w:t>
      </w:r>
    </w:p>
    <w:p w14:paraId="4A273A2D" w14:textId="77777777" w:rsidR="001E3D75" w:rsidRDefault="00000000">
      <w:r>
        <w:t xml:space="preserve">Sexual violence on campus is often difficult to disclose because victims may experience fear, shame, threats, social pressure, and concerns about the institution’s response. Many victims choose to remain silent because they fear being blamed, disbelieved, or subjected to academic and social consequences after reporting the incident (Fitri et al., 2021). Sexual violence may also cause physical, psychological, social, and academic consequences for victims. Experiences of sexual violence can seriously affect victims’ mental health and </w:t>
      </w:r>
      <w:r>
        <w:lastRenderedPageBreak/>
        <w:t>the continuity of their social lives (Dworkin et al., 2021). Prevention and response to sexual violence must therefore be positioned as an institutional agenda involving policies, education, reporting mechanisms, assistance, and victim recovery. An analysis of sexual violence prevention and response policies indicates that higher education institutions need to translate regulations into clear internal policies and operational mechanisms (Adawiyah et al., 2022).</w:t>
      </w:r>
    </w:p>
    <w:p w14:paraId="5DEF9D73" w14:textId="77777777" w:rsidR="001E3D75" w:rsidRDefault="00000000">
      <w:pPr>
        <w:pStyle w:val="JPSSHeading2"/>
        <w:keepNext/>
      </w:pPr>
      <w:r>
        <w:t>Power Relations, Gender, and Victim Vulnerability</w:t>
      </w:r>
    </w:p>
    <w:p w14:paraId="4C781B18" w14:textId="77777777" w:rsidR="001E3D75" w:rsidRDefault="00000000">
      <w:r>
        <w:t>Sexual violence in higher education is closely related to unequal power relations. Power relations may be formed through position, age, academic status, seniority, organizational influence, dependence on grades, or access to campus resources. Such inequalities place victims in a difficult position when attempting to refuse, resist, or report acts of sexual violence. In lecturer–student relationships, the lecturer’s position as an evaluator, academic supervisor, or holder of academic authority may create vulnerability among students. Studies of sexual violence on campus have shown that power relations often prevent victims from having the courage to report their experiences (Nikmatullah, 2020).</w:t>
      </w:r>
    </w:p>
    <w:p w14:paraId="36B44B26" w14:textId="77777777" w:rsidR="001E3D75" w:rsidRDefault="00000000">
      <w:r>
        <w:t>A gender perspective is important in examining sexual violence because victims are often situated in unequal social positions. Patriarchal culture may be reflected in sexist jokes, stereotypes about women, the dismissal of victims’ experiences, and victim-blaming attitudes. Research on sexual violence in educational settings shows that patriarchal culture reinforces gender inequality and increases victims’ vulnerability (Soejoeti &amp; Susanti, 2020). Victim vulnerability is also reinforced by a culture of silence within the campus environment. Studies of institutional responses to sexual violence indicate that institutional support for victims is an important factor in encouraging them to report incidents (Marfu’ah et al., 2021). Feminist studies of sexual violence emphasize that victim protection cannot be separated from efforts to dismantle unequal power relations (Elindawati, 2021).</w:t>
      </w:r>
    </w:p>
    <w:p w14:paraId="3DB3CC11" w14:textId="77777777" w:rsidR="001E3D75" w:rsidRDefault="00000000">
      <w:pPr>
        <w:pStyle w:val="JPSSHeading2"/>
        <w:keepNext/>
      </w:pPr>
      <w:r>
        <w:lastRenderedPageBreak/>
        <w:t>Knowledge, Attitudes, and Actions in the Prevention of Sexual Violence</w:t>
      </w:r>
    </w:p>
    <w:p w14:paraId="35A88B28" w14:textId="77777777" w:rsidR="001E3D75" w:rsidRDefault="00000000">
      <w:r>
        <w:t>Preventing sexual violence requires behavioral changes among members of the academic community. Behavioral change cannot be achieved solely through formal regulations but also requires knowledge, attitudes, and actions that support prevention efforts. Knowledge is necessary to enable campus members to identify different forms of sexual violence, understand victims’ rights, and recognize available reporting mechanisms. Supportive attitudes are needed so that members of the academic community stand with victims and reject all forms of sexual violence. Concrete actions are required to enable campus members to report incidents, assist victims, prevent violence, and support sexual violence prevention and response policies. Lawrence Green’s theory explains that behavior is influenced by predisposing, enabling, and reinforcing factors.</w:t>
      </w:r>
    </w:p>
    <w:p w14:paraId="1DEF555A" w14:textId="77777777" w:rsidR="001E3D75" w:rsidRDefault="00000000">
      <w:r>
        <w:t>Knowledge is an initial component of sexual violence prevention because it helps campus members distinguish acts of sexual violence from behavior that does not violate personal boundaries. Research on students’ understanding of sexual violence indicates that knowledge of the forms of sexual violence and reporting mechanisms remains an important need within university settings (Khafsoh &amp; Suhairi, 2021). The attitudes of members of the academic community determine whether victims receive support or instead experience further victimization through stigma and victim-blaming. Studies on the implementation of sexual violence prevention and response policies show that acceptance among members of the academic community is an important factor in the successful implementation of such policies (Noer et al., 2022). Research on sexual violence prevention in higher education also demonstrates that educational interventions can strengthen students’ awareness and ability to respond to issues of sexual violence (Schneider &amp; Hirsch, 2020).</w:t>
      </w:r>
    </w:p>
    <w:p w14:paraId="01AA0CAE" w14:textId="77777777" w:rsidR="001E3D75" w:rsidRDefault="00000000">
      <w:pPr>
        <w:pStyle w:val="JPSSHeading2"/>
        <w:keepNext/>
      </w:pPr>
      <w:r>
        <w:lastRenderedPageBreak/>
        <w:t>Curriculum, Teaching Materials, and Learning as Strategies for Sexual Violence Prevention and Response</w:t>
      </w:r>
    </w:p>
    <w:p w14:paraId="73B51E6A" w14:textId="77777777" w:rsidR="001E3D75" w:rsidRDefault="00000000">
      <w:r>
        <w:t>The curriculum has a strategic role in preventing sexual violence in higher education. A curriculum does not merely function as a list of courses but also as an instrument for developing students’ knowledge, values, attitudes, and competencies. Through the curriculum, issues related to sexual violence can be incorporated into learning outcomes, course content, teaching methods, and assessment. Sexual violence prevention and response may be integrated explicitly through specific courses or incorporated across various interdisciplinary subjects. The concept of an integrated curriculum emphasizes that social issues can be embedded in learning activities to enable students to understand problems contextually and through a multidisciplinary perspective (Yusran et al., 2018).</w:t>
      </w:r>
    </w:p>
    <w:p w14:paraId="065CB2FC" w14:textId="77777777" w:rsidR="001E3D75" w:rsidRDefault="00000000">
      <w:r>
        <w:t xml:space="preserve">Teaching materials and learning processes are important instruments for strengthening the academic community’s understanding of sexual violence prevention and response. Teaching materials may include the concept of sexual violence, its various forms, power relations, consent, victims’ rights, reporting procedures, and assistance mechanisms. Studies concerning the integration of gender and reproductive health issues show that teaching materials can serve as an important medium for developing students’ critical awareness (Yusran et al., 2022). Learning activities may be conducted through case discussions, problem-based learning, role-playing, critical reflection, reporting simulations, and collaborative learning. Evaluations of sexual violence education indicate that instructional interventions can increase students’ awareness of sexual violence and improve their understanding of victims’ experiences (Kennedy et al., 2013). Comprehensive education on sexuality and sexual violence is also relevant as a prevention strategy because it can develop a critical understanding of relationships, consent, and social responsibility (Schneider &amp; Hirsch, 2020). The prevention of sexual violence among university students also requires a </w:t>
      </w:r>
      <w:r>
        <w:lastRenderedPageBreak/>
        <w:t>sustainable approach that connects education, behavioral change, institutional support, and the evaluation of prevention programs (Bonar et al., 2022).</w:t>
      </w:r>
    </w:p>
    <w:p w14:paraId="2D4B30E9" w14:textId="77777777" w:rsidR="001E3D75" w:rsidRDefault="00000000">
      <w:pPr>
        <w:pStyle w:val="JPSSHeading1"/>
        <w:keepNext/>
      </w:pPr>
      <w:r>
        <w:t>Methods</w:t>
      </w:r>
    </w:p>
    <w:p w14:paraId="38A0196F" w14:textId="77777777" w:rsidR="001E3D75" w:rsidRDefault="00000000">
      <w:pPr>
        <w:pStyle w:val="JPSSHeading2"/>
        <w:keepNext/>
      </w:pPr>
      <w:r>
        <w:t>Study Design and Setting</w:t>
      </w:r>
    </w:p>
    <w:p w14:paraId="70FC9967" w14:textId="77777777" w:rsidR="001E3D75" w:rsidRDefault="00000000">
      <w:r>
        <w:t>This mixed-methods study integrated quantitative and qualitative data. The quantitative component described respondent characteristics, campus community members’ understanding of sexual violence, reporting experiences, and access to sexual violence prevention and response mechanisms. The qualitative component examined how power relations, the normalization of sexually inappropriate conduct, campus responses, and weaknesses in reporting mechanisms contributed to a culture of silence. The study was conducted at three Indonesian universities.</w:t>
      </w:r>
    </w:p>
    <w:p w14:paraId="2595FBB5" w14:textId="77777777" w:rsidR="001E3D75" w:rsidRDefault="00000000">
      <w:pPr>
        <w:pStyle w:val="JPSSHeading2"/>
        <w:keepNext/>
      </w:pPr>
      <w:r>
        <w:t>Participants and Data Collection</w:t>
      </w:r>
    </w:p>
    <w:p w14:paraId="05E608D4" w14:textId="77777777" w:rsidR="001E3D75" w:rsidRDefault="00000000">
      <w:r>
        <w:t>Participants included students, lecturers, and administrative staff from the three participating universities. The survey respondent distribution is presented in Table 1. In addition, 35 participants took part in focus group discussions, and 12 informants participated in in-depth interviews. The interview informants included university leaders, heads of study programs, and individuals involved in course management or the formulation and implementation of campus policies. Data were collected through surveys, in-depth interviews, focus group discussions, observations, and document reviews. Surveys generated quantitative data, whereas interviews, focus group discussions, observations, and document reviews generated qualitative data concerning institutional policies, reporting mechanisms, and the integration of sexual violence issues into teaching and learning.</w:t>
      </w:r>
    </w:p>
    <w:p w14:paraId="64ED57B9" w14:textId="77777777" w:rsidR="001E3D75" w:rsidRDefault="00000000">
      <w:pPr>
        <w:pStyle w:val="JPSSHeading2"/>
        <w:keepNext/>
      </w:pPr>
      <w:r>
        <w:lastRenderedPageBreak/>
        <w:t>Data Analysis and Integration</w:t>
      </w:r>
    </w:p>
    <w:p w14:paraId="004B4295" w14:textId="77777777" w:rsidR="001E3D75" w:rsidRDefault="00000000">
      <w:r>
        <w:t>Survey data were analyzed descriptively using frequencies and percentages. Qualitative data were analyzed through data categorization, thematic mapping, content analysis, pattern identification, and interpretation of interview, focus group discussion, observation, and document-review data. Source, method, and time triangulation were used to strengthen the credibility of the findings. Quantitative and qualitative findings were subsequently integrated to map the relationships among power relations, the normalization of sexually inappropriate conduct, campus community literacy, access to reporting mechanisms, and the formation of a culture of silence in higher education.</w:t>
      </w:r>
    </w:p>
    <w:p w14:paraId="6245F098" w14:textId="77777777" w:rsidR="001E3D75" w:rsidRDefault="00000000">
      <w:pPr>
        <w:pStyle w:val="JPSSHeading2"/>
        <w:keepNext/>
      </w:pPr>
      <w:r>
        <w:t>Ethical Considerations</w:t>
      </w:r>
    </w:p>
    <w:p w14:paraId="302BE657" w14:textId="77777777" w:rsidR="001E3D75" w:rsidRDefault="00000000">
      <w:r>
        <w:t>This study was approved by the Health Research Ethics Committee of the Institute for Research and Community Service, Universitas Halu Oleo (Komisi Etik Penelitian Kesehatan, Lembaga Penelitian dan Pengabdian kepada Masyarakat, Universitas Halu Oleo), under Ethical Clearance No. 542/UN29.20.1.2/PG/2022, dated April 20, 2022. The approved protocol was entitled "Prevention and Handling of Sexual Violence in Higher Education Through Curriculum, Teaching Materials, and Learning: A Case Study." All participants were informed about the study objectives, the voluntary nature of participation, and their right to withdraw. Survey, interview, focus group discussion, observation, and document-review data were handled confidentially and anonymized for analysis and reporting.</w:t>
      </w:r>
    </w:p>
    <w:p w14:paraId="1F3067C8" w14:textId="77777777" w:rsidR="001E3D75" w:rsidRDefault="00000000">
      <w:pPr>
        <w:pStyle w:val="JPSSHeading2"/>
        <w:keepNext/>
      </w:pPr>
      <w:r>
        <w:t>AI-Assisted Language Editing</w:t>
      </w:r>
    </w:p>
    <w:p w14:paraId="1F0A24C5" w14:textId="7674045E" w:rsidR="001E3D75" w:rsidRDefault="00000000">
      <w:r>
        <w:t>The authors acknowledge the use of ChatGPT (OpenAI) for language editing. The authors reviewed and approved the final manuscript and remain responsible for its accuracy, interpretation, and integrity.</w:t>
      </w:r>
    </w:p>
    <w:p w14:paraId="63316D7C" w14:textId="77777777" w:rsidR="001E3D75" w:rsidRDefault="00000000">
      <w:pPr>
        <w:pStyle w:val="JPSSHeading1"/>
        <w:keepNext/>
      </w:pPr>
      <w:r>
        <w:lastRenderedPageBreak/>
        <w:t>Results and Discussion</w:t>
      </w:r>
    </w:p>
    <w:p w14:paraId="7A4218AB" w14:textId="77777777" w:rsidR="001E3D75" w:rsidRDefault="00000000">
      <w:pPr>
        <w:pStyle w:val="JPSSHeading2"/>
        <w:keepNext/>
      </w:pPr>
      <w:r>
        <w:t>Respondent Characteristics</w:t>
      </w:r>
    </w:p>
    <w:p w14:paraId="54B9442B" w14:textId="6E37A64D" w:rsidR="001E3D75" w:rsidRDefault="00000000">
      <w:r>
        <w:t>This study involved members of the academic communities of University A, University B, and University C. The respondents consisted of students, lecturers, and administrative staff. The participation of these three groups was necessary to obtain a comprehensive overview of campus community members’ understanding and experiences regarding the prevention, handling, and reporting of sexual violence. Based on the collected data, female respondents outnumbered male respondents. The respondents were also predominantly under 25 years of age and were mostly students.</w:t>
      </w:r>
    </w:p>
    <w:p w14:paraId="6278FCC3" w14:textId="77777777" w:rsidR="001E3D75" w:rsidRDefault="00000000">
      <w:pPr>
        <w:pStyle w:val="JPSSCaption"/>
        <w:keepNext/>
      </w:pPr>
      <w:r>
        <w:rPr>
          <w:rFonts w:cs="Times New Roman"/>
          <w:b/>
        </w:rPr>
        <w:t>Table 1:</w:t>
      </w:r>
      <w:r>
        <w:rPr>
          <w:rFonts w:cs="Times New Roman"/>
        </w:rPr>
        <w:t xml:space="preserve"> Respondent Characteristics</w:t>
      </w:r>
    </w:p>
    <w:tbl>
      <w:tblPr>
        <w:tblStyle w:val="TableGrid"/>
        <w:tblW w:w="0" w:type="auto"/>
        <w:jc w:val="center"/>
        <w:tblLayout w:type="fixed"/>
        <w:tblLook w:val="04A0" w:firstRow="1" w:lastRow="0" w:firstColumn="1" w:lastColumn="0" w:noHBand="0" w:noVBand="1"/>
      </w:tblPr>
      <w:tblGrid>
        <w:gridCol w:w="4608"/>
        <w:gridCol w:w="1468"/>
        <w:gridCol w:w="1468"/>
        <w:gridCol w:w="1468"/>
      </w:tblGrid>
      <w:tr w:rsidR="001E3D75" w14:paraId="4CCDB49D" w14:textId="77777777">
        <w:trPr>
          <w:tblHeader/>
          <w:jc w:val="center"/>
        </w:trPr>
        <w:tc>
          <w:tcPr>
            <w:tcW w:w="4608" w:type="dxa"/>
            <w:tcBorders>
              <w:top w:val="single" w:sz="8" w:space="0" w:color="000000"/>
              <w:left w:val="nil"/>
              <w:bottom w:val="single" w:sz="8" w:space="0" w:color="000000"/>
              <w:right w:val="nil"/>
            </w:tcBorders>
            <w:shd w:val="clear" w:color="auto" w:fill="E7E6E6"/>
            <w:vAlign w:val="center"/>
          </w:tcPr>
          <w:p w14:paraId="5685A832" w14:textId="77777777" w:rsidR="001E3D75" w:rsidRDefault="00000000">
            <w:pPr>
              <w:spacing w:line="240" w:lineRule="auto"/>
              <w:ind w:firstLine="0"/>
              <w:jc w:val="center"/>
            </w:pPr>
            <w:r>
              <w:rPr>
                <w:b/>
              </w:rPr>
              <w:t>Characteristic</w:t>
            </w:r>
          </w:p>
        </w:tc>
        <w:tc>
          <w:tcPr>
            <w:tcW w:w="1468" w:type="dxa"/>
            <w:tcBorders>
              <w:top w:val="single" w:sz="8" w:space="0" w:color="000000"/>
              <w:left w:val="nil"/>
              <w:bottom w:val="single" w:sz="8" w:space="0" w:color="000000"/>
              <w:right w:val="nil"/>
            </w:tcBorders>
            <w:shd w:val="clear" w:color="auto" w:fill="E7E6E6"/>
            <w:vAlign w:val="center"/>
          </w:tcPr>
          <w:p w14:paraId="60925A75" w14:textId="77777777" w:rsidR="001E3D75" w:rsidRDefault="00000000">
            <w:pPr>
              <w:spacing w:line="240" w:lineRule="auto"/>
              <w:ind w:firstLine="0"/>
              <w:jc w:val="center"/>
            </w:pPr>
            <w:r>
              <w:rPr>
                <w:b/>
              </w:rPr>
              <w:t>University A</w:t>
            </w:r>
          </w:p>
        </w:tc>
        <w:tc>
          <w:tcPr>
            <w:tcW w:w="1468" w:type="dxa"/>
            <w:tcBorders>
              <w:top w:val="single" w:sz="8" w:space="0" w:color="000000"/>
              <w:left w:val="nil"/>
              <w:bottom w:val="single" w:sz="8" w:space="0" w:color="000000"/>
              <w:right w:val="nil"/>
            </w:tcBorders>
            <w:shd w:val="clear" w:color="auto" w:fill="E7E6E6"/>
            <w:vAlign w:val="center"/>
          </w:tcPr>
          <w:p w14:paraId="69A5219A" w14:textId="77777777" w:rsidR="001E3D75" w:rsidRDefault="00000000">
            <w:pPr>
              <w:spacing w:line="240" w:lineRule="auto"/>
              <w:ind w:firstLine="0"/>
              <w:jc w:val="center"/>
            </w:pPr>
            <w:r>
              <w:rPr>
                <w:b/>
              </w:rPr>
              <w:t>University B</w:t>
            </w:r>
          </w:p>
        </w:tc>
        <w:tc>
          <w:tcPr>
            <w:tcW w:w="1468" w:type="dxa"/>
            <w:tcBorders>
              <w:top w:val="single" w:sz="8" w:space="0" w:color="000000"/>
              <w:left w:val="nil"/>
              <w:bottom w:val="single" w:sz="8" w:space="0" w:color="000000"/>
              <w:right w:val="nil"/>
            </w:tcBorders>
            <w:shd w:val="clear" w:color="auto" w:fill="E7E6E6"/>
            <w:vAlign w:val="center"/>
          </w:tcPr>
          <w:p w14:paraId="7F070EBF" w14:textId="77777777" w:rsidR="001E3D75" w:rsidRDefault="00000000">
            <w:pPr>
              <w:spacing w:line="240" w:lineRule="auto"/>
              <w:ind w:firstLine="0"/>
              <w:jc w:val="center"/>
            </w:pPr>
            <w:r>
              <w:rPr>
                <w:b/>
              </w:rPr>
              <w:t>University C</w:t>
            </w:r>
          </w:p>
        </w:tc>
      </w:tr>
      <w:tr w:rsidR="001E3D75" w14:paraId="2CDA3EC1" w14:textId="77777777">
        <w:trPr>
          <w:cantSplit/>
          <w:jc w:val="center"/>
        </w:trPr>
        <w:tc>
          <w:tcPr>
            <w:tcW w:w="4608" w:type="dxa"/>
            <w:tcBorders>
              <w:top w:val="nil"/>
              <w:left w:val="nil"/>
              <w:bottom w:val="nil"/>
              <w:right w:val="nil"/>
            </w:tcBorders>
            <w:shd w:val="clear" w:color="auto" w:fill="F2F2F2"/>
            <w:vAlign w:val="center"/>
          </w:tcPr>
          <w:p w14:paraId="0A96D55D" w14:textId="77777777" w:rsidR="001E3D75" w:rsidRDefault="00000000">
            <w:pPr>
              <w:spacing w:line="240" w:lineRule="auto"/>
              <w:ind w:firstLine="0"/>
              <w:jc w:val="left"/>
            </w:pPr>
            <w:r>
              <w:rPr>
                <w:b/>
              </w:rPr>
              <w:t>Sex</w:t>
            </w:r>
          </w:p>
        </w:tc>
        <w:tc>
          <w:tcPr>
            <w:tcW w:w="1468" w:type="dxa"/>
            <w:tcBorders>
              <w:top w:val="nil"/>
              <w:left w:val="nil"/>
              <w:bottom w:val="nil"/>
              <w:right w:val="nil"/>
            </w:tcBorders>
            <w:shd w:val="clear" w:color="auto" w:fill="F2F2F2"/>
            <w:vAlign w:val="center"/>
          </w:tcPr>
          <w:p w14:paraId="5783FA98" w14:textId="77777777" w:rsidR="001E3D75" w:rsidRDefault="001E3D75">
            <w:pPr>
              <w:spacing w:line="240" w:lineRule="auto"/>
              <w:ind w:firstLine="0"/>
              <w:jc w:val="center"/>
            </w:pPr>
          </w:p>
        </w:tc>
        <w:tc>
          <w:tcPr>
            <w:tcW w:w="1468" w:type="dxa"/>
            <w:tcBorders>
              <w:top w:val="nil"/>
              <w:left w:val="nil"/>
              <w:bottom w:val="nil"/>
              <w:right w:val="nil"/>
            </w:tcBorders>
            <w:shd w:val="clear" w:color="auto" w:fill="F2F2F2"/>
            <w:vAlign w:val="center"/>
          </w:tcPr>
          <w:p w14:paraId="7D3180B1" w14:textId="77777777" w:rsidR="001E3D75" w:rsidRDefault="001E3D75">
            <w:pPr>
              <w:spacing w:line="240" w:lineRule="auto"/>
              <w:ind w:firstLine="0"/>
              <w:jc w:val="center"/>
            </w:pPr>
          </w:p>
        </w:tc>
        <w:tc>
          <w:tcPr>
            <w:tcW w:w="1468" w:type="dxa"/>
            <w:tcBorders>
              <w:top w:val="nil"/>
              <w:left w:val="nil"/>
              <w:bottom w:val="nil"/>
              <w:right w:val="nil"/>
            </w:tcBorders>
            <w:shd w:val="clear" w:color="auto" w:fill="F2F2F2"/>
            <w:vAlign w:val="center"/>
          </w:tcPr>
          <w:p w14:paraId="6F230095" w14:textId="77777777" w:rsidR="001E3D75" w:rsidRDefault="001E3D75">
            <w:pPr>
              <w:spacing w:line="240" w:lineRule="auto"/>
              <w:ind w:firstLine="0"/>
              <w:jc w:val="center"/>
            </w:pPr>
          </w:p>
        </w:tc>
      </w:tr>
      <w:tr w:rsidR="001E3D75" w14:paraId="33C60603" w14:textId="77777777">
        <w:trPr>
          <w:cantSplit/>
          <w:jc w:val="center"/>
        </w:trPr>
        <w:tc>
          <w:tcPr>
            <w:tcW w:w="4608" w:type="dxa"/>
            <w:tcBorders>
              <w:top w:val="nil"/>
              <w:left w:val="nil"/>
              <w:bottom w:val="nil"/>
              <w:right w:val="nil"/>
            </w:tcBorders>
            <w:vAlign w:val="center"/>
          </w:tcPr>
          <w:p w14:paraId="4BA637DF" w14:textId="77777777" w:rsidR="001E3D75" w:rsidRDefault="00000000">
            <w:pPr>
              <w:spacing w:line="240" w:lineRule="auto"/>
              <w:ind w:firstLine="0"/>
              <w:jc w:val="left"/>
            </w:pPr>
            <w:r>
              <w:t>Male</w:t>
            </w:r>
          </w:p>
        </w:tc>
        <w:tc>
          <w:tcPr>
            <w:tcW w:w="1468" w:type="dxa"/>
            <w:tcBorders>
              <w:top w:val="nil"/>
              <w:left w:val="nil"/>
              <w:bottom w:val="nil"/>
              <w:right w:val="nil"/>
            </w:tcBorders>
            <w:vAlign w:val="center"/>
          </w:tcPr>
          <w:p w14:paraId="42BA43F9" w14:textId="77777777" w:rsidR="001E3D75" w:rsidRDefault="00000000">
            <w:pPr>
              <w:spacing w:line="240" w:lineRule="auto"/>
              <w:ind w:firstLine="0"/>
              <w:jc w:val="center"/>
            </w:pPr>
            <w:r>
              <w:t>64</w:t>
            </w:r>
          </w:p>
        </w:tc>
        <w:tc>
          <w:tcPr>
            <w:tcW w:w="1468" w:type="dxa"/>
            <w:tcBorders>
              <w:top w:val="nil"/>
              <w:left w:val="nil"/>
              <w:bottom w:val="nil"/>
              <w:right w:val="nil"/>
            </w:tcBorders>
            <w:vAlign w:val="center"/>
          </w:tcPr>
          <w:p w14:paraId="7ECE78C0" w14:textId="77777777" w:rsidR="001E3D75" w:rsidRDefault="00000000">
            <w:pPr>
              <w:spacing w:line="240" w:lineRule="auto"/>
              <w:ind w:firstLine="0"/>
              <w:jc w:val="center"/>
            </w:pPr>
            <w:r>
              <w:t>71</w:t>
            </w:r>
          </w:p>
        </w:tc>
        <w:tc>
          <w:tcPr>
            <w:tcW w:w="1468" w:type="dxa"/>
            <w:tcBorders>
              <w:top w:val="nil"/>
              <w:left w:val="nil"/>
              <w:bottom w:val="nil"/>
              <w:right w:val="nil"/>
            </w:tcBorders>
            <w:vAlign w:val="center"/>
          </w:tcPr>
          <w:p w14:paraId="51FB6106" w14:textId="77777777" w:rsidR="001E3D75" w:rsidRDefault="00000000">
            <w:pPr>
              <w:spacing w:line="240" w:lineRule="auto"/>
              <w:ind w:firstLine="0"/>
              <w:jc w:val="center"/>
            </w:pPr>
            <w:r>
              <w:t>25</w:t>
            </w:r>
          </w:p>
        </w:tc>
      </w:tr>
      <w:tr w:rsidR="001E3D75" w14:paraId="5FCC3B68" w14:textId="77777777">
        <w:trPr>
          <w:cantSplit/>
          <w:jc w:val="center"/>
        </w:trPr>
        <w:tc>
          <w:tcPr>
            <w:tcW w:w="4608" w:type="dxa"/>
            <w:tcBorders>
              <w:top w:val="nil"/>
              <w:left w:val="nil"/>
              <w:bottom w:val="nil"/>
              <w:right w:val="nil"/>
            </w:tcBorders>
            <w:vAlign w:val="center"/>
          </w:tcPr>
          <w:p w14:paraId="4EE16AF8" w14:textId="77777777" w:rsidR="001E3D75" w:rsidRDefault="00000000">
            <w:pPr>
              <w:spacing w:line="240" w:lineRule="auto"/>
              <w:ind w:firstLine="0"/>
              <w:jc w:val="left"/>
            </w:pPr>
            <w:r>
              <w:t>Female</w:t>
            </w:r>
          </w:p>
        </w:tc>
        <w:tc>
          <w:tcPr>
            <w:tcW w:w="1468" w:type="dxa"/>
            <w:tcBorders>
              <w:top w:val="nil"/>
              <w:left w:val="nil"/>
              <w:bottom w:val="nil"/>
              <w:right w:val="nil"/>
            </w:tcBorders>
            <w:vAlign w:val="center"/>
          </w:tcPr>
          <w:p w14:paraId="38D189AE" w14:textId="77777777" w:rsidR="001E3D75" w:rsidRDefault="00000000">
            <w:pPr>
              <w:spacing w:line="240" w:lineRule="auto"/>
              <w:ind w:firstLine="0"/>
              <w:jc w:val="center"/>
            </w:pPr>
            <w:r>
              <w:t>124</w:t>
            </w:r>
          </w:p>
        </w:tc>
        <w:tc>
          <w:tcPr>
            <w:tcW w:w="1468" w:type="dxa"/>
            <w:tcBorders>
              <w:top w:val="nil"/>
              <w:left w:val="nil"/>
              <w:bottom w:val="nil"/>
              <w:right w:val="nil"/>
            </w:tcBorders>
            <w:vAlign w:val="center"/>
          </w:tcPr>
          <w:p w14:paraId="599BAD07" w14:textId="77777777" w:rsidR="001E3D75" w:rsidRDefault="00000000">
            <w:pPr>
              <w:spacing w:line="240" w:lineRule="auto"/>
              <w:ind w:firstLine="0"/>
              <w:jc w:val="center"/>
            </w:pPr>
            <w:r>
              <w:t>91</w:t>
            </w:r>
          </w:p>
        </w:tc>
        <w:tc>
          <w:tcPr>
            <w:tcW w:w="1468" w:type="dxa"/>
            <w:tcBorders>
              <w:top w:val="nil"/>
              <w:left w:val="nil"/>
              <w:bottom w:val="nil"/>
              <w:right w:val="nil"/>
            </w:tcBorders>
            <w:vAlign w:val="center"/>
          </w:tcPr>
          <w:p w14:paraId="4449D70F" w14:textId="77777777" w:rsidR="001E3D75" w:rsidRDefault="00000000">
            <w:pPr>
              <w:spacing w:line="240" w:lineRule="auto"/>
              <w:ind w:firstLine="0"/>
              <w:jc w:val="center"/>
            </w:pPr>
            <w:r>
              <w:t>82</w:t>
            </w:r>
          </w:p>
        </w:tc>
      </w:tr>
      <w:tr w:rsidR="001E3D75" w14:paraId="360D89A0" w14:textId="77777777">
        <w:trPr>
          <w:cantSplit/>
          <w:jc w:val="center"/>
        </w:trPr>
        <w:tc>
          <w:tcPr>
            <w:tcW w:w="4608" w:type="dxa"/>
            <w:tcBorders>
              <w:top w:val="nil"/>
              <w:left w:val="nil"/>
              <w:bottom w:val="nil"/>
              <w:right w:val="nil"/>
            </w:tcBorders>
            <w:vAlign w:val="center"/>
          </w:tcPr>
          <w:p w14:paraId="390FE045" w14:textId="77777777" w:rsidR="001E3D75" w:rsidRDefault="00000000">
            <w:pPr>
              <w:spacing w:line="240" w:lineRule="auto"/>
              <w:ind w:firstLine="0"/>
              <w:jc w:val="left"/>
            </w:pPr>
            <w:r>
              <w:t>Total</w:t>
            </w:r>
          </w:p>
        </w:tc>
        <w:tc>
          <w:tcPr>
            <w:tcW w:w="1468" w:type="dxa"/>
            <w:tcBorders>
              <w:top w:val="nil"/>
              <w:left w:val="nil"/>
              <w:bottom w:val="nil"/>
              <w:right w:val="nil"/>
            </w:tcBorders>
            <w:vAlign w:val="center"/>
          </w:tcPr>
          <w:p w14:paraId="311B8897" w14:textId="77777777" w:rsidR="001E3D75" w:rsidRDefault="00000000">
            <w:pPr>
              <w:spacing w:line="240" w:lineRule="auto"/>
              <w:ind w:firstLine="0"/>
              <w:jc w:val="center"/>
            </w:pPr>
            <w:r>
              <w:t>188</w:t>
            </w:r>
          </w:p>
        </w:tc>
        <w:tc>
          <w:tcPr>
            <w:tcW w:w="1468" w:type="dxa"/>
            <w:tcBorders>
              <w:top w:val="nil"/>
              <w:left w:val="nil"/>
              <w:bottom w:val="nil"/>
              <w:right w:val="nil"/>
            </w:tcBorders>
            <w:vAlign w:val="center"/>
          </w:tcPr>
          <w:p w14:paraId="0853D450" w14:textId="77777777" w:rsidR="001E3D75" w:rsidRDefault="00000000">
            <w:pPr>
              <w:spacing w:line="240" w:lineRule="auto"/>
              <w:ind w:firstLine="0"/>
              <w:jc w:val="center"/>
            </w:pPr>
            <w:r>
              <w:t>162</w:t>
            </w:r>
          </w:p>
        </w:tc>
        <w:tc>
          <w:tcPr>
            <w:tcW w:w="1468" w:type="dxa"/>
            <w:tcBorders>
              <w:top w:val="nil"/>
              <w:left w:val="nil"/>
              <w:bottom w:val="nil"/>
              <w:right w:val="nil"/>
            </w:tcBorders>
            <w:vAlign w:val="center"/>
          </w:tcPr>
          <w:p w14:paraId="1304B12B" w14:textId="77777777" w:rsidR="001E3D75" w:rsidRDefault="00000000">
            <w:pPr>
              <w:spacing w:line="240" w:lineRule="auto"/>
              <w:ind w:firstLine="0"/>
              <w:jc w:val="center"/>
            </w:pPr>
            <w:r>
              <w:t>107</w:t>
            </w:r>
          </w:p>
        </w:tc>
      </w:tr>
      <w:tr w:rsidR="001E3D75" w14:paraId="7B0502C5" w14:textId="77777777">
        <w:trPr>
          <w:cantSplit/>
          <w:jc w:val="center"/>
        </w:trPr>
        <w:tc>
          <w:tcPr>
            <w:tcW w:w="4608" w:type="dxa"/>
            <w:tcBorders>
              <w:top w:val="nil"/>
              <w:left w:val="nil"/>
              <w:bottom w:val="nil"/>
              <w:right w:val="nil"/>
            </w:tcBorders>
            <w:shd w:val="clear" w:color="auto" w:fill="F2F2F2"/>
            <w:vAlign w:val="center"/>
          </w:tcPr>
          <w:p w14:paraId="40659225" w14:textId="77777777" w:rsidR="001E3D75" w:rsidRDefault="00000000">
            <w:pPr>
              <w:spacing w:line="240" w:lineRule="auto"/>
              <w:ind w:firstLine="0"/>
              <w:jc w:val="left"/>
            </w:pPr>
            <w:r>
              <w:rPr>
                <w:b/>
              </w:rPr>
              <w:t>Age</w:t>
            </w:r>
          </w:p>
        </w:tc>
        <w:tc>
          <w:tcPr>
            <w:tcW w:w="1468" w:type="dxa"/>
            <w:tcBorders>
              <w:top w:val="nil"/>
              <w:left w:val="nil"/>
              <w:bottom w:val="nil"/>
              <w:right w:val="nil"/>
            </w:tcBorders>
            <w:shd w:val="clear" w:color="auto" w:fill="F2F2F2"/>
            <w:vAlign w:val="center"/>
          </w:tcPr>
          <w:p w14:paraId="13A4792D" w14:textId="77777777" w:rsidR="001E3D75" w:rsidRDefault="001E3D75">
            <w:pPr>
              <w:spacing w:line="240" w:lineRule="auto"/>
              <w:ind w:firstLine="0"/>
              <w:jc w:val="center"/>
            </w:pPr>
          </w:p>
        </w:tc>
        <w:tc>
          <w:tcPr>
            <w:tcW w:w="1468" w:type="dxa"/>
            <w:tcBorders>
              <w:top w:val="nil"/>
              <w:left w:val="nil"/>
              <w:bottom w:val="nil"/>
              <w:right w:val="nil"/>
            </w:tcBorders>
            <w:shd w:val="clear" w:color="auto" w:fill="F2F2F2"/>
            <w:vAlign w:val="center"/>
          </w:tcPr>
          <w:p w14:paraId="27C95DC2" w14:textId="77777777" w:rsidR="001E3D75" w:rsidRDefault="001E3D75">
            <w:pPr>
              <w:spacing w:line="240" w:lineRule="auto"/>
              <w:ind w:firstLine="0"/>
              <w:jc w:val="center"/>
            </w:pPr>
          </w:p>
        </w:tc>
        <w:tc>
          <w:tcPr>
            <w:tcW w:w="1468" w:type="dxa"/>
            <w:tcBorders>
              <w:top w:val="nil"/>
              <w:left w:val="nil"/>
              <w:bottom w:val="nil"/>
              <w:right w:val="nil"/>
            </w:tcBorders>
            <w:shd w:val="clear" w:color="auto" w:fill="F2F2F2"/>
            <w:vAlign w:val="center"/>
          </w:tcPr>
          <w:p w14:paraId="731EADF8" w14:textId="77777777" w:rsidR="001E3D75" w:rsidRDefault="001E3D75">
            <w:pPr>
              <w:spacing w:line="240" w:lineRule="auto"/>
              <w:ind w:firstLine="0"/>
              <w:jc w:val="center"/>
            </w:pPr>
          </w:p>
        </w:tc>
      </w:tr>
      <w:tr w:rsidR="001E3D75" w14:paraId="01944E3A" w14:textId="77777777">
        <w:trPr>
          <w:cantSplit/>
          <w:jc w:val="center"/>
        </w:trPr>
        <w:tc>
          <w:tcPr>
            <w:tcW w:w="4608" w:type="dxa"/>
            <w:tcBorders>
              <w:top w:val="nil"/>
              <w:left w:val="nil"/>
              <w:bottom w:val="nil"/>
              <w:right w:val="nil"/>
            </w:tcBorders>
            <w:vAlign w:val="center"/>
          </w:tcPr>
          <w:p w14:paraId="0A482D31" w14:textId="77777777" w:rsidR="001E3D75" w:rsidRDefault="00000000">
            <w:pPr>
              <w:spacing w:line="240" w:lineRule="auto"/>
              <w:ind w:firstLine="0"/>
              <w:jc w:val="left"/>
            </w:pPr>
            <w:r>
              <w:t>&lt; 25</w:t>
            </w:r>
          </w:p>
        </w:tc>
        <w:tc>
          <w:tcPr>
            <w:tcW w:w="1468" w:type="dxa"/>
            <w:tcBorders>
              <w:top w:val="nil"/>
              <w:left w:val="nil"/>
              <w:bottom w:val="nil"/>
              <w:right w:val="nil"/>
            </w:tcBorders>
            <w:vAlign w:val="center"/>
          </w:tcPr>
          <w:p w14:paraId="0DFA5A64" w14:textId="77777777" w:rsidR="001E3D75" w:rsidRDefault="00000000">
            <w:pPr>
              <w:spacing w:line="240" w:lineRule="auto"/>
              <w:ind w:firstLine="0"/>
              <w:jc w:val="center"/>
            </w:pPr>
            <w:r>
              <w:t>112</w:t>
            </w:r>
          </w:p>
        </w:tc>
        <w:tc>
          <w:tcPr>
            <w:tcW w:w="1468" w:type="dxa"/>
            <w:tcBorders>
              <w:top w:val="nil"/>
              <w:left w:val="nil"/>
              <w:bottom w:val="nil"/>
              <w:right w:val="nil"/>
            </w:tcBorders>
            <w:vAlign w:val="center"/>
          </w:tcPr>
          <w:p w14:paraId="586A5A89" w14:textId="77777777" w:rsidR="001E3D75" w:rsidRDefault="00000000">
            <w:pPr>
              <w:spacing w:line="240" w:lineRule="auto"/>
              <w:ind w:firstLine="0"/>
              <w:jc w:val="center"/>
            </w:pPr>
            <w:r>
              <w:t>122</w:t>
            </w:r>
          </w:p>
        </w:tc>
        <w:tc>
          <w:tcPr>
            <w:tcW w:w="1468" w:type="dxa"/>
            <w:tcBorders>
              <w:top w:val="nil"/>
              <w:left w:val="nil"/>
              <w:bottom w:val="nil"/>
              <w:right w:val="nil"/>
            </w:tcBorders>
            <w:vAlign w:val="center"/>
          </w:tcPr>
          <w:p w14:paraId="03201A0E" w14:textId="77777777" w:rsidR="001E3D75" w:rsidRDefault="00000000">
            <w:pPr>
              <w:spacing w:line="240" w:lineRule="auto"/>
              <w:ind w:firstLine="0"/>
              <w:jc w:val="center"/>
            </w:pPr>
            <w:r>
              <w:t>80</w:t>
            </w:r>
          </w:p>
        </w:tc>
      </w:tr>
      <w:tr w:rsidR="001E3D75" w14:paraId="3B51F6EE" w14:textId="77777777">
        <w:trPr>
          <w:cantSplit/>
          <w:jc w:val="center"/>
        </w:trPr>
        <w:tc>
          <w:tcPr>
            <w:tcW w:w="4608" w:type="dxa"/>
            <w:tcBorders>
              <w:top w:val="nil"/>
              <w:left w:val="nil"/>
              <w:bottom w:val="nil"/>
              <w:right w:val="nil"/>
            </w:tcBorders>
            <w:vAlign w:val="center"/>
          </w:tcPr>
          <w:p w14:paraId="3189B0F5" w14:textId="77777777" w:rsidR="001E3D75" w:rsidRDefault="00000000">
            <w:pPr>
              <w:spacing w:line="240" w:lineRule="auto"/>
              <w:ind w:firstLine="0"/>
              <w:jc w:val="left"/>
            </w:pPr>
            <w:r>
              <w:t>25–40</w:t>
            </w:r>
          </w:p>
        </w:tc>
        <w:tc>
          <w:tcPr>
            <w:tcW w:w="1468" w:type="dxa"/>
            <w:tcBorders>
              <w:top w:val="nil"/>
              <w:left w:val="nil"/>
              <w:bottom w:val="nil"/>
              <w:right w:val="nil"/>
            </w:tcBorders>
            <w:vAlign w:val="center"/>
          </w:tcPr>
          <w:p w14:paraId="0A568616" w14:textId="77777777" w:rsidR="001E3D75" w:rsidRDefault="00000000">
            <w:pPr>
              <w:spacing w:line="240" w:lineRule="auto"/>
              <w:ind w:firstLine="0"/>
              <w:jc w:val="center"/>
            </w:pPr>
            <w:r>
              <w:t>51</w:t>
            </w:r>
          </w:p>
        </w:tc>
        <w:tc>
          <w:tcPr>
            <w:tcW w:w="1468" w:type="dxa"/>
            <w:tcBorders>
              <w:top w:val="nil"/>
              <w:left w:val="nil"/>
              <w:bottom w:val="nil"/>
              <w:right w:val="nil"/>
            </w:tcBorders>
            <w:vAlign w:val="center"/>
          </w:tcPr>
          <w:p w14:paraId="3462AD95" w14:textId="77777777" w:rsidR="001E3D75" w:rsidRDefault="00000000">
            <w:pPr>
              <w:spacing w:line="240" w:lineRule="auto"/>
              <w:ind w:firstLine="0"/>
              <w:jc w:val="center"/>
            </w:pPr>
            <w:r>
              <w:t>13</w:t>
            </w:r>
          </w:p>
        </w:tc>
        <w:tc>
          <w:tcPr>
            <w:tcW w:w="1468" w:type="dxa"/>
            <w:tcBorders>
              <w:top w:val="nil"/>
              <w:left w:val="nil"/>
              <w:bottom w:val="nil"/>
              <w:right w:val="nil"/>
            </w:tcBorders>
            <w:vAlign w:val="center"/>
          </w:tcPr>
          <w:p w14:paraId="48A9F612" w14:textId="77777777" w:rsidR="001E3D75" w:rsidRDefault="00000000">
            <w:pPr>
              <w:spacing w:line="240" w:lineRule="auto"/>
              <w:ind w:firstLine="0"/>
              <w:jc w:val="center"/>
            </w:pPr>
            <w:r>
              <w:t>15</w:t>
            </w:r>
          </w:p>
        </w:tc>
      </w:tr>
      <w:tr w:rsidR="001E3D75" w14:paraId="41785F52" w14:textId="77777777">
        <w:trPr>
          <w:cantSplit/>
          <w:jc w:val="center"/>
        </w:trPr>
        <w:tc>
          <w:tcPr>
            <w:tcW w:w="4608" w:type="dxa"/>
            <w:tcBorders>
              <w:top w:val="nil"/>
              <w:left w:val="nil"/>
              <w:bottom w:val="nil"/>
              <w:right w:val="nil"/>
            </w:tcBorders>
            <w:vAlign w:val="center"/>
          </w:tcPr>
          <w:p w14:paraId="527AD749" w14:textId="77777777" w:rsidR="001E3D75" w:rsidRDefault="00000000">
            <w:pPr>
              <w:spacing w:line="240" w:lineRule="auto"/>
              <w:ind w:firstLine="0"/>
              <w:jc w:val="left"/>
            </w:pPr>
            <w:r>
              <w:t>41–55</w:t>
            </w:r>
          </w:p>
        </w:tc>
        <w:tc>
          <w:tcPr>
            <w:tcW w:w="1468" w:type="dxa"/>
            <w:tcBorders>
              <w:top w:val="nil"/>
              <w:left w:val="nil"/>
              <w:bottom w:val="nil"/>
              <w:right w:val="nil"/>
            </w:tcBorders>
            <w:vAlign w:val="center"/>
          </w:tcPr>
          <w:p w14:paraId="4DA1E8A8" w14:textId="77777777" w:rsidR="001E3D75" w:rsidRDefault="00000000">
            <w:pPr>
              <w:spacing w:line="240" w:lineRule="auto"/>
              <w:ind w:firstLine="0"/>
              <w:jc w:val="center"/>
            </w:pPr>
            <w:r>
              <w:t>22</w:t>
            </w:r>
          </w:p>
        </w:tc>
        <w:tc>
          <w:tcPr>
            <w:tcW w:w="1468" w:type="dxa"/>
            <w:tcBorders>
              <w:top w:val="nil"/>
              <w:left w:val="nil"/>
              <w:bottom w:val="nil"/>
              <w:right w:val="nil"/>
            </w:tcBorders>
            <w:vAlign w:val="center"/>
          </w:tcPr>
          <w:p w14:paraId="57674667" w14:textId="77777777" w:rsidR="001E3D75" w:rsidRDefault="00000000">
            <w:pPr>
              <w:spacing w:line="240" w:lineRule="auto"/>
              <w:ind w:firstLine="0"/>
              <w:jc w:val="center"/>
            </w:pPr>
            <w:r>
              <w:t>23</w:t>
            </w:r>
          </w:p>
        </w:tc>
        <w:tc>
          <w:tcPr>
            <w:tcW w:w="1468" w:type="dxa"/>
            <w:tcBorders>
              <w:top w:val="nil"/>
              <w:left w:val="nil"/>
              <w:bottom w:val="nil"/>
              <w:right w:val="nil"/>
            </w:tcBorders>
            <w:vAlign w:val="center"/>
          </w:tcPr>
          <w:p w14:paraId="3004C14C" w14:textId="77777777" w:rsidR="001E3D75" w:rsidRDefault="00000000">
            <w:pPr>
              <w:spacing w:line="240" w:lineRule="auto"/>
              <w:ind w:firstLine="0"/>
              <w:jc w:val="center"/>
            </w:pPr>
            <w:r>
              <w:t>10</w:t>
            </w:r>
          </w:p>
        </w:tc>
      </w:tr>
      <w:tr w:rsidR="001E3D75" w14:paraId="6B552263" w14:textId="77777777">
        <w:trPr>
          <w:cantSplit/>
          <w:jc w:val="center"/>
        </w:trPr>
        <w:tc>
          <w:tcPr>
            <w:tcW w:w="4608" w:type="dxa"/>
            <w:tcBorders>
              <w:top w:val="nil"/>
              <w:left w:val="nil"/>
              <w:bottom w:val="nil"/>
              <w:right w:val="nil"/>
            </w:tcBorders>
            <w:vAlign w:val="center"/>
          </w:tcPr>
          <w:p w14:paraId="41ED970B" w14:textId="77777777" w:rsidR="001E3D75" w:rsidRDefault="00000000">
            <w:pPr>
              <w:spacing w:line="240" w:lineRule="auto"/>
              <w:ind w:firstLine="0"/>
              <w:jc w:val="left"/>
            </w:pPr>
            <w:r>
              <w:t>&gt; 55</w:t>
            </w:r>
          </w:p>
        </w:tc>
        <w:tc>
          <w:tcPr>
            <w:tcW w:w="1468" w:type="dxa"/>
            <w:tcBorders>
              <w:top w:val="nil"/>
              <w:left w:val="nil"/>
              <w:bottom w:val="nil"/>
              <w:right w:val="nil"/>
            </w:tcBorders>
            <w:vAlign w:val="center"/>
          </w:tcPr>
          <w:p w14:paraId="52C85B0F" w14:textId="77777777" w:rsidR="001E3D75" w:rsidRDefault="00000000">
            <w:pPr>
              <w:spacing w:line="240" w:lineRule="auto"/>
              <w:ind w:firstLine="0"/>
              <w:jc w:val="center"/>
            </w:pPr>
            <w:r>
              <w:t>3</w:t>
            </w:r>
          </w:p>
        </w:tc>
        <w:tc>
          <w:tcPr>
            <w:tcW w:w="1468" w:type="dxa"/>
            <w:tcBorders>
              <w:top w:val="nil"/>
              <w:left w:val="nil"/>
              <w:bottom w:val="nil"/>
              <w:right w:val="nil"/>
            </w:tcBorders>
            <w:vAlign w:val="center"/>
          </w:tcPr>
          <w:p w14:paraId="6B5A3506" w14:textId="77777777" w:rsidR="001E3D75" w:rsidRDefault="00000000">
            <w:pPr>
              <w:spacing w:line="240" w:lineRule="auto"/>
              <w:ind w:firstLine="0"/>
              <w:jc w:val="center"/>
            </w:pPr>
            <w:r>
              <w:t>4</w:t>
            </w:r>
          </w:p>
        </w:tc>
        <w:tc>
          <w:tcPr>
            <w:tcW w:w="1468" w:type="dxa"/>
            <w:tcBorders>
              <w:top w:val="nil"/>
              <w:left w:val="nil"/>
              <w:bottom w:val="nil"/>
              <w:right w:val="nil"/>
            </w:tcBorders>
            <w:vAlign w:val="center"/>
          </w:tcPr>
          <w:p w14:paraId="7EB11A91" w14:textId="77777777" w:rsidR="001E3D75" w:rsidRDefault="00000000">
            <w:pPr>
              <w:spacing w:line="240" w:lineRule="auto"/>
              <w:ind w:firstLine="0"/>
              <w:jc w:val="center"/>
            </w:pPr>
            <w:r>
              <w:t>2</w:t>
            </w:r>
          </w:p>
        </w:tc>
      </w:tr>
      <w:tr w:rsidR="001E3D75" w14:paraId="5C1A4DF9" w14:textId="77777777">
        <w:trPr>
          <w:cantSplit/>
          <w:jc w:val="center"/>
        </w:trPr>
        <w:tc>
          <w:tcPr>
            <w:tcW w:w="4608" w:type="dxa"/>
            <w:tcBorders>
              <w:top w:val="nil"/>
              <w:left w:val="nil"/>
              <w:bottom w:val="nil"/>
              <w:right w:val="nil"/>
            </w:tcBorders>
            <w:vAlign w:val="center"/>
          </w:tcPr>
          <w:p w14:paraId="3C151797" w14:textId="77777777" w:rsidR="001E3D75" w:rsidRDefault="00000000">
            <w:pPr>
              <w:spacing w:line="240" w:lineRule="auto"/>
              <w:ind w:firstLine="0"/>
              <w:jc w:val="left"/>
            </w:pPr>
            <w:r>
              <w:t>Total</w:t>
            </w:r>
          </w:p>
        </w:tc>
        <w:tc>
          <w:tcPr>
            <w:tcW w:w="1468" w:type="dxa"/>
            <w:tcBorders>
              <w:top w:val="nil"/>
              <w:left w:val="nil"/>
              <w:bottom w:val="nil"/>
              <w:right w:val="nil"/>
            </w:tcBorders>
            <w:vAlign w:val="center"/>
          </w:tcPr>
          <w:p w14:paraId="1036DDCA" w14:textId="77777777" w:rsidR="001E3D75" w:rsidRDefault="00000000">
            <w:pPr>
              <w:spacing w:line="240" w:lineRule="auto"/>
              <w:ind w:firstLine="0"/>
              <w:jc w:val="center"/>
            </w:pPr>
            <w:r>
              <w:t>188</w:t>
            </w:r>
          </w:p>
        </w:tc>
        <w:tc>
          <w:tcPr>
            <w:tcW w:w="1468" w:type="dxa"/>
            <w:tcBorders>
              <w:top w:val="nil"/>
              <w:left w:val="nil"/>
              <w:bottom w:val="nil"/>
              <w:right w:val="nil"/>
            </w:tcBorders>
            <w:vAlign w:val="center"/>
          </w:tcPr>
          <w:p w14:paraId="23E7515F" w14:textId="77777777" w:rsidR="001E3D75" w:rsidRDefault="00000000">
            <w:pPr>
              <w:spacing w:line="240" w:lineRule="auto"/>
              <w:ind w:firstLine="0"/>
              <w:jc w:val="center"/>
            </w:pPr>
            <w:r>
              <w:t>162</w:t>
            </w:r>
          </w:p>
        </w:tc>
        <w:tc>
          <w:tcPr>
            <w:tcW w:w="1468" w:type="dxa"/>
            <w:tcBorders>
              <w:top w:val="nil"/>
              <w:left w:val="nil"/>
              <w:bottom w:val="nil"/>
              <w:right w:val="nil"/>
            </w:tcBorders>
            <w:vAlign w:val="center"/>
          </w:tcPr>
          <w:p w14:paraId="7C296BD2" w14:textId="77777777" w:rsidR="001E3D75" w:rsidRDefault="00000000">
            <w:pPr>
              <w:spacing w:line="240" w:lineRule="auto"/>
              <w:ind w:firstLine="0"/>
              <w:jc w:val="center"/>
            </w:pPr>
            <w:r>
              <w:t>107</w:t>
            </w:r>
          </w:p>
        </w:tc>
      </w:tr>
      <w:tr w:rsidR="001E3D75" w14:paraId="61751F51" w14:textId="77777777">
        <w:trPr>
          <w:cantSplit/>
          <w:jc w:val="center"/>
        </w:trPr>
        <w:tc>
          <w:tcPr>
            <w:tcW w:w="4608" w:type="dxa"/>
            <w:tcBorders>
              <w:top w:val="nil"/>
              <w:left w:val="nil"/>
              <w:bottom w:val="nil"/>
              <w:right w:val="nil"/>
            </w:tcBorders>
            <w:shd w:val="clear" w:color="auto" w:fill="F2F2F2"/>
            <w:vAlign w:val="center"/>
          </w:tcPr>
          <w:p w14:paraId="782E3EDE" w14:textId="77777777" w:rsidR="001E3D75" w:rsidRDefault="00000000">
            <w:pPr>
              <w:spacing w:line="240" w:lineRule="auto"/>
              <w:ind w:firstLine="0"/>
              <w:jc w:val="left"/>
            </w:pPr>
            <w:r>
              <w:rPr>
                <w:b/>
              </w:rPr>
              <w:t>University Status</w:t>
            </w:r>
          </w:p>
        </w:tc>
        <w:tc>
          <w:tcPr>
            <w:tcW w:w="1468" w:type="dxa"/>
            <w:tcBorders>
              <w:top w:val="nil"/>
              <w:left w:val="nil"/>
              <w:bottom w:val="nil"/>
              <w:right w:val="nil"/>
            </w:tcBorders>
            <w:shd w:val="clear" w:color="auto" w:fill="F2F2F2"/>
            <w:vAlign w:val="center"/>
          </w:tcPr>
          <w:p w14:paraId="212EBCB1" w14:textId="77777777" w:rsidR="001E3D75" w:rsidRDefault="001E3D75">
            <w:pPr>
              <w:spacing w:line="240" w:lineRule="auto"/>
              <w:ind w:firstLine="0"/>
              <w:jc w:val="center"/>
            </w:pPr>
          </w:p>
        </w:tc>
        <w:tc>
          <w:tcPr>
            <w:tcW w:w="1468" w:type="dxa"/>
            <w:tcBorders>
              <w:top w:val="nil"/>
              <w:left w:val="nil"/>
              <w:bottom w:val="nil"/>
              <w:right w:val="nil"/>
            </w:tcBorders>
            <w:shd w:val="clear" w:color="auto" w:fill="F2F2F2"/>
            <w:vAlign w:val="center"/>
          </w:tcPr>
          <w:p w14:paraId="19099776" w14:textId="77777777" w:rsidR="001E3D75" w:rsidRDefault="001E3D75">
            <w:pPr>
              <w:spacing w:line="240" w:lineRule="auto"/>
              <w:ind w:firstLine="0"/>
              <w:jc w:val="center"/>
            </w:pPr>
          </w:p>
        </w:tc>
        <w:tc>
          <w:tcPr>
            <w:tcW w:w="1468" w:type="dxa"/>
            <w:tcBorders>
              <w:top w:val="nil"/>
              <w:left w:val="nil"/>
              <w:bottom w:val="nil"/>
              <w:right w:val="nil"/>
            </w:tcBorders>
            <w:shd w:val="clear" w:color="auto" w:fill="F2F2F2"/>
            <w:vAlign w:val="center"/>
          </w:tcPr>
          <w:p w14:paraId="20045672" w14:textId="77777777" w:rsidR="001E3D75" w:rsidRDefault="001E3D75">
            <w:pPr>
              <w:spacing w:line="240" w:lineRule="auto"/>
              <w:ind w:firstLine="0"/>
              <w:jc w:val="center"/>
            </w:pPr>
          </w:p>
        </w:tc>
      </w:tr>
      <w:tr w:rsidR="001E3D75" w14:paraId="4CF3F995" w14:textId="77777777">
        <w:trPr>
          <w:cantSplit/>
          <w:jc w:val="center"/>
        </w:trPr>
        <w:tc>
          <w:tcPr>
            <w:tcW w:w="4608" w:type="dxa"/>
            <w:tcBorders>
              <w:top w:val="nil"/>
              <w:left w:val="nil"/>
              <w:bottom w:val="nil"/>
              <w:right w:val="nil"/>
            </w:tcBorders>
            <w:vAlign w:val="center"/>
          </w:tcPr>
          <w:p w14:paraId="653F4056" w14:textId="77777777" w:rsidR="001E3D75" w:rsidRDefault="00000000">
            <w:pPr>
              <w:spacing w:line="240" w:lineRule="auto"/>
              <w:ind w:firstLine="0"/>
              <w:jc w:val="left"/>
            </w:pPr>
            <w:r>
              <w:t>Student</w:t>
            </w:r>
          </w:p>
        </w:tc>
        <w:tc>
          <w:tcPr>
            <w:tcW w:w="1468" w:type="dxa"/>
            <w:tcBorders>
              <w:top w:val="nil"/>
              <w:left w:val="nil"/>
              <w:bottom w:val="nil"/>
              <w:right w:val="nil"/>
            </w:tcBorders>
            <w:vAlign w:val="center"/>
          </w:tcPr>
          <w:p w14:paraId="4694223F" w14:textId="77777777" w:rsidR="001E3D75" w:rsidRDefault="00000000">
            <w:pPr>
              <w:spacing w:line="240" w:lineRule="auto"/>
              <w:ind w:firstLine="0"/>
              <w:jc w:val="center"/>
            </w:pPr>
            <w:r>
              <w:t>135</w:t>
            </w:r>
          </w:p>
        </w:tc>
        <w:tc>
          <w:tcPr>
            <w:tcW w:w="1468" w:type="dxa"/>
            <w:tcBorders>
              <w:top w:val="nil"/>
              <w:left w:val="nil"/>
              <w:bottom w:val="nil"/>
              <w:right w:val="nil"/>
            </w:tcBorders>
            <w:vAlign w:val="center"/>
          </w:tcPr>
          <w:p w14:paraId="3BF2A028" w14:textId="77777777" w:rsidR="001E3D75" w:rsidRDefault="00000000">
            <w:pPr>
              <w:spacing w:line="240" w:lineRule="auto"/>
              <w:ind w:firstLine="0"/>
              <w:jc w:val="center"/>
            </w:pPr>
            <w:r>
              <w:t>96</w:t>
            </w:r>
          </w:p>
        </w:tc>
        <w:tc>
          <w:tcPr>
            <w:tcW w:w="1468" w:type="dxa"/>
            <w:tcBorders>
              <w:top w:val="nil"/>
              <w:left w:val="nil"/>
              <w:bottom w:val="nil"/>
              <w:right w:val="nil"/>
            </w:tcBorders>
            <w:vAlign w:val="center"/>
          </w:tcPr>
          <w:p w14:paraId="65F6ED21" w14:textId="77777777" w:rsidR="001E3D75" w:rsidRDefault="00000000">
            <w:pPr>
              <w:spacing w:line="240" w:lineRule="auto"/>
              <w:ind w:firstLine="0"/>
              <w:jc w:val="center"/>
            </w:pPr>
            <w:r>
              <w:t>80</w:t>
            </w:r>
          </w:p>
        </w:tc>
      </w:tr>
      <w:tr w:rsidR="001E3D75" w14:paraId="69F0EDE4" w14:textId="77777777">
        <w:trPr>
          <w:cantSplit/>
          <w:jc w:val="center"/>
        </w:trPr>
        <w:tc>
          <w:tcPr>
            <w:tcW w:w="4608" w:type="dxa"/>
            <w:tcBorders>
              <w:top w:val="nil"/>
              <w:left w:val="nil"/>
              <w:bottom w:val="nil"/>
              <w:right w:val="nil"/>
            </w:tcBorders>
            <w:vAlign w:val="center"/>
          </w:tcPr>
          <w:p w14:paraId="46BAA6DD" w14:textId="77777777" w:rsidR="001E3D75" w:rsidRDefault="00000000">
            <w:pPr>
              <w:spacing w:line="240" w:lineRule="auto"/>
              <w:ind w:firstLine="0"/>
              <w:jc w:val="left"/>
            </w:pPr>
            <w:r>
              <w:t>Lecturer</w:t>
            </w:r>
          </w:p>
        </w:tc>
        <w:tc>
          <w:tcPr>
            <w:tcW w:w="1468" w:type="dxa"/>
            <w:tcBorders>
              <w:top w:val="nil"/>
              <w:left w:val="nil"/>
              <w:bottom w:val="nil"/>
              <w:right w:val="nil"/>
            </w:tcBorders>
            <w:vAlign w:val="center"/>
          </w:tcPr>
          <w:p w14:paraId="01A04F0B" w14:textId="77777777" w:rsidR="001E3D75" w:rsidRDefault="00000000">
            <w:pPr>
              <w:spacing w:line="240" w:lineRule="auto"/>
              <w:ind w:firstLine="0"/>
              <w:jc w:val="center"/>
            </w:pPr>
            <w:r>
              <w:t>37</w:t>
            </w:r>
          </w:p>
        </w:tc>
        <w:tc>
          <w:tcPr>
            <w:tcW w:w="1468" w:type="dxa"/>
            <w:tcBorders>
              <w:top w:val="nil"/>
              <w:left w:val="nil"/>
              <w:bottom w:val="nil"/>
              <w:right w:val="nil"/>
            </w:tcBorders>
            <w:vAlign w:val="center"/>
          </w:tcPr>
          <w:p w14:paraId="7E051BE7" w14:textId="77777777" w:rsidR="001E3D75" w:rsidRDefault="00000000">
            <w:pPr>
              <w:spacing w:line="240" w:lineRule="auto"/>
              <w:ind w:firstLine="0"/>
              <w:jc w:val="center"/>
            </w:pPr>
            <w:r>
              <w:t>39</w:t>
            </w:r>
          </w:p>
        </w:tc>
        <w:tc>
          <w:tcPr>
            <w:tcW w:w="1468" w:type="dxa"/>
            <w:tcBorders>
              <w:top w:val="nil"/>
              <w:left w:val="nil"/>
              <w:bottom w:val="nil"/>
              <w:right w:val="nil"/>
            </w:tcBorders>
            <w:vAlign w:val="center"/>
          </w:tcPr>
          <w:p w14:paraId="250C74FE" w14:textId="77777777" w:rsidR="001E3D75" w:rsidRDefault="00000000">
            <w:pPr>
              <w:spacing w:line="240" w:lineRule="auto"/>
              <w:ind w:firstLine="0"/>
              <w:jc w:val="center"/>
            </w:pPr>
            <w:r>
              <w:t>25</w:t>
            </w:r>
          </w:p>
        </w:tc>
      </w:tr>
      <w:tr w:rsidR="001E3D75" w14:paraId="50D4F015" w14:textId="77777777">
        <w:trPr>
          <w:cantSplit/>
          <w:jc w:val="center"/>
        </w:trPr>
        <w:tc>
          <w:tcPr>
            <w:tcW w:w="4608" w:type="dxa"/>
            <w:tcBorders>
              <w:top w:val="nil"/>
              <w:left w:val="nil"/>
              <w:bottom w:val="nil"/>
              <w:right w:val="nil"/>
            </w:tcBorders>
            <w:vAlign w:val="center"/>
          </w:tcPr>
          <w:p w14:paraId="5AE337D1" w14:textId="77777777" w:rsidR="001E3D75" w:rsidRDefault="00000000">
            <w:pPr>
              <w:spacing w:line="240" w:lineRule="auto"/>
              <w:ind w:firstLine="0"/>
              <w:jc w:val="left"/>
            </w:pPr>
            <w:r>
              <w:t>Staff</w:t>
            </w:r>
          </w:p>
        </w:tc>
        <w:tc>
          <w:tcPr>
            <w:tcW w:w="1468" w:type="dxa"/>
            <w:tcBorders>
              <w:top w:val="nil"/>
              <w:left w:val="nil"/>
              <w:bottom w:val="nil"/>
              <w:right w:val="nil"/>
            </w:tcBorders>
            <w:vAlign w:val="center"/>
          </w:tcPr>
          <w:p w14:paraId="59E12DA8" w14:textId="77777777" w:rsidR="001E3D75" w:rsidRDefault="00000000">
            <w:pPr>
              <w:spacing w:line="240" w:lineRule="auto"/>
              <w:ind w:firstLine="0"/>
              <w:jc w:val="center"/>
            </w:pPr>
            <w:r>
              <w:t>16</w:t>
            </w:r>
          </w:p>
        </w:tc>
        <w:tc>
          <w:tcPr>
            <w:tcW w:w="1468" w:type="dxa"/>
            <w:tcBorders>
              <w:top w:val="nil"/>
              <w:left w:val="nil"/>
              <w:bottom w:val="nil"/>
              <w:right w:val="nil"/>
            </w:tcBorders>
            <w:vAlign w:val="center"/>
          </w:tcPr>
          <w:p w14:paraId="2EA172FA" w14:textId="77777777" w:rsidR="001E3D75" w:rsidRDefault="00000000">
            <w:pPr>
              <w:spacing w:line="240" w:lineRule="auto"/>
              <w:ind w:firstLine="0"/>
              <w:jc w:val="center"/>
            </w:pPr>
            <w:r>
              <w:t>27</w:t>
            </w:r>
          </w:p>
        </w:tc>
        <w:tc>
          <w:tcPr>
            <w:tcW w:w="1468" w:type="dxa"/>
            <w:tcBorders>
              <w:top w:val="nil"/>
              <w:left w:val="nil"/>
              <w:bottom w:val="nil"/>
              <w:right w:val="nil"/>
            </w:tcBorders>
            <w:vAlign w:val="center"/>
          </w:tcPr>
          <w:p w14:paraId="02C4BEB6" w14:textId="77777777" w:rsidR="001E3D75" w:rsidRDefault="00000000">
            <w:pPr>
              <w:spacing w:line="240" w:lineRule="auto"/>
              <w:ind w:firstLine="0"/>
              <w:jc w:val="center"/>
            </w:pPr>
            <w:r>
              <w:t>2</w:t>
            </w:r>
          </w:p>
        </w:tc>
      </w:tr>
      <w:tr w:rsidR="001E3D75" w14:paraId="5964496A" w14:textId="77777777">
        <w:trPr>
          <w:cantSplit/>
          <w:jc w:val="center"/>
        </w:trPr>
        <w:tc>
          <w:tcPr>
            <w:tcW w:w="4608" w:type="dxa"/>
            <w:tcBorders>
              <w:top w:val="nil"/>
              <w:left w:val="nil"/>
              <w:bottom w:val="nil"/>
              <w:right w:val="nil"/>
            </w:tcBorders>
            <w:vAlign w:val="center"/>
          </w:tcPr>
          <w:p w14:paraId="140B36AB" w14:textId="77777777" w:rsidR="001E3D75" w:rsidRDefault="00000000">
            <w:pPr>
              <w:spacing w:line="240" w:lineRule="auto"/>
              <w:ind w:firstLine="0"/>
              <w:jc w:val="left"/>
            </w:pPr>
            <w:r>
              <w:t>Total</w:t>
            </w:r>
          </w:p>
        </w:tc>
        <w:tc>
          <w:tcPr>
            <w:tcW w:w="1468" w:type="dxa"/>
            <w:tcBorders>
              <w:top w:val="nil"/>
              <w:left w:val="nil"/>
              <w:bottom w:val="nil"/>
              <w:right w:val="nil"/>
            </w:tcBorders>
            <w:vAlign w:val="center"/>
          </w:tcPr>
          <w:p w14:paraId="0D3CEADB" w14:textId="77777777" w:rsidR="001E3D75" w:rsidRDefault="00000000">
            <w:pPr>
              <w:spacing w:line="240" w:lineRule="auto"/>
              <w:ind w:firstLine="0"/>
              <w:jc w:val="center"/>
            </w:pPr>
            <w:r>
              <w:t>188</w:t>
            </w:r>
          </w:p>
        </w:tc>
        <w:tc>
          <w:tcPr>
            <w:tcW w:w="1468" w:type="dxa"/>
            <w:tcBorders>
              <w:top w:val="nil"/>
              <w:left w:val="nil"/>
              <w:bottom w:val="nil"/>
              <w:right w:val="nil"/>
            </w:tcBorders>
            <w:vAlign w:val="center"/>
          </w:tcPr>
          <w:p w14:paraId="750A97E4" w14:textId="77777777" w:rsidR="001E3D75" w:rsidRDefault="00000000">
            <w:pPr>
              <w:spacing w:line="240" w:lineRule="auto"/>
              <w:ind w:firstLine="0"/>
              <w:jc w:val="center"/>
            </w:pPr>
            <w:r>
              <w:t>162</w:t>
            </w:r>
          </w:p>
        </w:tc>
        <w:tc>
          <w:tcPr>
            <w:tcW w:w="1468" w:type="dxa"/>
            <w:tcBorders>
              <w:top w:val="nil"/>
              <w:left w:val="nil"/>
              <w:bottom w:val="nil"/>
              <w:right w:val="nil"/>
            </w:tcBorders>
            <w:vAlign w:val="center"/>
          </w:tcPr>
          <w:p w14:paraId="3271F8D8" w14:textId="77777777" w:rsidR="001E3D75" w:rsidRDefault="00000000">
            <w:pPr>
              <w:spacing w:line="240" w:lineRule="auto"/>
              <w:ind w:firstLine="0"/>
              <w:jc w:val="center"/>
            </w:pPr>
            <w:r>
              <w:t>107</w:t>
            </w:r>
          </w:p>
        </w:tc>
      </w:tr>
      <w:tr w:rsidR="001E3D75" w14:paraId="586CB0A3" w14:textId="77777777">
        <w:trPr>
          <w:cantSplit/>
          <w:jc w:val="center"/>
        </w:trPr>
        <w:tc>
          <w:tcPr>
            <w:tcW w:w="4608" w:type="dxa"/>
            <w:tcBorders>
              <w:top w:val="nil"/>
              <w:left w:val="nil"/>
              <w:bottom w:val="nil"/>
              <w:right w:val="nil"/>
            </w:tcBorders>
            <w:shd w:val="clear" w:color="auto" w:fill="F2F2F2"/>
            <w:vAlign w:val="center"/>
          </w:tcPr>
          <w:p w14:paraId="77614444" w14:textId="77777777" w:rsidR="001E3D75" w:rsidRDefault="00000000">
            <w:pPr>
              <w:spacing w:line="240" w:lineRule="auto"/>
              <w:ind w:firstLine="0"/>
              <w:jc w:val="left"/>
            </w:pPr>
            <w:r>
              <w:rPr>
                <w:b/>
              </w:rPr>
              <w:t>Educational Background</w:t>
            </w:r>
          </w:p>
        </w:tc>
        <w:tc>
          <w:tcPr>
            <w:tcW w:w="1468" w:type="dxa"/>
            <w:tcBorders>
              <w:top w:val="nil"/>
              <w:left w:val="nil"/>
              <w:bottom w:val="nil"/>
              <w:right w:val="nil"/>
            </w:tcBorders>
            <w:shd w:val="clear" w:color="auto" w:fill="F2F2F2"/>
            <w:vAlign w:val="center"/>
          </w:tcPr>
          <w:p w14:paraId="6984DFF5" w14:textId="77777777" w:rsidR="001E3D75" w:rsidRDefault="001E3D75">
            <w:pPr>
              <w:spacing w:line="240" w:lineRule="auto"/>
              <w:ind w:firstLine="0"/>
              <w:jc w:val="center"/>
            </w:pPr>
          </w:p>
        </w:tc>
        <w:tc>
          <w:tcPr>
            <w:tcW w:w="1468" w:type="dxa"/>
            <w:tcBorders>
              <w:top w:val="nil"/>
              <w:left w:val="nil"/>
              <w:bottom w:val="nil"/>
              <w:right w:val="nil"/>
            </w:tcBorders>
            <w:shd w:val="clear" w:color="auto" w:fill="F2F2F2"/>
            <w:vAlign w:val="center"/>
          </w:tcPr>
          <w:p w14:paraId="2990B291" w14:textId="77777777" w:rsidR="001E3D75" w:rsidRDefault="001E3D75">
            <w:pPr>
              <w:spacing w:line="240" w:lineRule="auto"/>
              <w:ind w:firstLine="0"/>
              <w:jc w:val="center"/>
            </w:pPr>
          </w:p>
        </w:tc>
        <w:tc>
          <w:tcPr>
            <w:tcW w:w="1468" w:type="dxa"/>
            <w:tcBorders>
              <w:top w:val="nil"/>
              <w:left w:val="nil"/>
              <w:bottom w:val="nil"/>
              <w:right w:val="nil"/>
            </w:tcBorders>
            <w:shd w:val="clear" w:color="auto" w:fill="F2F2F2"/>
            <w:vAlign w:val="center"/>
          </w:tcPr>
          <w:p w14:paraId="2F1F221E" w14:textId="77777777" w:rsidR="001E3D75" w:rsidRDefault="001E3D75">
            <w:pPr>
              <w:spacing w:line="240" w:lineRule="auto"/>
              <w:ind w:firstLine="0"/>
              <w:jc w:val="center"/>
            </w:pPr>
          </w:p>
        </w:tc>
      </w:tr>
      <w:tr w:rsidR="001E3D75" w14:paraId="1B86E899" w14:textId="77777777">
        <w:trPr>
          <w:cantSplit/>
          <w:jc w:val="center"/>
        </w:trPr>
        <w:tc>
          <w:tcPr>
            <w:tcW w:w="4608" w:type="dxa"/>
            <w:tcBorders>
              <w:top w:val="nil"/>
              <w:left w:val="nil"/>
              <w:bottom w:val="nil"/>
              <w:right w:val="nil"/>
            </w:tcBorders>
            <w:vAlign w:val="center"/>
          </w:tcPr>
          <w:p w14:paraId="5CC151F4" w14:textId="77777777" w:rsidR="001E3D75" w:rsidRDefault="00000000">
            <w:pPr>
              <w:spacing w:line="240" w:lineRule="auto"/>
              <w:ind w:firstLine="0"/>
              <w:jc w:val="left"/>
            </w:pPr>
            <w:r>
              <w:t>Senior High School</w:t>
            </w:r>
          </w:p>
        </w:tc>
        <w:tc>
          <w:tcPr>
            <w:tcW w:w="1468" w:type="dxa"/>
            <w:tcBorders>
              <w:top w:val="nil"/>
              <w:left w:val="nil"/>
              <w:bottom w:val="nil"/>
              <w:right w:val="nil"/>
            </w:tcBorders>
            <w:vAlign w:val="center"/>
          </w:tcPr>
          <w:p w14:paraId="7F71D754" w14:textId="77777777" w:rsidR="001E3D75" w:rsidRDefault="00000000">
            <w:pPr>
              <w:spacing w:line="240" w:lineRule="auto"/>
              <w:ind w:firstLine="0"/>
              <w:jc w:val="center"/>
            </w:pPr>
            <w:r>
              <w:t>64</w:t>
            </w:r>
          </w:p>
        </w:tc>
        <w:tc>
          <w:tcPr>
            <w:tcW w:w="1468" w:type="dxa"/>
            <w:tcBorders>
              <w:top w:val="nil"/>
              <w:left w:val="nil"/>
              <w:bottom w:val="nil"/>
              <w:right w:val="nil"/>
            </w:tcBorders>
            <w:vAlign w:val="center"/>
          </w:tcPr>
          <w:p w14:paraId="4D5E9B9D" w14:textId="77777777" w:rsidR="001E3D75" w:rsidRDefault="00000000">
            <w:pPr>
              <w:spacing w:line="240" w:lineRule="auto"/>
              <w:ind w:firstLine="0"/>
              <w:jc w:val="center"/>
            </w:pPr>
            <w:r>
              <w:t>95</w:t>
            </w:r>
          </w:p>
        </w:tc>
        <w:tc>
          <w:tcPr>
            <w:tcW w:w="1468" w:type="dxa"/>
            <w:tcBorders>
              <w:top w:val="nil"/>
              <w:left w:val="nil"/>
              <w:bottom w:val="nil"/>
              <w:right w:val="nil"/>
            </w:tcBorders>
            <w:vAlign w:val="center"/>
          </w:tcPr>
          <w:p w14:paraId="4184B7AB" w14:textId="77777777" w:rsidR="001E3D75" w:rsidRDefault="00000000">
            <w:pPr>
              <w:spacing w:line="240" w:lineRule="auto"/>
              <w:ind w:firstLine="0"/>
              <w:jc w:val="center"/>
            </w:pPr>
            <w:r>
              <w:t>61</w:t>
            </w:r>
          </w:p>
        </w:tc>
      </w:tr>
      <w:tr w:rsidR="001E3D75" w14:paraId="407C452F" w14:textId="77777777">
        <w:trPr>
          <w:cantSplit/>
          <w:jc w:val="center"/>
        </w:trPr>
        <w:tc>
          <w:tcPr>
            <w:tcW w:w="4608" w:type="dxa"/>
            <w:tcBorders>
              <w:top w:val="nil"/>
              <w:left w:val="nil"/>
              <w:bottom w:val="nil"/>
              <w:right w:val="nil"/>
            </w:tcBorders>
            <w:vAlign w:val="center"/>
          </w:tcPr>
          <w:p w14:paraId="21960861" w14:textId="77777777" w:rsidR="001E3D75" w:rsidRDefault="00000000">
            <w:pPr>
              <w:spacing w:line="240" w:lineRule="auto"/>
              <w:ind w:firstLine="0"/>
              <w:jc w:val="left"/>
            </w:pPr>
            <w:r>
              <w:t>Diploma</w:t>
            </w:r>
          </w:p>
        </w:tc>
        <w:tc>
          <w:tcPr>
            <w:tcW w:w="1468" w:type="dxa"/>
            <w:tcBorders>
              <w:top w:val="nil"/>
              <w:left w:val="nil"/>
              <w:bottom w:val="nil"/>
              <w:right w:val="nil"/>
            </w:tcBorders>
            <w:vAlign w:val="center"/>
          </w:tcPr>
          <w:p w14:paraId="13CC4011" w14:textId="77777777" w:rsidR="001E3D75" w:rsidRDefault="00000000">
            <w:pPr>
              <w:spacing w:line="240" w:lineRule="auto"/>
              <w:ind w:firstLine="0"/>
              <w:jc w:val="center"/>
            </w:pPr>
            <w:r>
              <w:t>6</w:t>
            </w:r>
          </w:p>
        </w:tc>
        <w:tc>
          <w:tcPr>
            <w:tcW w:w="1468" w:type="dxa"/>
            <w:tcBorders>
              <w:top w:val="nil"/>
              <w:left w:val="nil"/>
              <w:bottom w:val="nil"/>
              <w:right w:val="nil"/>
            </w:tcBorders>
            <w:vAlign w:val="center"/>
          </w:tcPr>
          <w:p w14:paraId="1DC282F3" w14:textId="77777777" w:rsidR="001E3D75" w:rsidRDefault="00000000">
            <w:pPr>
              <w:spacing w:line="240" w:lineRule="auto"/>
              <w:ind w:firstLine="0"/>
              <w:jc w:val="center"/>
            </w:pPr>
            <w:r>
              <w:t>11</w:t>
            </w:r>
          </w:p>
        </w:tc>
        <w:tc>
          <w:tcPr>
            <w:tcW w:w="1468" w:type="dxa"/>
            <w:tcBorders>
              <w:top w:val="nil"/>
              <w:left w:val="nil"/>
              <w:bottom w:val="nil"/>
              <w:right w:val="nil"/>
            </w:tcBorders>
            <w:vAlign w:val="center"/>
          </w:tcPr>
          <w:p w14:paraId="4A2675A6" w14:textId="77777777" w:rsidR="001E3D75" w:rsidRDefault="00000000">
            <w:pPr>
              <w:spacing w:line="240" w:lineRule="auto"/>
              <w:ind w:firstLine="0"/>
              <w:jc w:val="center"/>
            </w:pPr>
            <w:r>
              <w:t>1</w:t>
            </w:r>
          </w:p>
        </w:tc>
      </w:tr>
      <w:tr w:rsidR="001E3D75" w14:paraId="37C1519D" w14:textId="77777777">
        <w:trPr>
          <w:cantSplit/>
          <w:jc w:val="center"/>
        </w:trPr>
        <w:tc>
          <w:tcPr>
            <w:tcW w:w="4608" w:type="dxa"/>
            <w:tcBorders>
              <w:top w:val="nil"/>
              <w:left w:val="nil"/>
              <w:bottom w:val="nil"/>
              <w:right w:val="nil"/>
            </w:tcBorders>
            <w:vAlign w:val="center"/>
          </w:tcPr>
          <w:p w14:paraId="7A76FAC8" w14:textId="77777777" w:rsidR="001E3D75" w:rsidRDefault="00000000">
            <w:pPr>
              <w:spacing w:line="240" w:lineRule="auto"/>
              <w:ind w:firstLine="0"/>
              <w:jc w:val="left"/>
            </w:pPr>
            <w:r>
              <w:t>Undergraduate (S1)</w:t>
            </w:r>
          </w:p>
        </w:tc>
        <w:tc>
          <w:tcPr>
            <w:tcW w:w="1468" w:type="dxa"/>
            <w:tcBorders>
              <w:top w:val="nil"/>
              <w:left w:val="nil"/>
              <w:bottom w:val="nil"/>
              <w:right w:val="nil"/>
            </w:tcBorders>
            <w:vAlign w:val="center"/>
          </w:tcPr>
          <w:p w14:paraId="417FBB46" w14:textId="77777777" w:rsidR="001E3D75" w:rsidRDefault="00000000">
            <w:pPr>
              <w:spacing w:line="240" w:lineRule="auto"/>
              <w:ind w:firstLine="0"/>
              <w:jc w:val="center"/>
            </w:pPr>
            <w:r>
              <w:t>67</w:t>
            </w:r>
          </w:p>
        </w:tc>
        <w:tc>
          <w:tcPr>
            <w:tcW w:w="1468" w:type="dxa"/>
            <w:tcBorders>
              <w:top w:val="nil"/>
              <w:left w:val="nil"/>
              <w:bottom w:val="nil"/>
              <w:right w:val="nil"/>
            </w:tcBorders>
            <w:vAlign w:val="center"/>
          </w:tcPr>
          <w:p w14:paraId="5C404691" w14:textId="77777777" w:rsidR="001E3D75" w:rsidRDefault="00000000">
            <w:pPr>
              <w:spacing w:line="240" w:lineRule="auto"/>
              <w:ind w:firstLine="0"/>
              <w:jc w:val="center"/>
            </w:pPr>
            <w:r>
              <w:t>1</w:t>
            </w:r>
          </w:p>
        </w:tc>
        <w:tc>
          <w:tcPr>
            <w:tcW w:w="1468" w:type="dxa"/>
            <w:tcBorders>
              <w:top w:val="nil"/>
              <w:left w:val="nil"/>
              <w:bottom w:val="nil"/>
              <w:right w:val="nil"/>
            </w:tcBorders>
            <w:vAlign w:val="center"/>
          </w:tcPr>
          <w:p w14:paraId="28E01639" w14:textId="77777777" w:rsidR="001E3D75" w:rsidRDefault="00000000">
            <w:pPr>
              <w:spacing w:line="240" w:lineRule="auto"/>
              <w:ind w:firstLine="0"/>
              <w:jc w:val="center"/>
            </w:pPr>
            <w:r>
              <w:t>20</w:t>
            </w:r>
          </w:p>
        </w:tc>
      </w:tr>
      <w:tr w:rsidR="001E3D75" w14:paraId="1CA3EFC3" w14:textId="77777777">
        <w:trPr>
          <w:cantSplit/>
          <w:jc w:val="center"/>
        </w:trPr>
        <w:tc>
          <w:tcPr>
            <w:tcW w:w="4608" w:type="dxa"/>
            <w:tcBorders>
              <w:top w:val="nil"/>
              <w:left w:val="nil"/>
              <w:bottom w:val="nil"/>
              <w:right w:val="nil"/>
            </w:tcBorders>
            <w:vAlign w:val="center"/>
          </w:tcPr>
          <w:p w14:paraId="0E64C3C3" w14:textId="77777777" w:rsidR="001E3D75" w:rsidRDefault="00000000">
            <w:pPr>
              <w:spacing w:line="240" w:lineRule="auto"/>
              <w:ind w:firstLine="0"/>
              <w:jc w:val="left"/>
            </w:pPr>
            <w:r>
              <w:t>Master’s Degree (S2)</w:t>
            </w:r>
          </w:p>
        </w:tc>
        <w:tc>
          <w:tcPr>
            <w:tcW w:w="1468" w:type="dxa"/>
            <w:tcBorders>
              <w:top w:val="nil"/>
              <w:left w:val="nil"/>
              <w:bottom w:val="nil"/>
              <w:right w:val="nil"/>
            </w:tcBorders>
            <w:vAlign w:val="center"/>
          </w:tcPr>
          <w:p w14:paraId="4AB6CD81" w14:textId="77777777" w:rsidR="001E3D75" w:rsidRDefault="00000000">
            <w:pPr>
              <w:spacing w:line="240" w:lineRule="auto"/>
              <w:ind w:firstLine="0"/>
              <w:jc w:val="center"/>
            </w:pPr>
            <w:r>
              <w:t>37</w:t>
            </w:r>
          </w:p>
        </w:tc>
        <w:tc>
          <w:tcPr>
            <w:tcW w:w="1468" w:type="dxa"/>
            <w:tcBorders>
              <w:top w:val="nil"/>
              <w:left w:val="nil"/>
              <w:bottom w:val="nil"/>
              <w:right w:val="nil"/>
            </w:tcBorders>
            <w:vAlign w:val="center"/>
          </w:tcPr>
          <w:p w14:paraId="61F6BA82" w14:textId="77777777" w:rsidR="001E3D75" w:rsidRDefault="00000000">
            <w:pPr>
              <w:spacing w:line="240" w:lineRule="auto"/>
              <w:ind w:firstLine="0"/>
              <w:jc w:val="center"/>
            </w:pPr>
            <w:r>
              <w:t>34</w:t>
            </w:r>
          </w:p>
        </w:tc>
        <w:tc>
          <w:tcPr>
            <w:tcW w:w="1468" w:type="dxa"/>
            <w:tcBorders>
              <w:top w:val="nil"/>
              <w:left w:val="nil"/>
              <w:bottom w:val="nil"/>
              <w:right w:val="nil"/>
            </w:tcBorders>
            <w:vAlign w:val="center"/>
          </w:tcPr>
          <w:p w14:paraId="515DF59A" w14:textId="77777777" w:rsidR="001E3D75" w:rsidRDefault="00000000">
            <w:pPr>
              <w:spacing w:line="240" w:lineRule="auto"/>
              <w:ind w:firstLine="0"/>
              <w:jc w:val="center"/>
            </w:pPr>
            <w:r>
              <w:t>21</w:t>
            </w:r>
          </w:p>
        </w:tc>
      </w:tr>
      <w:tr w:rsidR="001E3D75" w14:paraId="474B06DF" w14:textId="77777777">
        <w:trPr>
          <w:cantSplit/>
          <w:jc w:val="center"/>
        </w:trPr>
        <w:tc>
          <w:tcPr>
            <w:tcW w:w="4608" w:type="dxa"/>
            <w:tcBorders>
              <w:top w:val="nil"/>
              <w:left w:val="nil"/>
              <w:bottom w:val="nil"/>
              <w:right w:val="nil"/>
            </w:tcBorders>
            <w:vAlign w:val="center"/>
          </w:tcPr>
          <w:p w14:paraId="5831C502" w14:textId="77777777" w:rsidR="001E3D75" w:rsidRDefault="00000000">
            <w:pPr>
              <w:spacing w:line="240" w:lineRule="auto"/>
              <w:ind w:firstLine="0"/>
              <w:jc w:val="left"/>
            </w:pPr>
            <w:r>
              <w:t>Doctoral Degree (S3)</w:t>
            </w:r>
          </w:p>
        </w:tc>
        <w:tc>
          <w:tcPr>
            <w:tcW w:w="1468" w:type="dxa"/>
            <w:tcBorders>
              <w:top w:val="nil"/>
              <w:left w:val="nil"/>
              <w:bottom w:val="nil"/>
              <w:right w:val="nil"/>
            </w:tcBorders>
            <w:vAlign w:val="center"/>
          </w:tcPr>
          <w:p w14:paraId="085FCE46" w14:textId="77777777" w:rsidR="001E3D75" w:rsidRDefault="00000000">
            <w:pPr>
              <w:spacing w:line="240" w:lineRule="auto"/>
              <w:ind w:firstLine="0"/>
              <w:jc w:val="center"/>
            </w:pPr>
            <w:r>
              <w:t>14</w:t>
            </w:r>
          </w:p>
        </w:tc>
        <w:tc>
          <w:tcPr>
            <w:tcW w:w="1468" w:type="dxa"/>
            <w:tcBorders>
              <w:top w:val="nil"/>
              <w:left w:val="nil"/>
              <w:bottom w:val="nil"/>
              <w:right w:val="nil"/>
            </w:tcBorders>
            <w:vAlign w:val="center"/>
          </w:tcPr>
          <w:p w14:paraId="5E790029" w14:textId="77777777" w:rsidR="001E3D75" w:rsidRDefault="00000000">
            <w:pPr>
              <w:spacing w:line="240" w:lineRule="auto"/>
              <w:ind w:firstLine="0"/>
              <w:jc w:val="center"/>
            </w:pPr>
            <w:r>
              <w:t>21</w:t>
            </w:r>
          </w:p>
        </w:tc>
        <w:tc>
          <w:tcPr>
            <w:tcW w:w="1468" w:type="dxa"/>
            <w:tcBorders>
              <w:top w:val="nil"/>
              <w:left w:val="nil"/>
              <w:bottom w:val="nil"/>
              <w:right w:val="nil"/>
            </w:tcBorders>
            <w:vAlign w:val="center"/>
          </w:tcPr>
          <w:p w14:paraId="63080F97" w14:textId="77777777" w:rsidR="001E3D75" w:rsidRDefault="00000000">
            <w:pPr>
              <w:spacing w:line="240" w:lineRule="auto"/>
              <w:ind w:firstLine="0"/>
              <w:jc w:val="center"/>
            </w:pPr>
            <w:r>
              <w:t>4</w:t>
            </w:r>
          </w:p>
        </w:tc>
      </w:tr>
      <w:tr w:rsidR="001E3D75" w14:paraId="2B7C8B5C" w14:textId="77777777">
        <w:trPr>
          <w:cantSplit/>
          <w:jc w:val="center"/>
        </w:trPr>
        <w:tc>
          <w:tcPr>
            <w:tcW w:w="4608" w:type="dxa"/>
            <w:tcBorders>
              <w:top w:val="nil"/>
              <w:left w:val="nil"/>
              <w:bottom w:val="single" w:sz="8" w:space="0" w:color="000000"/>
              <w:right w:val="nil"/>
            </w:tcBorders>
            <w:vAlign w:val="center"/>
          </w:tcPr>
          <w:p w14:paraId="24536BE2" w14:textId="77777777" w:rsidR="001E3D75" w:rsidRDefault="00000000">
            <w:pPr>
              <w:spacing w:line="240" w:lineRule="auto"/>
              <w:ind w:firstLine="0"/>
              <w:jc w:val="left"/>
            </w:pPr>
            <w:r>
              <w:t>Total</w:t>
            </w:r>
          </w:p>
        </w:tc>
        <w:tc>
          <w:tcPr>
            <w:tcW w:w="1468" w:type="dxa"/>
            <w:tcBorders>
              <w:top w:val="nil"/>
              <w:left w:val="nil"/>
              <w:bottom w:val="single" w:sz="8" w:space="0" w:color="000000"/>
              <w:right w:val="nil"/>
            </w:tcBorders>
            <w:vAlign w:val="center"/>
          </w:tcPr>
          <w:p w14:paraId="2F5E92E5" w14:textId="77777777" w:rsidR="001E3D75" w:rsidRDefault="00000000">
            <w:pPr>
              <w:spacing w:line="240" w:lineRule="auto"/>
              <w:ind w:firstLine="0"/>
              <w:jc w:val="center"/>
            </w:pPr>
            <w:r>
              <w:t>188</w:t>
            </w:r>
          </w:p>
        </w:tc>
        <w:tc>
          <w:tcPr>
            <w:tcW w:w="1468" w:type="dxa"/>
            <w:tcBorders>
              <w:top w:val="nil"/>
              <w:left w:val="nil"/>
              <w:bottom w:val="single" w:sz="8" w:space="0" w:color="000000"/>
              <w:right w:val="nil"/>
            </w:tcBorders>
            <w:vAlign w:val="center"/>
          </w:tcPr>
          <w:p w14:paraId="5A363434" w14:textId="77777777" w:rsidR="001E3D75" w:rsidRDefault="00000000">
            <w:pPr>
              <w:spacing w:line="240" w:lineRule="auto"/>
              <w:ind w:firstLine="0"/>
              <w:jc w:val="center"/>
            </w:pPr>
            <w:r>
              <w:t>162</w:t>
            </w:r>
          </w:p>
        </w:tc>
        <w:tc>
          <w:tcPr>
            <w:tcW w:w="1468" w:type="dxa"/>
            <w:tcBorders>
              <w:top w:val="nil"/>
              <w:left w:val="nil"/>
              <w:bottom w:val="single" w:sz="8" w:space="0" w:color="000000"/>
              <w:right w:val="nil"/>
            </w:tcBorders>
            <w:vAlign w:val="center"/>
          </w:tcPr>
          <w:p w14:paraId="6C7DA700" w14:textId="77777777" w:rsidR="001E3D75" w:rsidRDefault="00000000">
            <w:pPr>
              <w:spacing w:line="240" w:lineRule="auto"/>
              <w:ind w:firstLine="0"/>
              <w:jc w:val="center"/>
            </w:pPr>
            <w:r>
              <w:t>107</w:t>
            </w:r>
          </w:p>
        </w:tc>
      </w:tr>
    </w:tbl>
    <w:p w14:paraId="63FB12AD" w14:textId="77777777" w:rsidR="001E3D75" w:rsidRDefault="00000000">
      <w:pPr>
        <w:pStyle w:val="JPSSNote"/>
      </w:pPr>
      <w:r>
        <w:rPr>
          <w:rFonts w:cs="Times New Roman"/>
          <w:i/>
        </w:rPr>
        <w:t xml:space="preserve">Note. </w:t>
      </w:r>
      <w:r>
        <w:rPr>
          <w:rFonts w:cs="Times New Roman"/>
        </w:rPr>
        <w:t>University labels have been anonymized for double-blind review.</w:t>
      </w:r>
    </w:p>
    <w:p w14:paraId="320850EA" w14:textId="77777777" w:rsidR="001E3D75" w:rsidRDefault="00000000">
      <w:r>
        <w:t xml:space="preserve">The predominance of students and respondents under 25 years of age indicates that the research data largely represent campus community members who are directly involved in </w:t>
      </w:r>
      <w:r>
        <w:lastRenderedPageBreak/>
        <w:t>lectures, academic supervision, student organizations, fieldwork, research, and daily social interactions. This composition is important because students interact intensively with various campus actors and use a wide range of academic and nonacademic spaces. Nevertheless, age and sex characteristics in this study are not positioned as direct causes of sexual violence. They are used to provide context regarding the groups most widely represented in the study.</w:t>
      </w:r>
    </w:p>
    <w:p w14:paraId="0414E13A" w14:textId="77777777" w:rsidR="001E3D75" w:rsidRDefault="00000000">
      <w:r>
        <w:t>The involvement of lecturers and administrative staff also provides an institutional perspective on academic culture, relationships among campus community members, the implementation of sexual violence prevention and response policies, and the availability of reporting mechanisms. Differences in respondents’ university status allowed the study to examine sexual violence from various social and academic positions. These characteristic data subsequently provide a basis for understanding findings concerning power relations, the normalization of sexual conduct, campus community literacy, and access to reporting mechanisms without treating particular demographic identities as causes of sexual violence.</w:t>
      </w:r>
    </w:p>
    <w:p w14:paraId="301114BC" w14:textId="77777777" w:rsidR="001E3D75" w:rsidRDefault="00000000">
      <w:pPr>
        <w:pStyle w:val="JPSSHeading2"/>
        <w:keepNext/>
      </w:pPr>
      <w:r>
        <w:t>Power Relations and Vulnerability in Campus Interactions</w:t>
      </w:r>
    </w:p>
    <w:p w14:paraId="1A553FA6" w14:textId="77777777" w:rsidR="001E3D75" w:rsidRDefault="00000000">
      <w:r>
        <w:t>The findings show that vulnerability to sexual violence in higher education is associated with unequal positions within academic, organizational, and employment relationships. Unequal relationships may develop between lecturers and students, seniors and juniors, supervisors and subordinates, organizational leaders and members, as well as field supervisors and activity participants. Such inequality is important because individuals holding authority may control grades, supervision, recommendations, academic opportunities, organizational positions, or access to campus resources. Under these circumstances, victims may find it difficult to reject unwanted conduct or disclose their experiences to others.</w:t>
      </w:r>
    </w:p>
    <w:p w14:paraId="5377847E" w14:textId="77777777" w:rsidR="001E3D75" w:rsidRDefault="00000000">
      <w:r>
        <w:t xml:space="preserve">Age and sex are not positioned as direct causes of sexual violence. The predominance of young students and female respondents in this study is more appropriately interpreted as a context of vulnerability. Students participate in various relationships involving academic and </w:t>
      </w:r>
      <w:r>
        <w:lastRenderedPageBreak/>
        <w:t>social dependency. They depend on lecturers for assessment and supervision, on seniors or organizational leaders for student activities, and on field supervisors during internships, practical placements, research activities, and community service programs. Vulnerability does not arise from the victim’s identity but from the possibility that other individuals may misuse their position, authority, or influence.</w:t>
      </w:r>
    </w:p>
    <w:p w14:paraId="2B22B0AA" w14:textId="77777777" w:rsidR="001E3D75" w:rsidRDefault="00000000">
      <w:r>
        <w:t>The data show that sexual violence may occur across various spaces of campus interaction. Incidents were identified not only during formal classroom activities but also during academic and thesis supervision, off-campus assignments, student organization activities, field placements, internships, community service programs, research, community engagement activities, and informal interactions. The diversity of these settings demonstrates that power relations do not operate exclusively in classrooms. They may also emerge in private communication, meetings outside academic hours, field activities, travel, temporary accommodation, and digital interactions.</w:t>
      </w:r>
    </w:p>
    <w:p w14:paraId="464398A7" w14:textId="7F225CBA" w:rsidR="001E3D75" w:rsidRDefault="00000000">
      <w:pPr>
        <w:jc w:val="center"/>
      </w:pPr>
      <w:r>
        <w:rPr>
          <w:b/>
          <w:bCs/>
        </w:rPr>
        <w:t>Figure 1</w:t>
      </w:r>
      <w:r>
        <w:t>: Reported Contexts of Sexual Violence Across Campus-Related Activities</w:t>
      </w:r>
    </w:p>
    <w:p w14:paraId="718A26BB" w14:textId="33E874A5" w:rsidR="001E3D75" w:rsidRDefault="00000000">
      <w:pPr>
        <w:jc w:val="center"/>
      </w:pPr>
      <w:r>
        <w:rPr>
          <w:noProof/>
        </w:rPr>
        <w:drawing>
          <wp:inline distT="0" distB="0" distL="0" distR="0" wp14:anchorId="2AC2A00D" wp14:editId="42D1A049">
            <wp:extent cx="3989531" cy="2245304"/>
            <wp:effectExtent l="0" t="0" r="0" b="3175"/>
            <wp:docPr id="746063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6610" cy="2260544"/>
                    </a:xfrm>
                    <a:prstGeom prst="rect">
                      <a:avLst/>
                    </a:prstGeom>
                    <a:noFill/>
                  </pic:spPr>
                </pic:pic>
              </a:graphicData>
            </a:graphic>
          </wp:inline>
        </w:drawing>
      </w:r>
    </w:p>
    <w:p w14:paraId="1C2C102A" w14:textId="14CC6F8F" w:rsidR="001E3D75" w:rsidRDefault="00000000">
      <w:pPr>
        <w:ind w:firstLine="0"/>
      </w:pPr>
      <w:r>
        <w:rPr>
          <w:i/>
          <w:iCs/>
        </w:rPr>
        <w:t>Note</w:t>
      </w:r>
      <w:r>
        <w:t>. Multiple responses were allowed. The figure presents respondents’ reports of sexual violence across campus-related activities. Categories are not mutually exclusive.</w:t>
      </w:r>
    </w:p>
    <w:p w14:paraId="6CE029E5" w14:textId="77777777" w:rsidR="001E3D75" w:rsidRDefault="00000000">
      <w:r>
        <w:t xml:space="preserve">Across these activities, responses identifying friends or other individuals as survivors were more frequent than respondents’ direct disclosures. This pattern should be interpreted </w:t>
      </w:r>
      <w:r>
        <w:lastRenderedPageBreak/>
        <w:t>cautiously because it may reflect the difficulty of acknowledging or openly disclosing personal experiences in contexts shaped by stigma, concerns about confidentiality, academic consequences, and uncertainty about institutional responses.</w:t>
      </w:r>
    </w:p>
    <w:p w14:paraId="6EB4229C" w14:textId="77777777" w:rsidR="001E3D75" w:rsidRDefault="00000000">
      <w:r>
        <w:t>The diversity of individuals identified as perpetrators also indicates that sexual violence may involve actors occupying different positions within the higher education ecosystem. The individuals identified by respondents included students, lecturers, administrative staff, university leaders, student organization leaders, campus service personnel, individuals at internship or fieldwork locations, and persons who were not members of the campus community. The distribution is presented in Table 2.</w:t>
      </w:r>
    </w:p>
    <w:p w14:paraId="0FA0B495" w14:textId="77777777" w:rsidR="001E3D75" w:rsidRDefault="00000000">
      <w:pPr>
        <w:pStyle w:val="JPSSCaption"/>
        <w:keepNext/>
      </w:pPr>
      <w:r>
        <w:rPr>
          <w:rFonts w:cs="Times New Roman"/>
          <w:b/>
        </w:rPr>
        <w:t>Table 2:</w:t>
      </w:r>
      <w:r>
        <w:rPr>
          <w:rFonts w:cs="Times New Roman"/>
        </w:rPr>
        <w:t xml:space="preserve"> Categories of Individuals Identified as Perpetrators of Sexual Violence</w:t>
      </w:r>
    </w:p>
    <w:tbl>
      <w:tblPr>
        <w:tblStyle w:val="TableGrid"/>
        <w:tblW w:w="0" w:type="auto"/>
        <w:jc w:val="center"/>
        <w:tblLayout w:type="fixed"/>
        <w:tblLook w:val="04A0" w:firstRow="1" w:lastRow="0" w:firstColumn="1" w:lastColumn="0" w:noHBand="0" w:noVBand="1"/>
      </w:tblPr>
      <w:tblGrid>
        <w:gridCol w:w="4608"/>
        <w:gridCol w:w="1468"/>
        <w:gridCol w:w="1468"/>
        <w:gridCol w:w="1468"/>
      </w:tblGrid>
      <w:tr w:rsidR="001E3D75" w14:paraId="07B8599D" w14:textId="77777777">
        <w:trPr>
          <w:tblHeader/>
          <w:jc w:val="center"/>
        </w:trPr>
        <w:tc>
          <w:tcPr>
            <w:tcW w:w="4608" w:type="dxa"/>
            <w:tcBorders>
              <w:top w:val="single" w:sz="8" w:space="0" w:color="000000"/>
              <w:left w:val="nil"/>
              <w:bottom w:val="single" w:sz="8" w:space="0" w:color="000000"/>
              <w:right w:val="nil"/>
            </w:tcBorders>
            <w:shd w:val="clear" w:color="auto" w:fill="E7E6E6"/>
            <w:vAlign w:val="center"/>
          </w:tcPr>
          <w:p w14:paraId="233C7FFD" w14:textId="77777777" w:rsidR="001E3D75" w:rsidRDefault="00000000">
            <w:pPr>
              <w:spacing w:line="240" w:lineRule="auto"/>
              <w:ind w:firstLine="0"/>
              <w:jc w:val="center"/>
            </w:pPr>
            <w:r>
              <w:rPr>
                <w:b/>
              </w:rPr>
              <w:t>Category</w:t>
            </w:r>
          </w:p>
        </w:tc>
        <w:tc>
          <w:tcPr>
            <w:tcW w:w="1468" w:type="dxa"/>
            <w:tcBorders>
              <w:top w:val="single" w:sz="8" w:space="0" w:color="000000"/>
              <w:left w:val="nil"/>
              <w:bottom w:val="single" w:sz="8" w:space="0" w:color="000000"/>
              <w:right w:val="nil"/>
            </w:tcBorders>
            <w:shd w:val="clear" w:color="auto" w:fill="E7E6E6"/>
            <w:vAlign w:val="center"/>
          </w:tcPr>
          <w:p w14:paraId="6306C7CD" w14:textId="77777777" w:rsidR="001E3D75" w:rsidRDefault="00000000">
            <w:pPr>
              <w:spacing w:line="240" w:lineRule="auto"/>
              <w:ind w:firstLine="0"/>
              <w:jc w:val="center"/>
            </w:pPr>
            <w:r>
              <w:rPr>
                <w:b/>
              </w:rPr>
              <w:t>University A</w:t>
            </w:r>
          </w:p>
        </w:tc>
        <w:tc>
          <w:tcPr>
            <w:tcW w:w="1468" w:type="dxa"/>
            <w:tcBorders>
              <w:top w:val="single" w:sz="8" w:space="0" w:color="000000"/>
              <w:left w:val="nil"/>
              <w:bottom w:val="single" w:sz="8" w:space="0" w:color="000000"/>
              <w:right w:val="nil"/>
            </w:tcBorders>
            <w:shd w:val="clear" w:color="auto" w:fill="E7E6E6"/>
            <w:vAlign w:val="center"/>
          </w:tcPr>
          <w:p w14:paraId="162BFAD6" w14:textId="77777777" w:rsidR="001E3D75" w:rsidRDefault="00000000">
            <w:pPr>
              <w:spacing w:line="240" w:lineRule="auto"/>
              <w:ind w:firstLine="0"/>
              <w:jc w:val="center"/>
            </w:pPr>
            <w:r>
              <w:rPr>
                <w:b/>
              </w:rPr>
              <w:t>University B</w:t>
            </w:r>
          </w:p>
        </w:tc>
        <w:tc>
          <w:tcPr>
            <w:tcW w:w="1468" w:type="dxa"/>
            <w:tcBorders>
              <w:top w:val="single" w:sz="8" w:space="0" w:color="000000"/>
              <w:left w:val="nil"/>
              <w:bottom w:val="single" w:sz="8" w:space="0" w:color="000000"/>
              <w:right w:val="nil"/>
            </w:tcBorders>
            <w:shd w:val="clear" w:color="auto" w:fill="E7E6E6"/>
            <w:vAlign w:val="center"/>
          </w:tcPr>
          <w:p w14:paraId="3042A4C8" w14:textId="77777777" w:rsidR="001E3D75" w:rsidRDefault="00000000">
            <w:pPr>
              <w:spacing w:line="240" w:lineRule="auto"/>
              <w:ind w:firstLine="0"/>
              <w:jc w:val="center"/>
            </w:pPr>
            <w:r>
              <w:rPr>
                <w:b/>
              </w:rPr>
              <w:t>University C</w:t>
            </w:r>
          </w:p>
        </w:tc>
      </w:tr>
      <w:tr w:rsidR="001E3D75" w14:paraId="32F528AC" w14:textId="77777777">
        <w:trPr>
          <w:cantSplit/>
          <w:jc w:val="center"/>
        </w:trPr>
        <w:tc>
          <w:tcPr>
            <w:tcW w:w="4608" w:type="dxa"/>
            <w:tcBorders>
              <w:top w:val="nil"/>
              <w:left w:val="nil"/>
              <w:bottom w:val="nil"/>
              <w:right w:val="nil"/>
            </w:tcBorders>
            <w:vAlign w:val="center"/>
          </w:tcPr>
          <w:p w14:paraId="46527E0D" w14:textId="77777777" w:rsidR="001E3D75" w:rsidRDefault="00000000">
            <w:pPr>
              <w:spacing w:line="240" w:lineRule="auto"/>
              <w:ind w:firstLine="0"/>
              <w:jc w:val="left"/>
            </w:pPr>
            <w:r>
              <w:t>Leaders at the faculty, university, or foundation level</w:t>
            </w:r>
          </w:p>
        </w:tc>
        <w:tc>
          <w:tcPr>
            <w:tcW w:w="1468" w:type="dxa"/>
            <w:tcBorders>
              <w:top w:val="nil"/>
              <w:left w:val="nil"/>
              <w:bottom w:val="nil"/>
              <w:right w:val="nil"/>
            </w:tcBorders>
            <w:vAlign w:val="center"/>
          </w:tcPr>
          <w:p w14:paraId="65BAA465" w14:textId="77777777" w:rsidR="001E3D75" w:rsidRDefault="00000000">
            <w:pPr>
              <w:spacing w:line="240" w:lineRule="auto"/>
              <w:ind w:firstLine="0"/>
              <w:jc w:val="center"/>
            </w:pPr>
            <w:r>
              <w:t>8</w:t>
            </w:r>
          </w:p>
        </w:tc>
        <w:tc>
          <w:tcPr>
            <w:tcW w:w="1468" w:type="dxa"/>
            <w:tcBorders>
              <w:top w:val="nil"/>
              <w:left w:val="nil"/>
              <w:bottom w:val="nil"/>
              <w:right w:val="nil"/>
            </w:tcBorders>
            <w:vAlign w:val="center"/>
          </w:tcPr>
          <w:p w14:paraId="44419134" w14:textId="77777777" w:rsidR="001E3D75" w:rsidRDefault="00000000">
            <w:pPr>
              <w:spacing w:line="240" w:lineRule="auto"/>
              <w:ind w:firstLine="0"/>
              <w:jc w:val="center"/>
            </w:pPr>
            <w:r>
              <w:t>10</w:t>
            </w:r>
          </w:p>
        </w:tc>
        <w:tc>
          <w:tcPr>
            <w:tcW w:w="1468" w:type="dxa"/>
            <w:tcBorders>
              <w:top w:val="nil"/>
              <w:left w:val="nil"/>
              <w:bottom w:val="nil"/>
              <w:right w:val="nil"/>
            </w:tcBorders>
            <w:vAlign w:val="center"/>
          </w:tcPr>
          <w:p w14:paraId="226C61EB" w14:textId="77777777" w:rsidR="001E3D75" w:rsidRDefault="00000000">
            <w:pPr>
              <w:spacing w:line="240" w:lineRule="auto"/>
              <w:ind w:firstLine="0"/>
              <w:jc w:val="center"/>
            </w:pPr>
            <w:r>
              <w:t>3</w:t>
            </w:r>
          </w:p>
        </w:tc>
      </w:tr>
      <w:tr w:rsidR="001E3D75" w14:paraId="61EA312E" w14:textId="77777777">
        <w:trPr>
          <w:cantSplit/>
          <w:jc w:val="center"/>
        </w:trPr>
        <w:tc>
          <w:tcPr>
            <w:tcW w:w="4608" w:type="dxa"/>
            <w:tcBorders>
              <w:top w:val="nil"/>
              <w:left w:val="nil"/>
              <w:bottom w:val="nil"/>
              <w:right w:val="nil"/>
            </w:tcBorders>
            <w:vAlign w:val="center"/>
          </w:tcPr>
          <w:p w14:paraId="02262016" w14:textId="77777777" w:rsidR="001E3D75" w:rsidRDefault="00000000">
            <w:pPr>
              <w:spacing w:line="240" w:lineRule="auto"/>
              <w:ind w:firstLine="0"/>
              <w:jc w:val="left"/>
            </w:pPr>
            <w:r>
              <w:t>Lecturers</w:t>
            </w:r>
          </w:p>
        </w:tc>
        <w:tc>
          <w:tcPr>
            <w:tcW w:w="1468" w:type="dxa"/>
            <w:tcBorders>
              <w:top w:val="nil"/>
              <w:left w:val="nil"/>
              <w:bottom w:val="nil"/>
              <w:right w:val="nil"/>
            </w:tcBorders>
            <w:vAlign w:val="center"/>
          </w:tcPr>
          <w:p w14:paraId="0BA9980E" w14:textId="77777777" w:rsidR="001E3D75" w:rsidRDefault="00000000">
            <w:pPr>
              <w:spacing w:line="240" w:lineRule="auto"/>
              <w:ind w:firstLine="0"/>
              <w:jc w:val="center"/>
            </w:pPr>
            <w:r>
              <w:t>68</w:t>
            </w:r>
          </w:p>
        </w:tc>
        <w:tc>
          <w:tcPr>
            <w:tcW w:w="1468" w:type="dxa"/>
            <w:tcBorders>
              <w:top w:val="nil"/>
              <w:left w:val="nil"/>
              <w:bottom w:val="nil"/>
              <w:right w:val="nil"/>
            </w:tcBorders>
            <w:vAlign w:val="center"/>
          </w:tcPr>
          <w:p w14:paraId="043AFD13" w14:textId="77777777" w:rsidR="001E3D75" w:rsidRDefault="00000000">
            <w:pPr>
              <w:spacing w:line="240" w:lineRule="auto"/>
              <w:ind w:firstLine="0"/>
              <w:jc w:val="center"/>
            </w:pPr>
            <w:r>
              <w:t>10</w:t>
            </w:r>
          </w:p>
        </w:tc>
        <w:tc>
          <w:tcPr>
            <w:tcW w:w="1468" w:type="dxa"/>
            <w:tcBorders>
              <w:top w:val="nil"/>
              <w:left w:val="nil"/>
              <w:bottom w:val="nil"/>
              <w:right w:val="nil"/>
            </w:tcBorders>
            <w:vAlign w:val="center"/>
          </w:tcPr>
          <w:p w14:paraId="660B7DE9" w14:textId="77777777" w:rsidR="001E3D75" w:rsidRDefault="00000000">
            <w:pPr>
              <w:spacing w:line="240" w:lineRule="auto"/>
              <w:ind w:firstLine="0"/>
              <w:jc w:val="center"/>
            </w:pPr>
            <w:r>
              <w:t>35</w:t>
            </w:r>
          </w:p>
        </w:tc>
      </w:tr>
      <w:tr w:rsidR="001E3D75" w14:paraId="08AACD1F" w14:textId="77777777">
        <w:trPr>
          <w:cantSplit/>
          <w:jc w:val="center"/>
        </w:trPr>
        <w:tc>
          <w:tcPr>
            <w:tcW w:w="4608" w:type="dxa"/>
            <w:tcBorders>
              <w:top w:val="nil"/>
              <w:left w:val="nil"/>
              <w:bottom w:val="nil"/>
              <w:right w:val="nil"/>
            </w:tcBorders>
            <w:vAlign w:val="center"/>
          </w:tcPr>
          <w:p w14:paraId="706DAD57" w14:textId="77777777" w:rsidR="001E3D75" w:rsidRDefault="00000000">
            <w:pPr>
              <w:spacing w:line="240" w:lineRule="auto"/>
              <w:ind w:firstLine="0"/>
              <w:jc w:val="left"/>
            </w:pPr>
            <w:r>
              <w:t>Administrative staff</w:t>
            </w:r>
          </w:p>
        </w:tc>
        <w:tc>
          <w:tcPr>
            <w:tcW w:w="1468" w:type="dxa"/>
            <w:tcBorders>
              <w:top w:val="nil"/>
              <w:left w:val="nil"/>
              <w:bottom w:val="nil"/>
              <w:right w:val="nil"/>
            </w:tcBorders>
            <w:vAlign w:val="center"/>
          </w:tcPr>
          <w:p w14:paraId="3A9FD792" w14:textId="77777777" w:rsidR="001E3D75" w:rsidRDefault="00000000">
            <w:pPr>
              <w:spacing w:line="240" w:lineRule="auto"/>
              <w:ind w:firstLine="0"/>
              <w:jc w:val="center"/>
            </w:pPr>
            <w:r>
              <w:t>18</w:t>
            </w:r>
          </w:p>
        </w:tc>
        <w:tc>
          <w:tcPr>
            <w:tcW w:w="1468" w:type="dxa"/>
            <w:tcBorders>
              <w:top w:val="nil"/>
              <w:left w:val="nil"/>
              <w:bottom w:val="nil"/>
              <w:right w:val="nil"/>
            </w:tcBorders>
            <w:vAlign w:val="center"/>
          </w:tcPr>
          <w:p w14:paraId="211DC459" w14:textId="77777777" w:rsidR="001E3D75" w:rsidRDefault="00000000">
            <w:pPr>
              <w:spacing w:line="240" w:lineRule="auto"/>
              <w:ind w:firstLine="0"/>
              <w:jc w:val="center"/>
            </w:pPr>
            <w:r>
              <w:t>7</w:t>
            </w:r>
          </w:p>
        </w:tc>
        <w:tc>
          <w:tcPr>
            <w:tcW w:w="1468" w:type="dxa"/>
            <w:tcBorders>
              <w:top w:val="nil"/>
              <w:left w:val="nil"/>
              <w:bottom w:val="nil"/>
              <w:right w:val="nil"/>
            </w:tcBorders>
            <w:vAlign w:val="center"/>
          </w:tcPr>
          <w:p w14:paraId="0E0248AD" w14:textId="77777777" w:rsidR="001E3D75" w:rsidRDefault="00000000">
            <w:pPr>
              <w:spacing w:line="240" w:lineRule="auto"/>
              <w:ind w:firstLine="0"/>
              <w:jc w:val="center"/>
            </w:pPr>
            <w:r>
              <w:t>6</w:t>
            </w:r>
          </w:p>
        </w:tc>
      </w:tr>
      <w:tr w:rsidR="001E3D75" w14:paraId="238F17DC" w14:textId="77777777">
        <w:trPr>
          <w:cantSplit/>
          <w:jc w:val="center"/>
        </w:trPr>
        <w:tc>
          <w:tcPr>
            <w:tcW w:w="4608" w:type="dxa"/>
            <w:tcBorders>
              <w:top w:val="nil"/>
              <w:left w:val="nil"/>
              <w:bottom w:val="nil"/>
              <w:right w:val="nil"/>
            </w:tcBorders>
            <w:vAlign w:val="center"/>
          </w:tcPr>
          <w:p w14:paraId="1B8BE18D" w14:textId="77777777" w:rsidR="001E3D75" w:rsidRDefault="00000000">
            <w:pPr>
              <w:spacing w:line="240" w:lineRule="auto"/>
              <w:ind w:firstLine="0"/>
              <w:jc w:val="left"/>
            </w:pPr>
            <w:r>
              <w:t>Student organization leaders</w:t>
            </w:r>
          </w:p>
        </w:tc>
        <w:tc>
          <w:tcPr>
            <w:tcW w:w="1468" w:type="dxa"/>
            <w:tcBorders>
              <w:top w:val="nil"/>
              <w:left w:val="nil"/>
              <w:bottom w:val="nil"/>
              <w:right w:val="nil"/>
            </w:tcBorders>
            <w:vAlign w:val="center"/>
          </w:tcPr>
          <w:p w14:paraId="6058960B" w14:textId="77777777" w:rsidR="001E3D75" w:rsidRDefault="00000000">
            <w:pPr>
              <w:spacing w:line="240" w:lineRule="auto"/>
              <w:ind w:firstLine="0"/>
              <w:jc w:val="center"/>
            </w:pPr>
            <w:r>
              <w:t>5</w:t>
            </w:r>
          </w:p>
        </w:tc>
        <w:tc>
          <w:tcPr>
            <w:tcW w:w="1468" w:type="dxa"/>
            <w:tcBorders>
              <w:top w:val="nil"/>
              <w:left w:val="nil"/>
              <w:bottom w:val="nil"/>
              <w:right w:val="nil"/>
            </w:tcBorders>
            <w:vAlign w:val="center"/>
          </w:tcPr>
          <w:p w14:paraId="41810A33" w14:textId="77777777" w:rsidR="001E3D75" w:rsidRDefault="00000000">
            <w:pPr>
              <w:spacing w:line="240" w:lineRule="auto"/>
              <w:ind w:firstLine="0"/>
              <w:jc w:val="center"/>
            </w:pPr>
            <w:r>
              <w:t>9</w:t>
            </w:r>
          </w:p>
        </w:tc>
        <w:tc>
          <w:tcPr>
            <w:tcW w:w="1468" w:type="dxa"/>
            <w:tcBorders>
              <w:top w:val="nil"/>
              <w:left w:val="nil"/>
              <w:bottom w:val="nil"/>
              <w:right w:val="nil"/>
            </w:tcBorders>
            <w:vAlign w:val="center"/>
          </w:tcPr>
          <w:p w14:paraId="0E711714" w14:textId="77777777" w:rsidR="001E3D75" w:rsidRDefault="00000000">
            <w:pPr>
              <w:spacing w:line="240" w:lineRule="auto"/>
              <w:ind w:firstLine="0"/>
              <w:jc w:val="center"/>
            </w:pPr>
            <w:r>
              <w:t>4</w:t>
            </w:r>
          </w:p>
        </w:tc>
      </w:tr>
      <w:tr w:rsidR="001E3D75" w14:paraId="19F75E25" w14:textId="77777777">
        <w:trPr>
          <w:cantSplit/>
          <w:jc w:val="center"/>
        </w:trPr>
        <w:tc>
          <w:tcPr>
            <w:tcW w:w="4608" w:type="dxa"/>
            <w:tcBorders>
              <w:top w:val="nil"/>
              <w:left w:val="nil"/>
              <w:bottom w:val="nil"/>
              <w:right w:val="nil"/>
            </w:tcBorders>
            <w:vAlign w:val="center"/>
          </w:tcPr>
          <w:p w14:paraId="4393123D" w14:textId="77777777" w:rsidR="001E3D75" w:rsidRDefault="00000000">
            <w:pPr>
              <w:spacing w:line="240" w:lineRule="auto"/>
              <w:ind w:firstLine="0"/>
              <w:jc w:val="left"/>
            </w:pPr>
            <w:r>
              <w:t>Students</w:t>
            </w:r>
          </w:p>
        </w:tc>
        <w:tc>
          <w:tcPr>
            <w:tcW w:w="1468" w:type="dxa"/>
            <w:tcBorders>
              <w:top w:val="nil"/>
              <w:left w:val="nil"/>
              <w:bottom w:val="nil"/>
              <w:right w:val="nil"/>
            </w:tcBorders>
            <w:vAlign w:val="center"/>
          </w:tcPr>
          <w:p w14:paraId="7C2F744A" w14:textId="77777777" w:rsidR="001E3D75" w:rsidRDefault="00000000">
            <w:pPr>
              <w:spacing w:line="240" w:lineRule="auto"/>
              <w:ind w:firstLine="0"/>
              <w:jc w:val="center"/>
            </w:pPr>
            <w:r>
              <w:t>90</w:t>
            </w:r>
          </w:p>
        </w:tc>
        <w:tc>
          <w:tcPr>
            <w:tcW w:w="1468" w:type="dxa"/>
            <w:tcBorders>
              <w:top w:val="nil"/>
              <w:left w:val="nil"/>
              <w:bottom w:val="nil"/>
              <w:right w:val="nil"/>
            </w:tcBorders>
            <w:vAlign w:val="center"/>
          </w:tcPr>
          <w:p w14:paraId="438D3BAF" w14:textId="77777777" w:rsidR="001E3D75" w:rsidRDefault="00000000">
            <w:pPr>
              <w:spacing w:line="240" w:lineRule="auto"/>
              <w:ind w:firstLine="0"/>
              <w:jc w:val="center"/>
            </w:pPr>
            <w:r>
              <w:t>28</w:t>
            </w:r>
          </w:p>
        </w:tc>
        <w:tc>
          <w:tcPr>
            <w:tcW w:w="1468" w:type="dxa"/>
            <w:tcBorders>
              <w:top w:val="nil"/>
              <w:left w:val="nil"/>
              <w:bottom w:val="nil"/>
              <w:right w:val="nil"/>
            </w:tcBorders>
            <w:vAlign w:val="center"/>
          </w:tcPr>
          <w:p w14:paraId="1C378BB5" w14:textId="77777777" w:rsidR="001E3D75" w:rsidRDefault="00000000">
            <w:pPr>
              <w:spacing w:line="240" w:lineRule="auto"/>
              <w:ind w:firstLine="0"/>
              <w:jc w:val="center"/>
            </w:pPr>
            <w:r>
              <w:t>32</w:t>
            </w:r>
          </w:p>
        </w:tc>
      </w:tr>
      <w:tr w:rsidR="001E3D75" w14:paraId="5E53F7C0" w14:textId="77777777">
        <w:trPr>
          <w:cantSplit/>
          <w:jc w:val="center"/>
        </w:trPr>
        <w:tc>
          <w:tcPr>
            <w:tcW w:w="4608" w:type="dxa"/>
            <w:tcBorders>
              <w:top w:val="nil"/>
              <w:left w:val="nil"/>
              <w:bottom w:val="nil"/>
              <w:right w:val="nil"/>
            </w:tcBorders>
            <w:vAlign w:val="center"/>
          </w:tcPr>
          <w:p w14:paraId="41E37E8B" w14:textId="77777777" w:rsidR="001E3D75" w:rsidRDefault="00000000">
            <w:pPr>
              <w:spacing w:line="240" w:lineRule="auto"/>
              <w:ind w:firstLine="0"/>
              <w:jc w:val="left"/>
            </w:pPr>
            <w:r>
              <w:t>Security personnel</w:t>
            </w:r>
          </w:p>
        </w:tc>
        <w:tc>
          <w:tcPr>
            <w:tcW w:w="1468" w:type="dxa"/>
            <w:tcBorders>
              <w:top w:val="nil"/>
              <w:left w:val="nil"/>
              <w:bottom w:val="nil"/>
              <w:right w:val="nil"/>
            </w:tcBorders>
            <w:vAlign w:val="center"/>
          </w:tcPr>
          <w:p w14:paraId="4F7A70D0" w14:textId="77777777" w:rsidR="001E3D75" w:rsidRDefault="00000000">
            <w:pPr>
              <w:spacing w:line="240" w:lineRule="auto"/>
              <w:ind w:firstLine="0"/>
              <w:jc w:val="center"/>
            </w:pPr>
            <w:r>
              <w:t>9</w:t>
            </w:r>
          </w:p>
        </w:tc>
        <w:tc>
          <w:tcPr>
            <w:tcW w:w="1468" w:type="dxa"/>
            <w:tcBorders>
              <w:top w:val="nil"/>
              <w:left w:val="nil"/>
              <w:bottom w:val="nil"/>
              <w:right w:val="nil"/>
            </w:tcBorders>
            <w:vAlign w:val="center"/>
          </w:tcPr>
          <w:p w14:paraId="2746BEFF" w14:textId="77777777" w:rsidR="001E3D75" w:rsidRDefault="00000000">
            <w:pPr>
              <w:spacing w:line="240" w:lineRule="auto"/>
              <w:ind w:firstLine="0"/>
              <w:jc w:val="center"/>
            </w:pPr>
            <w:r>
              <w:t>3</w:t>
            </w:r>
          </w:p>
        </w:tc>
        <w:tc>
          <w:tcPr>
            <w:tcW w:w="1468" w:type="dxa"/>
            <w:tcBorders>
              <w:top w:val="nil"/>
              <w:left w:val="nil"/>
              <w:bottom w:val="nil"/>
              <w:right w:val="nil"/>
            </w:tcBorders>
            <w:vAlign w:val="center"/>
          </w:tcPr>
          <w:p w14:paraId="6019F189" w14:textId="77777777" w:rsidR="001E3D75" w:rsidRDefault="00000000">
            <w:pPr>
              <w:spacing w:line="240" w:lineRule="auto"/>
              <w:ind w:firstLine="0"/>
              <w:jc w:val="center"/>
            </w:pPr>
            <w:r>
              <w:t>3</w:t>
            </w:r>
          </w:p>
        </w:tc>
      </w:tr>
      <w:tr w:rsidR="001E3D75" w14:paraId="1F140DC2" w14:textId="77777777">
        <w:trPr>
          <w:cantSplit/>
          <w:jc w:val="center"/>
        </w:trPr>
        <w:tc>
          <w:tcPr>
            <w:tcW w:w="4608" w:type="dxa"/>
            <w:tcBorders>
              <w:top w:val="nil"/>
              <w:left w:val="nil"/>
              <w:bottom w:val="nil"/>
              <w:right w:val="nil"/>
            </w:tcBorders>
            <w:vAlign w:val="center"/>
          </w:tcPr>
          <w:p w14:paraId="56545891" w14:textId="77777777" w:rsidR="001E3D75" w:rsidRDefault="00000000">
            <w:pPr>
              <w:spacing w:line="240" w:lineRule="auto"/>
              <w:ind w:firstLine="0"/>
              <w:jc w:val="left"/>
            </w:pPr>
            <w:r>
              <w:t>Cleaning personnel</w:t>
            </w:r>
          </w:p>
        </w:tc>
        <w:tc>
          <w:tcPr>
            <w:tcW w:w="1468" w:type="dxa"/>
            <w:tcBorders>
              <w:top w:val="nil"/>
              <w:left w:val="nil"/>
              <w:bottom w:val="nil"/>
              <w:right w:val="nil"/>
            </w:tcBorders>
            <w:vAlign w:val="center"/>
          </w:tcPr>
          <w:p w14:paraId="7CD68804" w14:textId="77777777" w:rsidR="001E3D75" w:rsidRDefault="00000000">
            <w:pPr>
              <w:spacing w:line="240" w:lineRule="auto"/>
              <w:ind w:firstLine="0"/>
              <w:jc w:val="center"/>
            </w:pPr>
            <w:r>
              <w:t>2</w:t>
            </w:r>
          </w:p>
        </w:tc>
        <w:tc>
          <w:tcPr>
            <w:tcW w:w="1468" w:type="dxa"/>
            <w:tcBorders>
              <w:top w:val="nil"/>
              <w:left w:val="nil"/>
              <w:bottom w:val="nil"/>
              <w:right w:val="nil"/>
            </w:tcBorders>
            <w:vAlign w:val="center"/>
          </w:tcPr>
          <w:p w14:paraId="4D2CFD62" w14:textId="77777777" w:rsidR="001E3D75" w:rsidRDefault="00000000">
            <w:pPr>
              <w:spacing w:line="240" w:lineRule="auto"/>
              <w:ind w:firstLine="0"/>
              <w:jc w:val="center"/>
            </w:pPr>
            <w:r>
              <w:t>5</w:t>
            </w:r>
          </w:p>
        </w:tc>
        <w:tc>
          <w:tcPr>
            <w:tcW w:w="1468" w:type="dxa"/>
            <w:tcBorders>
              <w:top w:val="nil"/>
              <w:left w:val="nil"/>
              <w:bottom w:val="nil"/>
              <w:right w:val="nil"/>
            </w:tcBorders>
            <w:vAlign w:val="center"/>
          </w:tcPr>
          <w:p w14:paraId="52018339" w14:textId="77777777" w:rsidR="001E3D75" w:rsidRDefault="00000000">
            <w:pPr>
              <w:spacing w:line="240" w:lineRule="auto"/>
              <w:ind w:firstLine="0"/>
              <w:jc w:val="center"/>
            </w:pPr>
            <w:r>
              <w:t>3</w:t>
            </w:r>
          </w:p>
        </w:tc>
      </w:tr>
      <w:tr w:rsidR="001E3D75" w14:paraId="0DD027E2" w14:textId="77777777">
        <w:trPr>
          <w:cantSplit/>
          <w:jc w:val="center"/>
        </w:trPr>
        <w:tc>
          <w:tcPr>
            <w:tcW w:w="4608" w:type="dxa"/>
            <w:tcBorders>
              <w:top w:val="nil"/>
              <w:left w:val="nil"/>
              <w:bottom w:val="nil"/>
              <w:right w:val="nil"/>
            </w:tcBorders>
            <w:vAlign w:val="center"/>
          </w:tcPr>
          <w:p w14:paraId="5F607C1A" w14:textId="77777777" w:rsidR="001E3D75" w:rsidRDefault="00000000">
            <w:pPr>
              <w:spacing w:line="240" w:lineRule="auto"/>
              <w:ind w:firstLine="0"/>
              <w:jc w:val="left"/>
            </w:pPr>
            <w:r>
              <w:t>Canteen attendants or other campus service personnel</w:t>
            </w:r>
          </w:p>
        </w:tc>
        <w:tc>
          <w:tcPr>
            <w:tcW w:w="1468" w:type="dxa"/>
            <w:tcBorders>
              <w:top w:val="nil"/>
              <w:left w:val="nil"/>
              <w:bottom w:val="nil"/>
              <w:right w:val="nil"/>
            </w:tcBorders>
            <w:vAlign w:val="center"/>
          </w:tcPr>
          <w:p w14:paraId="1385ED3B" w14:textId="77777777" w:rsidR="001E3D75" w:rsidRDefault="00000000">
            <w:pPr>
              <w:spacing w:line="240" w:lineRule="auto"/>
              <w:ind w:firstLine="0"/>
              <w:jc w:val="center"/>
            </w:pPr>
            <w:r>
              <w:t>3</w:t>
            </w:r>
          </w:p>
        </w:tc>
        <w:tc>
          <w:tcPr>
            <w:tcW w:w="1468" w:type="dxa"/>
            <w:tcBorders>
              <w:top w:val="nil"/>
              <w:left w:val="nil"/>
              <w:bottom w:val="nil"/>
              <w:right w:val="nil"/>
            </w:tcBorders>
            <w:vAlign w:val="center"/>
          </w:tcPr>
          <w:p w14:paraId="13EAA69C" w14:textId="77777777" w:rsidR="001E3D75" w:rsidRDefault="00000000">
            <w:pPr>
              <w:spacing w:line="240" w:lineRule="auto"/>
              <w:ind w:firstLine="0"/>
              <w:jc w:val="center"/>
            </w:pPr>
            <w:r>
              <w:t>3</w:t>
            </w:r>
          </w:p>
        </w:tc>
        <w:tc>
          <w:tcPr>
            <w:tcW w:w="1468" w:type="dxa"/>
            <w:tcBorders>
              <w:top w:val="nil"/>
              <w:left w:val="nil"/>
              <w:bottom w:val="nil"/>
              <w:right w:val="nil"/>
            </w:tcBorders>
            <w:vAlign w:val="center"/>
          </w:tcPr>
          <w:p w14:paraId="2C066EAA" w14:textId="77777777" w:rsidR="001E3D75" w:rsidRDefault="00000000">
            <w:pPr>
              <w:spacing w:line="240" w:lineRule="auto"/>
              <w:ind w:firstLine="0"/>
              <w:jc w:val="center"/>
            </w:pPr>
            <w:r>
              <w:t>1</w:t>
            </w:r>
          </w:p>
        </w:tc>
      </w:tr>
      <w:tr w:rsidR="001E3D75" w14:paraId="3878EEC1" w14:textId="77777777">
        <w:trPr>
          <w:cantSplit/>
          <w:jc w:val="center"/>
        </w:trPr>
        <w:tc>
          <w:tcPr>
            <w:tcW w:w="4608" w:type="dxa"/>
            <w:tcBorders>
              <w:top w:val="nil"/>
              <w:left w:val="nil"/>
              <w:bottom w:val="nil"/>
              <w:right w:val="nil"/>
            </w:tcBorders>
            <w:vAlign w:val="center"/>
          </w:tcPr>
          <w:p w14:paraId="0596BE74" w14:textId="77777777" w:rsidR="001E3D75" w:rsidRDefault="00000000">
            <w:pPr>
              <w:spacing w:line="240" w:lineRule="auto"/>
              <w:ind w:firstLine="0"/>
              <w:jc w:val="left"/>
            </w:pPr>
            <w:r>
              <w:t>Non-campus individuals, including boarding-house residents, strangers, guests, and construction workers</w:t>
            </w:r>
          </w:p>
        </w:tc>
        <w:tc>
          <w:tcPr>
            <w:tcW w:w="1468" w:type="dxa"/>
            <w:tcBorders>
              <w:top w:val="nil"/>
              <w:left w:val="nil"/>
              <w:bottom w:val="nil"/>
              <w:right w:val="nil"/>
            </w:tcBorders>
            <w:vAlign w:val="center"/>
          </w:tcPr>
          <w:p w14:paraId="03152835" w14:textId="77777777" w:rsidR="001E3D75" w:rsidRDefault="00000000">
            <w:pPr>
              <w:spacing w:line="240" w:lineRule="auto"/>
              <w:ind w:firstLine="0"/>
              <w:jc w:val="center"/>
            </w:pPr>
            <w:r>
              <w:t>85</w:t>
            </w:r>
          </w:p>
        </w:tc>
        <w:tc>
          <w:tcPr>
            <w:tcW w:w="1468" w:type="dxa"/>
            <w:tcBorders>
              <w:top w:val="nil"/>
              <w:left w:val="nil"/>
              <w:bottom w:val="nil"/>
              <w:right w:val="nil"/>
            </w:tcBorders>
            <w:vAlign w:val="center"/>
          </w:tcPr>
          <w:p w14:paraId="5DB43858" w14:textId="77777777" w:rsidR="001E3D75" w:rsidRDefault="00000000">
            <w:pPr>
              <w:spacing w:line="240" w:lineRule="auto"/>
              <w:ind w:firstLine="0"/>
              <w:jc w:val="center"/>
            </w:pPr>
            <w:r>
              <w:t>45</w:t>
            </w:r>
          </w:p>
        </w:tc>
        <w:tc>
          <w:tcPr>
            <w:tcW w:w="1468" w:type="dxa"/>
            <w:tcBorders>
              <w:top w:val="nil"/>
              <w:left w:val="nil"/>
              <w:bottom w:val="nil"/>
              <w:right w:val="nil"/>
            </w:tcBorders>
            <w:vAlign w:val="center"/>
          </w:tcPr>
          <w:p w14:paraId="65E25F8F" w14:textId="77777777" w:rsidR="001E3D75" w:rsidRDefault="00000000">
            <w:pPr>
              <w:spacing w:line="240" w:lineRule="auto"/>
              <w:ind w:firstLine="0"/>
              <w:jc w:val="center"/>
            </w:pPr>
            <w:r>
              <w:t>37</w:t>
            </w:r>
          </w:p>
        </w:tc>
      </w:tr>
      <w:tr w:rsidR="001E3D75" w14:paraId="39257D1B" w14:textId="77777777">
        <w:trPr>
          <w:cantSplit/>
          <w:jc w:val="center"/>
        </w:trPr>
        <w:tc>
          <w:tcPr>
            <w:tcW w:w="4608" w:type="dxa"/>
            <w:tcBorders>
              <w:top w:val="nil"/>
              <w:left w:val="nil"/>
              <w:bottom w:val="nil"/>
              <w:right w:val="nil"/>
            </w:tcBorders>
            <w:vAlign w:val="center"/>
          </w:tcPr>
          <w:p w14:paraId="126C3AFB" w14:textId="77777777" w:rsidR="001E3D75" w:rsidRDefault="00000000">
            <w:pPr>
              <w:spacing w:line="240" w:lineRule="auto"/>
              <w:ind w:firstLine="0"/>
              <w:jc w:val="left"/>
            </w:pPr>
            <w:r>
              <w:t>Leaders and staff at internship, fieldwork, community service, or research locations</w:t>
            </w:r>
          </w:p>
        </w:tc>
        <w:tc>
          <w:tcPr>
            <w:tcW w:w="1468" w:type="dxa"/>
            <w:tcBorders>
              <w:top w:val="nil"/>
              <w:left w:val="nil"/>
              <w:bottom w:val="nil"/>
              <w:right w:val="nil"/>
            </w:tcBorders>
            <w:vAlign w:val="center"/>
          </w:tcPr>
          <w:p w14:paraId="5D1F72FE" w14:textId="77777777" w:rsidR="001E3D75" w:rsidRDefault="00000000">
            <w:pPr>
              <w:spacing w:line="240" w:lineRule="auto"/>
              <w:ind w:firstLine="0"/>
              <w:jc w:val="center"/>
            </w:pPr>
            <w:r>
              <w:t>10</w:t>
            </w:r>
          </w:p>
        </w:tc>
        <w:tc>
          <w:tcPr>
            <w:tcW w:w="1468" w:type="dxa"/>
            <w:tcBorders>
              <w:top w:val="nil"/>
              <w:left w:val="nil"/>
              <w:bottom w:val="nil"/>
              <w:right w:val="nil"/>
            </w:tcBorders>
            <w:vAlign w:val="center"/>
          </w:tcPr>
          <w:p w14:paraId="1A8B62E0" w14:textId="77777777" w:rsidR="001E3D75" w:rsidRDefault="00000000">
            <w:pPr>
              <w:spacing w:line="240" w:lineRule="auto"/>
              <w:ind w:firstLine="0"/>
              <w:jc w:val="center"/>
            </w:pPr>
            <w:r>
              <w:t>2</w:t>
            </w:r>
          </w:p>
        </w:tc>
        <w:tc>
          <w:tcPr>
            <w:tcW w:w="1468" w:type="dxa"/>
            <w:tcBorders>
              <w:top w:val="nil"/>
              <w:left w:val="nil"/>
              <w:bottom w:val="nil"/>
              <w:right w:val="nil"/>
            </w:tcBorders>
            <w:vAlign w:val="center"/>
          </w:tcPr>
          <w:p w14:paraId="705CF4BA" w14:textId="77777777" w:rsidR="001E3D75" w:rsidRDefault="00000000">
            <w:pPr>
              <w:spacing w:line="240" w:lineRule="auto"/>
              <w:ind w:firstLine="0"/>
              <w:jc w:val="center"/>
            </w:pPr>
            <w:r>
              <w:t>3</w:t>
            </w:r>
          </w:p>
        </w:tc>
      </w:tr>
      <w:tr w:rsidR="001E3D75" w14:paraId="66B19B27" w14:textId="77777777">
        <w:trPr>
          <w:cantSplit/>
          <w:jc w:val="center"/>
        </w:trPr>
        <w:tc>
          <w:tcPr>
            <w:tcW w:w="4608" w:type="dxa"/>
            <w:tcBorders>
              <w:top w:val="nil"/>
              <w:left w:val="nil"/>
              <w:bottom w:val="nil"/>
              <w:right w:val="nil"/>
            </w:tcBorders>
            <w:vAlign w:val="center"/>
          </w:tcPr>
          <w:p w14:paraId="6E3D4042" w14:textId="77777777" w:rsidR="001E3D75" w:rsidRDefault="00000000">
            <w:pPr>
              <w:spacing w:line="240" w:lineRule="auto"/>
              <w:ind w:firstLine="0"/>
              <w:jc w:val="left"/>
            </w:pPr>
            <w:r>
              <w:t>Others</w:t>
            </w:r>
          </w:p>
        </w:tc>
        <w:tc>
          <w:tcPr>
            <w:tcW w:w="1468" w:type="dxa"/>
            <w:tcBorders>
              <w:top w:val="nil"/>
              <w:left w:val="nil"/>
              <w:bottom w:val="nil"/>
              <w:right w:val="nil"/>
            </w:tcBorders>
            <w:vAlign w:val="center"/>
          </w:tcPr>
          <w:p w14:paraId="3ED720CF" w14:textId="77777777" w:rsidR="001E3D75" w:rsidRDefault="00000000">
            <w:pPr>
              <w:spacing w:line="240" w:lineRule="auto"/>
              <w:ind w:firstLine="0"/>
              <w:jc w:val="center"/>
            </w:pPr>
            <w:r>
              <w:t>18</w:t>
            </w:r>
          </w:p>
        </w:tc>
        <w:tc>
          <w:tcPr>
            <w:tcW w:w="1468" w:type="dxa"/>
            <w:tcBorders>
              <w:top w:val="nil"/>
              <w:left w:val="nil"/>
              <w:bottom w:val="nil"/>
              <w:right w:val="nil"/>
            </w:tcBorders>
            <w:vAlign w:val="center"/>
          </w:tcPr>
          <w:p w14:paraId="5E12705A" w14:textId="77777777" w:rsidR="001E3D75" w:rsidRDefault="00000000">
            <w:pPr>
              <w:spacing w:line="240" w:lineRule="auto"/>
              <w:ind w:firstLine="0"/>
              <w:jc w:val="center"/>
            </w:pPr>
            <w:r>
              <w:t>22</w:t>
            </w:r>
          </w:p>
        </w:tc>
        <w:tc>
          <w:tcPr>
            <w:tcW w:w="1468" w:type="dxa"/>
            <w:tcBorders>
              <w:top w:val="nil"/>
              <w:left w:val="nil"/>
              <w:bottom w:val="nil"/>
              <w:right w:val="nil"/>
            </w:tcBorders>
            <w:vAlign w:val="center"/>
          </w:tcPr>
          <w:p w14:paraId="046D0DA8" w14:textId="77777777" w:rsidR="001E3D75" w:rsidRDefault="00000000">
            <w:pPr>
              <w:spacing w:line="240" w:lineRule="auto"/>
              <w:ind w:firstLine="0"/>
              <w:jc w:val="center"/>
            </w:pPr>
            <w:r>
              <w:t>4</w:t>
            </w:r>
          </w:p>
        </w:tc>
      </w:tr>
      <w:tr w:rsidR="001E3D75" w14:paraId="6DA84A5F" w14:textId="77777777">
        <w:trPr>
          <w:cantSplit/>
          <w:jc w:val="center"/>
        </w:trPr>
        <w:tc>
          <w:tcPr>
            <w:tcW w:w="4608" w:type="dxa"/>
            <w:tcBorders>
              <w:top w:val="nil"/>
              <w:left w:val="nil"/>
              <w:bottom w:val="single" w:sz="8" w:space="0" w:color="000000"/>
              <w:right w:val="nil"/>
            </w:tcBorders>
            <w:vAlign w:val="center"/>
          </w:tcPr>
          <w:p w14:paraId="469A1F0E" w14:textId="77777777" w:rsidR="001E3D75" w:rsidRDefault="00000000">
            <w:pPr>
              <w:spacing w:line="240" w:lineRule="auto"/>
              <w:ind w:firstLine="0"/>
              <w:jc w:val="left"/>
            </w:pPr>
            <w:r>
              <w:t>Total</w:t>
            </w:r>
          </w:p>
        </w:tc>
        <w:tc>
          <w:tcPr>
            <w:tcW w:w="1468" w:type="dxa"/>
            <w:tcBorders>
              <w:top w:val="nil"/>
              <w:left w:val="nil"/>
              <w:bottom w:val="single" w:sz="8" w:space="0" w:color="000000"/>
              <w:right w:val="nil"/>
            </w:tcBorders>
            <w:vAlign w:val="center"/>
          </w:tcPr>
          <w:p w14:paraId="21A6278A" w14:textId="77777777" w:rsidR="001E3D75" w:rsidRDefault="00000000">
            <w:pPr>
              <w:spacing w:line="240" w:lineRule="auto"/>
              <w:ind w:firstLine="0"/>
              <w:jc w:val="center"/>
            </w:pPr>
            <w:r>
              <w:t>316</w:t>
            </w:r>
          </w:p>
        </w:tc>
        <w:tc>
          <w:tcPr>
            <w:tcW w:w="1468" w:type="dxa"/>
            <w:tcBorders>
              <w:top w:val="nil"/>
              <w:left w:val="nil"/>
              <w:bottom w:val="single" w:sz="8" w:space="0" w:color="000000"/>
              <w:right w:val="nil"/>
            </w:tcBorders>
            <w:vAlign w:val="center"/>
          </w:tcPr>
          <w:p w14:paraId="7E47AF99" w14:textId="77777777" w:rsidR="001E3D75" w:rsidRDefault="00000000">
            <w:pPr>
              <w:spacing w:line="240" w:lineRule="auto"/>
              <w:ind w:firstLine="0"/>
              <w:jc w:val="center"/>
            </w:pPr>
            <w:r>
              <w:t>144</w:t>
            </w:r>
          </w:p>
        </w:tc>
        <w:tc>
          <w:tcPr>
            <w:tcW w:w="1468" w:type="dxa"/>
            <w:tcBorders>
              <w:top w:val="nil"/>
              <w:left w:val="nil"/>
              <w:bottom w:val="single" w:sz="8" w:space="0" w:color="000000"/>
              <w:right w:val="nil"/>
            </w:tcBorders>
            <w:vAlign w:val="center"/>
          </w:tcPr>
          <w:p w14:paraId="1F2871F3" w14:textId="77777777" w:rsidR="001E3D75" w:rsidRDefault="00000000">
            <w:pPr>
              <w:spacing w:line="240" w:lineRule="auto"/>
              <w:ind w:firstLine="0"/>
              <w:jc w:val="center"/>
            </w:pPr>
            <w:r>
              <w:t>131</w:t>
            </w:r>
          </w:p>
        </w:tc>
      </w:tr>
    </w:tbl>
    <w:p w14:paraId="6C3A0935" w14:textId="77777777" w:rsidR="001E3D75" w:rsidRDefault="00000000">
      <w:pPr>
        <w:pStyle w:val="JPSSNote"/>
      </w:pPr>
      <w:r>
        <w:rPr>
          <w:rFonts w:cs="Times New Roman"/>
          <w:i/>
        </w:rPr>
        <w:t xml:space="preserve">Note. </w:t>
      </w:r>
      <w:r>
        <w:rPr>
          <w:rFonts w:cs="Times New Roman"/>
        </w:rPr>
        <w:t>University labels have been anonymized for double-blind review. Respondents could identify more than one category; totals therefore exceed the number of survey respondents.</w:t>
      </w:r>
    </w:p>
    <w:p w14:paraId="09802946" w14:textId="77777777" w:rsidR="001E3D75" w:rsidRDefault="00000000">
      <w:r>
        <w:t xml:space="preserve">The data in Table 2 show that students, lecturers, and individuals from outside the campus were among the categories frequently mentioned. These findings are not intended to label particular groups as perpetrators in general. Instead, the data demonstrate that sexual violence may occur in both peer relationships and hierarchical relationships. Sexual violence </w:t>
      </w:r>
      <w:r>
        <w:lastRenderedPageBreak/>
        <w:t>among students may be related to seniority, organizational influence, group pressure, or personal relationships. Sexual violence involving lecturers, university leaders, or field supervisors carries a stronger dimension of power relations because victims may depend on these individuals for assessment, supervision, permission, recommendations, and the continuation of academic activities.</w:t>
      </w:r>
    </w:p>
    <w:p w14:paraId="14BC0F04" w14:textId="77777777" w:rsidR="001E3D75" w:rsidRDefault="00000000">
      <w:r>
        <w:t>Individuals who were not members of the campus community were also frequently mentioned by respondents. This finding shows that the scope of protection provided by higher education institutions cannot be limited to the physical campus environment or to relationships among campus community members. Internships, fieldwork, community service programs, research activities, student accommodation, and interactions with external service providers remain part of the educational experience. Higher education institutions must therefore ensure that protection, reporting procedures, and assistance remain accessible when violence occurs outside the campus, provided that the incident is connected to the implementation of educational activities.</w:t>
      </w:r>
    </w:p>
    <w:p w14:paraId="0D98C2DB" w14:textId="77777777" w:rsidR="001E3D75" w:rsidRDefault="00000000">
      <w:r>
        <w:t>Power relations in this study are not understood solely as formal relationships between leaders and subordinates. Power may also arise from seniority, popularity, proximity to university leaders, organizational positions, the ability to influence grades, and control over access to academic activities. An individual may occupy a vulnerable position when rejecting sexual conduct is expected to result in adverse consequences, such as lower grades, difficulties in obtaining supervision, exclusion from activities, loss of organizational positions, social pressure, or isolation from a group.</w:t>
      </w:r>
    </w:p>
    <w:p w14:paraId="3877FA17" w14:textId="77777777" w:rsidR="001E3D75" w:rsidRDefault="00000000">
      <w:r>
        <w:t xml:space="preserve">These findings demonstrate that sexual violence in higher education cannot be adequately explained merely as individual behavior. Violence may arise when unequal relationships intersect with weak supervision, unclear boundaries of interaction, and the absence of trusted protection mechanisms. A victim’s dependency on an individual who </w:t>
      </w:r>
      <w:r>
        <w:lastRenderedPageBreak/>
        <w:t>holds authority may restrict the victim’s ability to refuse and report the conduct. Prevention efforts must therefore focus on establishing more transparent academic relationships, limiting high-risk private meetings, providing secure consultation channels, protecting victims from retaliation, and monitoring the use of authority in academic processes and student activities.</w:t>
      </w:r>
    </w:p>
    <w:p w14:paraId="6DC21679" w14:textId="77777777" w:rsidR="001E3D75" w:rsidRDefault="00000000">
      <w:r>
        <w:t>Power relations are also closely associated with the formation of a culture of silence. When perpetrators hold positions, influence, or the ability to determine a victim’s academic future, reporting may be perceived as a high-risk action. Victims consider not only the violence they have experienced but also the possibility of losing academic opportunities, facing stigma, being disbelieved, or being blamed by their surroundings. The relationship between positional inequality and fear of consequences subsequently provides a basis for understanding the normalization of sexual conduct and the limited use of reporting mechanisms within higher education institutions.</w:t>
      </w:r>
    </w:p>
    <w:p w14:paraId="49E52328" w14:textId="77777777" w:rsidR="001E3D75" w:rsidRDefault="00000000">
      <w:pPr>
        <w:pStyle w:val="JPSSHeading2"/>
        <w:keepNext/>
      </w:pPr>
      <w:r>
        <w:t>Normalization of Sexual Violence and Limited Literacy</w:t>
      </w:r>
    </w:p>
    <w:p w14:paraId="76829177" w14:textId="77777777" w:rsidR="001E3D75" w:rsidRDefault="00000000">
      <w:r>
        <w:t>The findings indicate that members of the campus community do not yet have an equally comprehensive understanding of sexual violence. Some respondents understood sexual violence as conduct that violates individual rights, undermines human dignity, and causes harm to victims. Their understanding, however, was primarily directed toward physical acts or actions involving overt coercion. Verbal, nonverbal, symbolic, and digital forms of sexual violence were not always recognized as forms of sexual violence. This limited understanding blurred the boundaries between ordinary interaction, joking, personal approaches, and unwanted sexual conduct.</w:t>
      </w:r>
    </w:p>
    <w:p w14:paraId="0A137D91" w14:textId="77777777" w:rsidR="001E3D75" w:rsidRDefault="00000000">
      <w:r>
        <w:t xml:space="preserve">Conduct that may be normalized includes sexual jokes, whistling or catcalling, comments about a person’s body and appearance, questions about sexual life, the sending of sexually explicit messages or images, uncomfortable staring, and physical contact without consent. Such conduct may be regarded as normal when it frequently occurs in campus social </w:t>
      </w:r>
      <w:r>
        <w:lastRenderedPageBreak/>
        <w:t>interactions, student organizations, digital communication, or friendships. The assumption that these actions are merely jokes may obscure victims’ experiences and reduce awareness that the conduct has violated personal boundaries.</w:t>
      </w:r>
    </w:p>
    <w:p w14:paraId="28C4D68E" w14:textId="77777777" w:rsidR="001E3D75" w:rsidRDefault="00000000">
      <w:r>
        <w:t>Normalization is also associated with limited understanding of consent. Consent cannot be inferred solely from personal closeness, friendship, dating status, silence, or the absence of physical resistance. Consent must be given consciously, freely, clearly, and without pressure. In unequal relationships, a person may appear to accept an action because they feel afraid, reluctant to refuse, or dependent on the other party. This condition shows that the absence of an explicit refusal cannot always be interpreted as consent.</w:t>
      </w:r>
    </w:p>
    <w:p w14:paraId="2267C5E0" w14:textId="77777777" w:rsidR="001E3D75" w:rsidRDefault="00000000">
      <w:r>
        <w:t>Power imbalances reinforce the normalization process. Jokes, private messages, invitations to meet, or sexual comments may be difficult to reject when they come from lecturers, senior students, organizational leaders, supervisors, or other individuals in influential positions. Victims may hesitate to identify such conduct as a violation because the perpetrator holds a stronger academic or social position. When the surrounding environment also regards the conduct as normal, victims may question their own judgment and choose not to disclose their experiences.</w:t>
      </w:r>
    </w:p>
    <w:p w14:paraId="021EF660" w14:textId="77777777" w:rsidR="001E3D75" w:rsidRDefault="00000000">
      <w:r>
        <w:t>Limited literacy was identified not only in the ability to recognize forms of sexual violence, but also in the understanding of victims’ rights, the responsibilities of witnesses, protection for complainants, and case-handling procedures. Members of the campus community who do not understand victims’ rights may respond inappropriately by asking victims to remain silent, questioning their clothing or behavior, suggesting that the matter be resolved privately, or assuming that reporting the case will damage the institution’s reputation. Such responses may cause revictimization and make victims even more reluctant to seek assistance.</w:t>
      </w:r>
    </w:p>
    <w:p w14:paraId="78DE65BD" w14:textId="77777777" w:rsidR="001E3D75" w:rsidRDefault="00000000">
      <w:r>
        <w:lastRenderedPageBreak/>
        <w:t>The findings show that the attitudes of campus community members are strongly influenced by how they understand sexual violence. Adequate understanding can foster attitudes that support victims, while limited understanding may lead to justification of perpetrators’ actions or mistreatment of victims. Victim-blaming attitudes, doubts about victims’ accounts, and judgments based on victims’ appearance or relationship with the perpetrator form part of a culture that sustains the normalization of violence. This condition shifts responsibility for the violence from the perpetrator’s actions to the victim’s behavior.</w:t>
      </w:r>
    </w:p>
    <w:p w14:paraId="06F1EB98" w14:textId="77777777" w:rsidR="001E3D75" w:rsidRDefault="00000000">
      <w:r>
        <w:t>Education on sexual violence is needed to help members of the campus community recognize different forms of misconduct, understand the concept of consent, identify power imbalances, and respond appropriately to victims. Educational interventions can increase students’ awareness and improve their ability to recognize and respond to sexual violence (Schneider &amp; Hirsch, 2020). Materials on sexual violence prevention and response also need to be integrated into teaching materials and learning processes. Knowledge should not be limited to the dissemination of regulations but should develop into critical awareness and actions that support victim protection (Yusran et al., 2022).</w:t>
      </w:r>
    </w:p>
    <w:p w14:paraId="09E7C7DD" w14:textId="77777777" w:rsidR="001E3D75" w:rsidRDefault="00000000">
      <w:r>
        <w:t>Literacy development should be carried out using case examples that are closely related to campus life. Educational materials should not be limited to definitions of sexual violence. They should also address situations occurring in classroom activities, academic supervision, student organizations, digital communication, field activities, research, internships, and community service programs. A case-based approach can help members of the campus community distinguish between equal interactions and conduct involving pressure, manipulation, or abuse of authority.</w:t>
      </w:r>
    </w:p>
    <w:p w14:paraId="1BEB321E" w14:textId="77777777" w:rsidR="001E3D75" w:rsidRDefault="00000000">
      <w:r>
        <w:t xml:space="preserve">The normalization of sexual violence is formed when conduct that violates personal boundaries is regarded as a joke, a common habit, or a risk that must be accepted in social and academic relationships. Limited literacy concerning forms of violence, consent, power </w:t>
      </w:r>
      <w:r>
        <w:lastRenderedPageBreak/>
        <w:t>relations, and victims’ rights makes it difficult for members of the campus community to recognize and respond appropriately to incidents. This normalization subsequently influences the decisions of victims and witnesses to disclose cases because their experiences may not be recognized as violations that warrant reporting.</w:t>
      </w:r>
    </w:p>
    <w:p w14:paraId="28EE71A8" w14:textId="77777777" w:rsidR="001E3D75" w:rsidRDefault="00000000">
      <w:pPr>
        <w:pStyle w:val="JPSSHeading2"/>
        <w:keepNext/>
      </w:pPr>
      <w:r>
        <w:t>Weaknesses in Reporting Mechanisms</w:t>
      </w:r>
    </w:p>
    <w:p w14:paraId="5E8AFBD1" w14:textId="77777777" w:rsidR="001E3D75" w:rsidRDefault="00000000">
      <w:r>
        <w:t>The findings show that the culture of silence surrounding sexual violence is influenced not only by the limited understanding of the campus community but also by the low use of reporting mechanisms. Of the 166 respondents who provided responses concerning case disclosure, 72 respondents, or 43.3%, stated that a case of sexual violence had been disclosed, shared, or reported. In contrast, 94 respondents, or 56.7%, stated that the case had not been reported. These data show that more than half of the cases known to respondents had not been disclosed to another party or processed through the available mechanisms.</w:t>
      </w:r>
    </w:p>
    <w:p w14:paraId="14EB6D33" w14:textId="77777777" w:rsidR="001E3D75" w:rsidRDefault="00000000">
      <w:pPr>
        <w:pStyle w:val="JPSSCaption"/>
        <w:keepNext/>
      </w:pPr>
      <w:r>
        <w:rPr>
          <w:rFonts w:cs="Times New Roman"/>
          <w:b/>
        </w:rPr>
        <w:t>Table 3:</w:t>
      </w:r>
      <w:r>
        <w:rPr>
          <w:rFonts w:cs="Times New Roman"/>
        </w:rPr>
        <w:t xml:space="preserve"> Disclosure or Reporting of Sexual Violence Cases</w:t>
      </w:r>
    </w:p>
    <w:tbl>
      <w:tblPr>
        <w:tblStyle w:val="TableGrid"/>
        <w:tblW w:w="0" w:type="auto"/>
        <w:jc w:val="center"/>
        <w:tblLayout w:type="fixed"/>
        <w:tblLook w:val="04A0" w:firstRow="1" w:lastRow="0" w:firstColumn="1" w:lastColumn="0" w:noHBand="0" w:noVBand="1"/>
      </w:tblPr>
      <w:tblGrid>
        <w:gridCol w:w="2376"/>
        <w:gridCol w:w="2376"/>
        <w:gridCol w:w="2736"/>
        <w:gridCol w:w="1584"/>
      </w:tblGrid>
      <w:tr w:rsidR="001E3D75" w14:paraId="19633772" w14:textId="77777777">
        <w:trPr>
          <w:tblHeader/>
          <w:jc w:val="center"/>
        </w:trPr>
        <w:tc>
          <w:tcPr>
            <w:tcW w:w="2376" w:type="dxa"/>
            <w:tcBorders>
              <w:top w:val="single" w:sz="8" w:space="0" w:color="000000"/>
              <w:left w:val="nil"/>
              <w:bottom w:val="single" w:sz="8" w:space="0" w:color="000000"/>
              <w:right w:val="nil"/>
            </w:tcBorders>
            <w:shd w:val="clear" w:color="auto" w:fill="E7E6E6"/>
            <w:vAlign w:val="center"/>
          </w:tcPr>
          <w:p w14:paraId="26C90310" w14:textId="77777777" w:rsidR="001E3D75" w:rsidRDefault="00000000">
            <w:pPr>
              <w:spacing w:line="240" w:lineRule="auto"/>
              <w:ind w:firstLine="0"/>
              <w:jc w:val="center"/>
            </w:pPr>
            <w:r>
              <w:rPr>
                <w:b/>
              </w:rPr>
              <w:t>Respondent Gender</w:t>
            </w:r>
          </w:p>
        </w:tc>
        <w:tc>
          <w:tcPr>
            <w:tcW w:w="2376" w:type="dxa"/>
            <w:tcBorders>
              <w:top w:val="single" w:sz="8" w:space="0" w:color="000000"/>
              <w:left w:val="nil"/>
              <w:bottom w:val="single" w:sz="8" w:space="0" w:color="000000"/>
              <w:right w:val="nil"/>
            </w:tcBorders>
            <w:shd w:val="clear" w:color="auto" w:fill="E7E6E6"/>
            <w:vAlign w:val="center"/>
          </w:tcPr>
          <w:p w14:paraId="088745DF" w14:textId="77777777" w:rsidR="001E3D75" w:rsidRDefault="00000000">
            <w:pPr>
              <w:spacing w:line="240" w:lineRule="auto"/>
              <w:ind w:firstLine="0"/>
              <w:jc w:val="center"/>
            </w:pPr>
            <w:r>
              <w:rPr>
                <w:b/>
              </w:rPr>
              <w:t>Reported, n (%)</w:t>
            </w:r>
          </w:p>
        </w:tc>
        <w:tc>
          <w:tcPr>
            <w:tcW w:w="2736" w:type="dxa"/>
            <w:tcBorders>
              <w:top w:val="single" w:sz="8" w:space="0" w:color="000000"/>
              <w:left w:val="nil"/>
              <w:bottom w:val="single" w:sz="8" w:space="0" w:color="000000"/>
              <w:right w:val="nil"/>
            </w:tcBorders>
            <w:shd w:val="clear" w:color="auto" w:fill="E7E6E6"/>
            <w:vAlign w:val="center"/>
          </w:tcPr>
          <w:p w14:paraId="4890334F" w14:textId="77777777" w:rsidR="001E3D75" w:rsidRDefault="00000000">
            <w:pPr>
              <w:spacing w:line="240" w:lineRule="auto"/>
              <w:ind w:firstLine="0"/>
              <w:jc w:val="center"/>
            </w:pPr>
            <w:r>
              <w:rPr>
                <w:b/>
              </w:rPr>
              <w:t>Not Reported, n (%)</w:t>
            </w:r>
          </w:p>
        </w:tc>
        <w:tc>
          <w:tcPr>
            <w:tcW w:w="1584" w:type="dxa"/>
            <w:tcBorders>
              <w:top w:val="single" w:sz="8" w:space="0" w:color="000000"/>
              <w:left w:val="nil"/>
              <w:bottom w:val="single" w:sz="8" w:space="0" w:color="000000"/>
              <w:right w:val="nil"/>
            </w:tcBorders>
            <w:shd w:val="clear" w:color="auto" w:fill="E7E6E6"/>
            <w:vAlign w:val="center"/>
          </w:tcPr>
          <w:p w14:paraId="5F0D397C" w14:textId="77777777" w:rsidR="001E3D75" w:rsidRDefault="00000000">
            <w:pPr>
              <w:spacing w:line="240" w:lineRule="auto"/>
              <w:ind w:firstLine="0"/>
              <w:jc w:val="center"/>
            </w:pPr>
            <w:r>
              <w:rPr>
                <w:b/>
              </w:rPr>
              <w:t>Total Respondents</w:t>
            </w:r>
          </w:p>
        </w:tc>
      </w:tr>
      <w:tr w:rsidR="001E3D75" w14:paraId="040B18BE" w14:textId="77777777">
        <w:trPr>
          <w:cantSplit/>
          <w:jc w:val="center"/>
        </w:trPr>
        <w:tc>
          <w:tcPr>
            <w:tcW w:w="2376" w:type="dxa"/>
            <w:tcBorders>
              <w:top w:val="nil"/>
              <w:left w:val="nil"/>
              <w:bottom w:val="nil"/>
              <w:right w:val="nil"/>
            </w:tcBorders>
            <w:vAlign w:val="center"/>
          </w:tcPr>
          <w:p w14:paraId="0E52CB63" w14:textId="77777777" w:rsidR="001E3D75" w:rsidRDefault="00000000">
            <w:pPr>
              <w:spacing w:line="240" w:lineRule="auto"/>
              <w:ind w:firstLine="0"/>
              <w:jc w:val="left"/>
            </w:pPr>
            <w:r>
              <w:t>Male</w:t>
            </w:r>
          </w:p>
        </w:tc>
        <w:tc>
          <w:tcPr>
            <w:tcW w:w="2376" w:type="dxa"/>
            <w:tcBorders>
              <w:top w:val="nil"/>
              <w:left w:val="nil"/>
              <w:bottom w:val="nil"/>
              <w:right w:val="nil"/>
            </w:tcBorders>
            <w:vAlign w:val="center"/>
          </w:tcPr>
          <w:p w14:paraId="19514692" w14:textId="77777777" w:rsidR="001E3D75" w:rsidRDefault="00000000">
            <w:pPr>
              <w:spacing w:line="240" w:lineRule="auto"/>
              <w:ind w:firstLine="0"/>
              <w:jc w:val="center"/>
            </w:pPr>
            <w:r>
              <w:t>19 (11.4)</w:t>
            </w:r>
          </w:p>
        </w:tc>
        <w:tc>
          <w:tcPr>
            <w:tcW w:w="2736" w:type="dxa"/>
            <w:tcBorders>
              <w:top w:val="nil"/>
              <w:left w:val="nil"/>
              <w:bottom w:val="nil"/>
              <w:right w:val="nil"/>
            </w:tcBorders>
            <w:vAlign w:val="center"/>
          </w:tcPr>
          <w:p w14:paraId="5E0D0BF4" w14:textId="77777777" w:rsidR="001E3D75" w:rsidRDefault="00000000">
            <w:pPr>
              <w:spacing w:line="240" w:lineRule="auto"/>
              <w:ind w:firstLine="0"/>
              <w:jc w:val="center"/>
            </w:pPr>
            <w:r>
              <w:t>30 (18.1)</w:t>
            </w:r>
          </w:p>
        </w:tc>
        <w:tc>
          <w:tcPr>
            <w:tcW w:w="1584" w:type="dxa"/>
            <w:tcBorders>
              <w:top w:val="nil"/>
              <w:left w:val="nil"/>
              <w:bottom w:val="nil"/>
              <w:right w:val="nil"/>
            </w:tcBorders>
            <w:vAlign w:val="center"/>
          </w:tcPr>
          <w:p w14:paraId="35908355" w14:textId="77777777" w:rsidR="001E3D75" w:rsidRDefault="00000000">
            <w:pPr>
              <w:spacing w:line="240" w:lineRule="auto"/>
              <w:ind w:firstLine="0"/>
              <w:jc w:val="center"/>
            </w:pPr>
            <w:r>
              <w:t>49</w:t>
            </w:r>
          </w:p>
        </w:tc>
      </w:tr>
      <w:tr w:rsidR="001E3D75" w14:paraId="6C7F3A8B" w14:textId="77777777">
        <w:trPr>
          <w:cantSplit/>
          <w:jc w:val="center"/>
        </w:trPr>
        <w:tc>
          <w:tcPr>
            <w:tcW w:w="2376" w:type="dxa"/>
            <w:tcBorders>
              <w:top w:val="nil"/>
              <w:left w:val="nil"/>
              <w:bottom w:val="nil"/>
              <w:right w:val="nil"/>
            </w:tcBorders>
            <w:vAlign w:val="center"/>
          </w:tcPr>
          <w:p w14:paraId="38C0E1BA" w14:textId="77777777" w:rsidR="001E3D75" w:rsidRDefault="00000000">
            <w:pPr>
              <w:spacing w:line="240" w:lineRule="auto"/>
              <w:ind w:firstLine="0"/>
              <w:jc w:val="left"/>
            </w:pPr>
            <w:r>
              <w:t>Female</w:t>
            </w:r>
          </w:p>
        </w:tc>
        <w:tc>
          <w:tcPr>
            <w:tcW w:w="2376" w:type="dxa"/>
            <w:tcBorders>
              <w:top w:val="nil"/>
              <w:left w:val="nil"/>
              <w:bottom w:val="nil"/>
              <w:right w:val="nil"/>
            </w:tcBorders>
            <w:vAlign w:val="center"/>
          </w:tcPr>
          <w:p w14:paraId="5AA078F5" w14:textId="77777777" w:rsidR="001E3D75" w:rsidRDefault="00000000">
            <w:pPr>
              <w:spacing w:line="240" w:lineRule="auto"/>
              <w:ind w:firstLine="0"/>
              <w:jc w:val="center"/>
            </w:pPr>
            <w:r>
              <w:t>51 (30.7)</w:t>
            </w:r>
          </w:p>
        </w:tc>
        <w:tc>
          <w:tcPr>
            <w:tcW w:w="2736" w:type="dxa"/>
            <w:tcBorders>
              <w:top w:val="nil"/>
              <w:left w:val="nil"/>
              <w:bottom w:val="nil"/>
              <w:right w:val="nil"/>
            </w:tcBorders>
            <w:vAlign w:val="center"/>
          </w:tcPr>
          <w:p w14:paraId="594D276B" w14:textId="77777777" w:rsidR="001E3D75" w:rsidRDefault="00000000">
            <w:pPr>
              <w:spacing w:line="240" w:lineRule="auto"/>
              <w:ind w:firstLine="0"/>
              <w:jc w:val="center"/>
            </w:pPr>
            <w:r>
              <w:t>61 (36.8)</w:t>
            </w:r>
          </w:p>
        </w:tc>
        <w:tc>
          <w:tcPr>
            <w:tcW w:w="1584" w:type="dxa"/>
            <w:tcBorders>
              <w:top w:val="nil"/>
              <w:left w:val="nil"/>
              <w:bottom w:val="nil"/>
              <w:right w:val="nil"/>
            </w:tcBorders>
            <w:vAlign w:val="center"/>
          </w:tcPr>
          <w:p w14:paraId="7FEE1A98" w14:textId="77777777" w:rsidR="001E3D75" w:rsidRDefault="00000000">
            <w:pPr>
              <w:spacing w:line="240" w:lineRule="auto"/>
              <w:ind w:firstLine="0"/>
              <w:jc w:val="center"/>
            </w:pPr>
            <w:r>
              <w:t>112</w:t>
            </w:r>
          </w:p>
        </w:tc>
      </w:tr>
      <w:tr w:rsidR="001E3D75" w14:paraId="7F435886" w14:textId="77777777">
        <w:trPr>
          <w:cantSplit/>
          <w:jc w:val="center"/>
        </w:trPr>
        <w:tc>
          <w:tcPr>
            <w:tcW w:w="2376" w:type="dxa"/>
            <w:tcBorders>
              <w:top w:val="nil"/>
              <w:left w:val="nil"/>
              <w:bottom w:val="nil"/>
              <w:right w:val="nil"/>
            </w:tcBorders>
            <w:vAlign w:val="center"/>
          </w:tcPr>
          <w:p w14:paraId="67F5D41D" w14:textId="77777777" w:rsidR="001E3D75" w:rsidRDefault="00000000">
            <w:pPr>
              <w:spacing w:line="240" w:lineRule="auto"/>
              <w:ind w:firstLine="0"/>
              <w:jc w:val="left"/>
            </w:pPr>
            <w:r>
              <w:t>Not specified</w:t>
            </w:r>
          </w:p>
        </w:tc>
        <w:tc>
          <w:tcPr>
            <w:tcW w:w="2376" w:type="dxa"/>
            <w:tcBorders>
              <w:top w:val="nil"/>
              <w:left w:val="nil"/>
              <w:bottom w:val="nil"/>
              <w:right w:val="nil"/>
            </w:tcBorders>
            <w:vAlign w:val="center"/>
          </w:tcPr>
          <w:p w14:paraId="5CD752D8" w14:textId="77777777" w:rsidR="001E3D75" w:rsidRDefault="00000000">
            <w:pPr>
              <w:spacing w:line="240" w:lineRule="auto"/>
              <w:ind w:firstLine="0"/>
              <w:jc w:val="center"/>
            </w:pPr>
            <w:r>
              <w:t>2 (1.2)</w:t>
            </w:r>
          </w:p>
        </w:tc>
        <w:tc>
          <w:tcPr>
            <w:tcW w:w="2736" w:type="dxa"/>
            <w:tcBorders>
              <w:top w:val="nil"/>
              <w:left w:val="nil"/>
              <w:bottom w:val="nil"/>
              <w:right w:val="nil"/>
            </w:tcBorders>
            <w:vAlign w:val="center"/>
          </w:tcPr>
          <w:p w14:paraId="4B922167" w14:textId="77777777" w:rsidR="001E3D75" w:rsidRDefault="00000000">
            <w:pPr>
              <w:spacing w:line="240" w:lineRule="auto"/>
              <w:ind w:firstLine="0"/>
              <w:jc w:val="center"/>
            </w:pPr>
            <w:r>
              <w:t>3 (1.8)</w:t>
            </w:r>
          </w:p>
        </w:tc>
        <w:tc>
          <w:tcPr>
            <w:tcW w:w="1584" w:type="dxa"/>
            <w:tcBorders>
              <w:top w:val="nil"/>
              <w:left w:val="nil"/>
              <w:bottom w:val="nil"/>
              <w:right w:val="nil"/>
            </w:tcBorders>
            <w:vAlign w:val="center"/>
          </w:tcPr>
          <w:p w14:paraId="40184CB3" w14:textId="77777777" w:rsidR="001E3D75" w:rsidRDefault="00000000">
            <w:pPr>
              <w:spacing w:line="240" w:lineRule="auto"/>
              <w:ind w:firstLine="0"/>
              <w:jc w:val="center"/>
            </w:pPr>
            <w:r>
              <w:t>5</w:t>
            </w:r>
          </w:p>
        </w:tc>
      </w:tr>
      <w:tr w:rsidR="001E3D75" w14:paraId="1BD6622E" w14:textId="77777777">
        <w:trPr>
          <w:cantSplit/>
          <w:jc w:val="center"/>
        </w:trPr>
        <w:tc>
          <w:tcPr>
            <w:tcW w:w="2376" w:type="dxa"/>
            <w:tcBorders>
              <w:top w:val="nil"/>
              <w:left w:val="nil"/>
              <w:bottom w:val="single" w:sz="8" w:space="0" w:color="000000"/>
              <w:right w:val="nil"/>
            </w:tcBorders>
            <w:vAlign w:val="center"/>
          </w:tcPr>
          <w:p w14:paraId="55A8034A" w14:textId="77777777" w:rsidR="001E3D75" w:rsidRDefault="00000000">
            <w:pPr>
              <w:spacing w:line="240" w:lineRule="auto"/>
              <w:ind w:firstLine="0"/>
              <w:jc w:val="left"/>
            </w:pPr>
            <w:r>
              <w:t>Total</w:t>
            </w:r>
          </w:p>
        </w:tc>
        <w:tc>
          <w:tcPr>
            <w:tcW w:w="2376" w:type="dxa"/>
            <w:tcBorders>
              <w:top w:val="nil"/>
              <w:left w:val="nil"/>
              <w:bottom w:val="single" w:sz="8" w:space="0" w:color="000000"/>
              <w:right w:val="nil"/>
            </w:tcBorders>
            <w:vAlign w:val="center"/>
          </w:tcPr>
          <w:p w14:paraId="29931C67" w14:textId="77777777" w:rsidR="001E3D75" w:rsidRDefault="00000000">
            <w:pPr>
              <w:spacing w:line="240" w:lineRule="auto"/>
              <w:ind w:firstLine="0"/>
              <w:jc w:val="center"/>
            </w:pPr>
            <w:r>
              <w:t>72 (43.3)</w:t>
            </w:r>
          </w:p>
        </w:tc>
        <w:tc>
          <w:tcPr>
            <w:tcW w:w="2736" w:type="dxa"/>
            <w:tcBorders>
              <w:top w:val="nil"/>
              <w:left w:val="nil"/>
              <w:bottom w:val="single" w:sz="8" w:space="0" w:color="000000"/>
              <w:right w:val="nil"/>
            </w:tcBorders>
            <w:vAlign w:val="center"/>
          </w:tcPr>
          <w:p w14:paraId="0BB57230" w14:textId="77777777" w:rsidR="001E3D75" w:rsidRDefault="00000000">
            <w:pPr>
              <w:spacing w:line="240" w:lineRule="auto"/>
              <w:ind w:firstLine="0"/>
              <w:jc w:val="center"/>
            </w:pPr>
            <w:r>
              <w:t>94 (56.7)</w:t>
            </w:r>
          </w:p>
        </w:tc>
        <w:tc>
          <w:tcPr>
            <w:tcW w:w="1584" w:type="dxa"/>
            <w:tcBorders>
              <w:top w:val="nil"/>
              <w:left w:val="nil"/>
              <w:bottom w:val="single" w:sz="8" w:space="0" w:color="000000"/>
              <w:right w:val="nil"/>
            </w:tcBorders>
            <w:vAlign w:val="center"/>
          </w:tcPr>
          <w:p w14:paraId="4AEA5BF3" w14:textId="77777777" w:rsidR="001E3D75" w:rsidRDefault="00000000">
            <w:pPr>
              <w:spacing w:line="240" w:lineRule="auto"/>
              <w:ind w:firstLine="0"/>
              <w:jc w:val="center"/>
            </w:pPr>
            <w:r>
              <w:t>166</w:t>
            </w:r>
          </w:p>
        </w:tc>
      </w:tr>
    </w:tbl>
    <w:p w14:paraId="0A813D94" w14:textId="77777777" w:rsidR="001E3D75" w:rsidRDefault="00000000">
      <w:pPr>
        <w:pStyle w:val="JPSSNote"/>
      </w:pPr>
      <w:r>
        <w:rPr>
          <w:rFonts w:cs="Times New Roman"/>
          <w:i/>
        </w:rPr>
        <w:t xml:space="preserve">Note. </w:t>
      </w:r>
      <w:r>
        <w:rPr>
          <w:rFonts w:cs="Times New Roman"/>
        </w:rPr>
        <w:t>Percentages are calculated from the 166 respondents who answered the reporting question.</w:t>
      </w:r>
    </w:p>
    <w:p w14:paraId="1B241974" w14:textId="77777777" w:rsidR="001E3D75" w:rsidRDefault="00000000">
      <w:r>
        <w:t xml:space="preserve">The percentages presented in Table 3 were calculated based on all respondents who answered the reporting question. These data should not be used to conclude that a particular gender demonstrates greater courage or a stronger tendency to report. The number of female respondents in this study was larger than the number of male respondents. The distribution of reporting by gender should therefore be interpreted as a description of respondent </w:t>
      </w:r>
      <w:r>
        <w:lastRenderedPageBreak/>
        <w:t>participation rather than as a comparison of reporting behavior between groups without further statistical testing.</w:t>
      </w:r>
    </w:p>
    <w:p w14:paraId="52F143F1" w14:textId="77777777" w:rsidR="001E3D75" w:rsidRDefault="00000000">
      <w:r>
        <w:t>The high proportion of unreported cases indicates the presence of barriers in the disclosure of sexual violence. Victims or individuals who are aware of a case may choose to remain silent because they do not understand that the conduct they experienced constitutes sexual violence. Barriers may also arise because victims are unaware of the available reporting channels, feel ashamed, fear that they will not be believed, worry that they will be blamed, or anticipate academic and social consequences following a report. In relationships involving lecturers, supervisors, senior students, organizational leaders, or other influential individuals, victims may also feel that reporting the case could affect their grades, supervision process, academic activities, organizational position, or social relationships.</w:t>
      </w:r>
    </w:p>
    <w:p w14:paraId="0CC8555D" w14:textId="77777777" w:rsidR="001E3D75" w:rsidRDefault="00000000">
      <w:r>
        <w:t>Such fear shows that the decision not to report should not be understood as passivity on the part of the victim. Remaining silent may be a strategy used by victims to avoid further risks when the campus environment is not considered capable of guaranteeing safety and confidentiality. Victims consider not only the violence they have experienced but also the possibility of stigma, identity disclosure, pressure from the perpetrator, social rejection, and victim blaming. When victims are questioned about their clothing, behavior, relationship with the perpetrator, or reasons for not reporting immediately, responsibility for the violence may be shifted from the perpetrator to the victim. Such responses can intensify trauma and reduce trust in the institution.</w:t>
      </w:r>
    </w:p>
    <w:p w14:paraId="7C7F77F8" w14:textId="77777777" w:rsidR="001E3D75" w:rsidRDefault="00000000">
      <w:r>
        <w:t xml:space="preserve">The parties chosen to receive disclosures or reports also provide an indication of the campus community’s level of trust in institutional systems. The data show that victims and other individuals who were aware of cases more frequently disclosed their experiences to family members or people with whom they had close personal relationships. Parents or other family members were the most frequently selected recipients, accounting for 55 cases. </w:t>
      </w:r>
      <w:r>
        <w:lastRenderedPageBreak/>
        <w:t>Reports were also made to trusted individuals in 28 cases, partners in 23 cases, institutions outside the campus in 23 cases, institutions within the campus in 21 cases, and other parties in 20 cases.</w:t>
      </w:r>
    </w:p>
    <w:p w14:paraId="412A6539" w14:textId="77777777" w:rsidR="001E3D75" w:rsidRDefault="00000000">
      <w:pPr>
        <w:pStyle w:val="JPSSCaption"/>
        <w:keepNext/>
      </w:pPr>
      <w:r>
        <w:rPr>
          <w:rFonts w:cs="Times New Roman"/>
          <w:b/>
        </w:rPr>
        <w:t>Table 4:</w:t>
      </w:r>
      <w:r>
        <w:rPr>
          <w:rFonts w:cs="Times New Roman"/>
        </w:rPr>
        <w:t xml:space="preserve"> Recipients of Sexual Violence Reports by Reporter Position</w:t>
      </w:r>
    </w:p>
    <w:tbl>
      <w:tblPr>
        <w:tblStyle w:val="TableGrid"/>
        <w:tblW w:w="0" w:type="auto"/>
        <w:jc w:val="center"/>
        <w:tblLayout w:type="fixed"/>
        <w:tblLook w:val="04A0" w:firstRow="1" w:lastRow="0" w:firstColumn="1" w:lastColumn="0" w:noHBand="0" w:noVBand="1"/>
      </w:tblPr>
      <w:tblGrid>
        <w:gridCol w:w="4392"/>
        <w:gridCol w:w="1555"/>
        <w:gridCol w:w="1756"/>
        <w:gridCol w:w="1296"/>
      </w:tblGrid>
      <w:tr w:rsidR="001E3D75" w14:paraId="3E85D811" w14:textId="77777777">
        <w:trPr>
          <w:tblHeader/>
          <w:jc w:val="center"/>
        </w:trPr>
        <w:tc>
          <w:tcPr>
            <w:tcW w:w="4392" w:type="dxa"/>
            <w:tcBorders>
              <w:top w:val="single" w:sz="8" w:space="0" w:color="000000"/>
              <w:left w:val="nil"/>
              <w:bottom w:val="single" w:sz="8" w:space="0" w:color="000000"/>
              <w:right w:val="nil"/>
            </w:tcBorders>
            <w:shd w:val="clear" w:color="auto" w:fill="E7E6E6"/>
            <w:vAlign w:val="center"/>
          </w:tcPr>
          <w:p w14:paraId="127A0690" w14:textId="77777777" w:rsidR="001E3D75" w:rsidRDefault="00000000">
            <w:pPr>
              <w:spacing w:line="240" w:lineRule="auto"/>
              <w:ind w:firstLine="0"/>
              <w:jc w:val="center"/>
            </w:pPr>
            <w:r>
              <w:rPr>
                <w:b/>
              </w:rPr>
              <w:t>Report Recipient</w:t>
            </w:r>
          </w:p>
        </w:tc>
        <w:tc>
          <w:tcPr>
            <w:tcW w:w="1555" w:type="dxa"/>
            <w:tcBorders>
              <w:top w:val="single" w:sz="8" w:space="0" w:color="000000"/>
              <w:left w:val="nil"/>
              <w:bottom w:val="single" w:sz="8" w:space="0" w:color="000000"/>
              <w:right w:val="nil"/>
            </w:tcBorders>
            <w:shd w:val="clear" w:color="auto" w:fill="E7E6E6"/>
            <w:vAlign w:val="center"/>
          </w:tcPr>
          <w:p w14:paraId="6E5A8765" w14:textId="77777777" w:rsidR="001E3D75" w:rsidRDefault="00000000">
            <w:pPr>
              <w:spacing w:line="240" w:lineRule="auto"/>
              <w:ind w:firstLine="0"/>
              <w:jc w:val="center"/>
            </w:pPr>
            <w:r>
              <w:rPr>
                <w:b/>
              </w:rPr>
              <w:t>Reported by Survivors</w:t>
            </w:r>
          </w:p>
        </w:tc>
        <w:tc>
          <w:tcPr>
            <w:tcW w:w="1756" w:type="dxa"/>
            <w:tcBorders>
              <w:top w:val="single" w:sz="8" w:space="0" w:color="000000"/>
              <w:left w:val="nil"/>
              <w:bottom w:val="single" w:sz="8" w:space="0" w:color="000000"/>
              <w:right w:val="nil"/>
            </w:tcBorders>
            <w:shd w:val="clear" w:color="auto" w:fill="E7E6E6"/>
            <w:vAlign w:val="center"/>
          </w:tcPr>
          <w:p w14:paraId="220919AA" w14:textId="77777777" w:rsidR="001E3D75" w:rsidRDefault="00000000">
            <w:pPr>
              <w:spacing w:line="240" w:lineRule="auto"/>
              <w:ind w:firstLine="0"/>
              <w:jc w:val="center"/>
            </w:pPr>
            <w:r>
              <w:rPr>
                <w:b/>
              </w:rPr>
              <w:t>Reported by Friends/Others</w:t>
            </w:r>
          </w:p>
        </w:tc>
        <w:tc>
          <w:tcPr>
            <w:tcW w:w="1296" w:type="dxa"/>
            <w:tcBorders>
              <w:top w:val="single" w:sz="8" w:space="0" w:color="000000"/>
              <w:left w:val="nil"/>
              <w:bottom w:val="single" w:sz="8" w:space="0" w:color="000000"/>
              <w:right w:val="nil"/>
            </w:tcBorders>
            <w:shd w:val="clear" w:color="auto" w:fill="E7E6E6"/>
            <w:vAlign w:val="center"/>
          </w:tcPr>
          <w:p w14:paraId="522A5EDB" w14:textId="77777777" w:rsidR="001E3D75" w:rsidRDefault="00000000">
            <w:pPr>
              <w:spacing w:line="240" w:lineRule="auto"/>
              <w:ind w:firstLine="0"/>
              <w:jc w:val="center"/>
            </w:pPr>
            <w:r>
              <w:rPr>
                <w:b/>
              </w:rPr>
              <w:t>Total Reports</w:t>
            </w:r>
          </w:p>
        </w:tc>
      </w:tr>
      <w:tr w:rsidR="001E3D75" w14:paraId="69E6FB1B" w14:textId="77777777">
        <w:trPr>
          <w:cantSplit/>
          <w:jc w:val="center"/>
        </w:trPr>
        <w:tc>
          <w:tcPr>
            <w:tcW w:w="4392" w:type="dxa"/>
            <w:tcBorders>
              <w:top w:val="nil"/>
              <w:left w:val="nil"/>
              <w:bottom w:val="nil"/>
              <w:right w:val="nil"/>
            </w:tcBorders>
            <w:vAlign w:val="center"/>
          </w:tcPr>
          <w:p w14:paraId="2FBEDC38" w14:textId="77777777" w:rsidR="001E3D75" w:rsidRDefault="00000000">
            <w:pPr>
              <w:spacing w:line="240" w:lineRule="auto"/>
              <w:ind w:firstLine="0"/>
              <w:jc w:val="left"/>
            </w:pPr>
            <w:r>
              <w:t>Parents or other family members</w:t>
            </w:r>
          </w:p>
        </w:tc>
        <w:tc>
          <w:tcPr>
            <w:tcW w:w="1555" w:type="dxa"/>
            <w:tcBorders>
              <w:top w:val="nil"/>
              <w:left w:val="nil"/>
              <w:bottom w:val="nil"/>
              <w:right w:val="nil"/>
            </w:tcBorders>
            <w:vAlign w:val="center"/>
          </w:tcPr>
          <w:p w14:paraId="4813143B" w14:textId="77777777" w:rsidR="001E3D75" w:rsidRDefault="00000000">
            <w:pPr>
              <w:spacing w:line="240" w:lineRule="auto"/>
              <w:ind w:firstLine="0"/>
              <w:jc w:val="center"/>
            </w:pPr>
            <w:r>
              <w:t>10</w:t>
            </w:r>
          </w:p>
        </w:tc>
        <w:tc>
          <w:tcPr>
            <w:tcW w:w="1756" w:type="dxa"/>
            <w:tcBorders>
              <w:top w:val="nil"/>
              <w:left w:val="nil"/>
              <w:bottom w:val="nil"/>
              <w:right w:val="nil"/>
            </w:tcBorders>
            <w:vAlign w:val="center"/>
          </w:tcPr>
          <w:p w14:paraId="1EFBE4A4" w14:textId="77777777" w:rsidR="001E3D75" w:rsidRDefault="00000000">
            <w:pPr>
              <w:spacing w:line="240" w:lineRule="auto"/>
              <w:ind w:firstLine="0"/>
              <w:jc w:val="center"/>
            </w:pPr>
            <w:r>
              <w:t>45</w:t>
            </w:r>
          </w:p>
        </w:tc>
        <w:tc>
          <w:tcPr>
            <w:tcW w:w="1296" w:type="dxa"/>
            <w:tcBorders>
              <w:top w:val="nil"/>
              <w:left w:val="nil"/>
              <w:bottom w:val="nil"/>
              <w:right w:val="nil"/>
            </w:tcBorders>
            <w:vAlign w:val="center"/>
          </w:tcPr>
          <w:p w14:paraId="407F2CD0" w14:textId="77777777" w:rsidR="001E3D75" w:rsidRDefault="00000000">
            <w:pPr>
              <w:spacing w:line="240" w:lineRule="auto"/>
              <w:ind w:firstLine="0"/>
              <w:jc w:val="center"/>
            </w:pPr>
            <w:r>
              <w:t>55</w:t>
            </w:r>
          </w:p>
        </w:tc>
      </w:tr>
      <w:tr w:rsidR="001E3D75" w14:paraId="66B3F138" w14:textId="77777777">
        <w:trPr>
          <w:cantSplit/>
          <w:jc w:val="center"/>
        </w:trPr>
        <w:tc>
          <w:tcPr>
            <w:tcW w:w="4392" w:type="dxa"/>
            <w:tcBorders>
              <w:top w:val="nil"/>
              <w:left w:val="nil"/>
              <w:bottom w:val="nil"/>
              <w:right w:val="nil"/>
            </w:tcBorders>
            <w:vAlign w:val="center"/>
          </w:tcPr>
          <w:p w14:paraId="5D3C28F4" w14:textId="77777777" w:rsidR="001E3D75" w:rsidRDefault="00000000">
            <w:pPr>
              <w:spacing w:line="240" w:lineRule="auto"/>
              <w:ind w:firstLine="0"/>
              <w:jc w:val="left"/>
            </w:pPr>
            <w:r>
              <w:t>Partner</w:t>
            </w:r>
          </w:p>
        </w:tc>
        <w:tc>
          <w:tcPr>
            <w:tcW w:w="1555" w:type="dxa"/>
            <w:tcBorders>
              <w:top w:val="nil"/>
              <w:left w:val="nil"/>
              <w:bottom w:val="nil"/>
              <w:right w:val="nil"/>
            </w:tcBorders>
            <w:vAlign w:val="center"/>
          </w:tcPr>
          <w:p w14:paraId="67FBF2ED" w14:textId="77777777" w:rsidR="001E3D75" w:rsidRDefault="00000000">
            <w:pPr>
              <w:spacing w:line="240" w:lineRule="auto"/>
              <w:ind w:firstLine="0"/>
              <w:jc w:val="center"/>
            </w:pPr>
            <w:r>
              <w:t>5</w:t>
            </w:r>
          </w:p>
        </w:tc>
        <w:tc>
          <w:tcPr>
            <w:tcW w:w="1756" w:type="dxa"/>
            <w:tcBorders>
              <w:top w:val="nil"/>
              <w:left w:val="nil"/>
              <w:bottom w:val="nil"/>
              <w:right w:val="nil"/>
            </w:tcBorders>
            <w:vAlign w:val="center"/>
          </w:tcPr>
          <w:p w14:paraId="47A36994" w14:textId="77777777" w:rsidR="001E3D75" w:rsidRDefault="00000000">
            <w:pPr>
              <w:spacing w:line="240" w:lineRule="auto"/>
              <w:ind w:firstLine="0"/>
              <w:jc w:val="center"/>
            </w:pPr>
            <w:r>
              <w:t>17</w:t>
            </w:r>
          </w:p>
        </w:tc>
        <w:tc>
          <w:tcPr>
            <w:tcW w:w="1296" w:type="dxa"/>
            <w:tcBorders>
              <w:top w:val="nil"/>
              <w:left w:val="nil"/>
              <w:bottom w:val="nil"/>
              <w:right w:val="nil"/>
            </w:tcBorders>
            <w:vAlign w:val="center"/>
          </w:tcPr>
          <w:p w14:paraId="631639CA" w14:textId="77777777" w:rsidR="001E3D75" w:rsidRDefault="00000000">
            <w:pPr>
              <w:spacing w:line="240" w:lineRule="auto"/>
              <w:ind w:firstLine="0"/>
              <w:jc w:val="center"/>
            </w:pPr>
            <w:r>
              <w:t>23</w:t>
            </w:r>
          </w:p>
        </w:tc>
      </w:tr>
      <w:tr w:rsidR="001E3D75" w14:paraId="2C066E91" w14:textId="77777777">
        <w:trPr>
          <w:cantSplit/>
          <w:jc w:val="center"/>
        </w:trPr>
        <w:tc>
          <w:tcPr>
            <w:tcW w:w="4392" w:type="dxa"/>
            <w:tcBorders>
              <w:top w:val="nil"/>
              <w:left w:val="nil"/>
              <w:bottom w:val="nil"/>
              <w:right w:val="nil"/>
            </w:tcBorders>
            <w:vAlign w:val="center"/>
          </w:tcPr>
          <w:p w14:paraId="2039CE55" w14:textId="77777777" w:rsidR="001E3D75" w:rsidRDefault="00000000">
            <w:pPr>
              <w:spacing w:line="240" w:lineRule="auto"/>
              <w:ind w:firstLine="0"/>
              <w:jc w:val="left"/>
            </w:pPr>
            <w:r>
              <w:t>Trusted person within or outside the academic community</w:t>
            </w:r>
          </w:p>
        </w:tc>
        <w:tc>
          <w:tcPr>
            <w:tcW w:w="1555" w:type="dxa"/>
            <w:tcBorders>
              <w:top w:val="nil"/>
              <w:left w:val="nil"/>
              <w:bottom w:val="nil"/>
              <w:right w:val="nil"/>
            </w:tcBorders>
            <w:vAlign w:val="center"/>
          </w:tcPr>
          <w:p w14:paraId="64AD5650" w14:textId="77777777" w:rsidR="001E3D75" w:rsidRDefault="00000000">
            <w:pPr>
              <w:spacing w:line="240" w:lineRule="auto"/>
              <w:ind w:firstLine="0"/>
              <w:jc w:val="center"/>
            </w:pPr>
            <w:r>
              <w:t>5</w:t>
            </w:r>
          </w:p>
        </w:tc>
        <w:tc>
          <w:tcPr>
            <w:tcW w:w="1756" w:type="dxa"/>
            <w:tcBorders>
              <w:top w:val="nil"/>
              <w:left w:val="nil"/>
              <w:bottom w:val="nil"/>
              <w:right w:val="nil"/>
            </w:tcBorders>
            <w:vAlign w:val="center"/>
          </w:tcPr>
          <w:p w14:paraId="68D5272F" w14:textId="77777777" w:rsidR="001E3D75" w:rsidRDefault="00000000">
            <w:pPr>
              <w:spacing w:line="240" w:lineRule="auto"/>
              <w:ind w:firstLine="0"/>
              <w:jc w:val="center"/>
            </w:pPr>
            <w:r>
              <w:t>23</w:t>
            </w:r>
          </w:p>
        </w:tc>
        <w:tc>
          <w:tcPr>
            <w:tcW w:w="1296" w:type="dxa"/>
            <w:tcBorders>
              <w:top w:val="nil"/>
              <w:left w:val="nil"/>
              <w:bottom w:val="nil"/>
              <w:right w:val="nil"/>
            </w:tcBorders>
            <w:vAlign w:val="center"/>
          </w:tcPr>
          <w:p w14:paraId="544D1409" w14:textId="77777777" w:rsidR="001E3D75" w:rsidRDefault="00000000">
            <w:pPr>
              <w:spacing w:line="240" w:lineRule="auto"/>
              <w:ind w:firstLine="0"/>
              <w:jc w:val="center"/>
            </w:pPr>
            <w:r>
              <w:t>28</w:t>
            </w:r>
          </w:p>
        </w:tc>
      </w:tr>
      <w:tr w:rsidR="001E3D75" w14:paraId="3254BE56" w14:textId="77777777">
        <w:trPr>
          <w:cantSplit/>
          <w:jc w:val="center"/>
        </w:trPr>
        <w:tc>
          <w:tcPr>
            <w:tcW w:w="4392" w:type="dxa"/>
            <w:tcBorders>
              <w:top w:val="nil"/>
              <w:left w:val="nil"/>
              <w:bottom w:val="nil"/>
              <w:right w:val="nil"/>
            </w:tcBorders>
            <w:vAlign w:val="center"/>
          </w:tcPr>
          <w:p w14:paraId="0DCC8D97" w14:textId="77777777" w:rsidR="001E3D75" w:rsidRDefault="00000000">
            <w:pPr>
              <w:spacing w:line="240" w:lineRule="auto"/>
              <w:ind w:firstLine="0"/>
              <w:jc w:val="left"/>
            </w:pPr>
            <w:r>
              <w:t>Institution within the campus</w:t>
            </w:r>
          </w:p>
        </w:tc>
        <w:tc>
          <w:tcPr>
            <w:tcW w:w="1555" w:type="dxa"/>
            <w:tcBorders>
              <w:top w:val="nil"/>
              <w:left w:val="nil"/>
              <w:bottom w:val="nil"/>
              <w:right w:val="nil"/>
            </w:tcBorders>
            <w:vAlign w:val="center"/>
          </w:tcPr>
          <w:p w14:paraId="7B609652" w14:textId="77777777" w:rsidR="001E3D75" w:rsidRDefault="00000000">
            <w:pPr>
              <w:spacing w:line="240" w:lineRule="auto"/>
              <w:ind w:firstLine="0"/>
              <w:jc w:val="center"/>
            </w:pPr>
            <w:r>
              <w:t>3</w:t>
            </w:r>
          </w:p>
        </w:tc>
        <w:tc>
          <w:tcPr>
            <w:tcW w:w="1756" w:type="dxa"/>
            <w:tcBorders>
              <w:top w:val="nil"/>
              <w:left w:val="nil"/>
              <w:bottom w:val="nil"/>
              <w:right w:val="nil"/>
            </w:tcBorders>
            <w:vAlign w:val="center"/>
          </w:tcPr>
          <w:p w14:paraId="4373B808" w14:textId="77777777" w:rsidR="001E3D75" w:rsidRDefault="00000000">
            <w:pPr>
              <w:spacing w:line="240" w:lineRule="auto"/>
              <w:ind w:firstLine="0"/>
              <w:jc w:val="center"/>
            </w:pPr>
            <w:r>
              <w:t>18</w:t>
            </w:r>
          </w:p>
        </w:tc>
        <w:tc>
          <w:tcPr>
            <w:tcW w:w="1296" w:type="dxa"/>
            <w:tcBorders>
              <w:top w:val="nil"/>
              <w:left w:val="nil"/>
              <w:bottom w:val="nil"/>
              <w:right w:val="nil"/>
            </w:tcBorders>
            <w:vAlign w:val="center"/>
          </w:tcPr>
          <w:p w14:paraId="4967E8A4" w14:textId="77777777" w:rsidR="001E3D75" w:rsidRDefault="00000000">
            <w:pPr>
              <w:spacing w:line="240" w:lineRule="auto"/>
              <w:ind w:firstLine="0"/>
              <w:jc w:val="center"/>
            </w:pPr>
            <w:r>
              <w:t>21</w:t>
            </w:r>
          </w:p>
        </w:tc>
      </w:tr>
      <w:tr w:rsidR="001E3D75" w14:paraId="4C4596EE" w14:textId="77777777">
        <w:trPr>
          <w:cantSplit/>
          <w:jc w:val="center"/>
        </w:trPr>
        <w:tc>
          <w:tcPr>
            <w:tcW w:w="4392" w:type="dxa"/>
            <w:tcBorders>
              <w:top w:val="nil"/>
              <w:left w:val="nil"/>
              <w:bottom w:val="nil"/>
              <w:right w:val="nil"/>
            </w:tcBorders>
            <w:vAlign w:val="center"/>
          </w:tcPr>
          <w:p w14:paraId="7816AC26" w14:textId="77777777" w:rsidR="001E3D75" w:rsidRDefault="00000000">
            <w:pPr>
              <w:spacing w:line="240" w:lineRule="auto"/>
              <w:ind w:firstLine="0"/>
              <w:jc w:val="left"/>
            </w:pPr>
            <w:r>
              <w:t>Institution outside the campus</w:t>
            </w:r>
          </w:p>
        </w:tc>
        <w:tc>
          <w:tcPr>
            <w:tcW w:w="1555" w:type="dxa"/>
            <w:tcBorders>
              <w:top w:val="nil"/>
              <w:left w:val="nil"/>
              <w:bottom w:val="nil"/>
              <w:right w:val="nil"/>
            </w:tcBorders>
            <w:vAlign w:val="center"/>
          </w:tcPr>
          <w:p w14:paraId="18D735E1" w14:textId="77777777" w:rsidR="001E3D75" w:rsidRDefault="00000000">
            <w:pPr>
              <w:spacing w:line="240" w:lineRule="auto"/>
              <w:ind w:firstLine="0"/>
              <w:jc w:val="center"/>
            </w:pPr>
            <w:r>
              <w:t>6</w:t>
            </w:r>
          </w:p>
        </w:tc>
        <w:tc>
          <w:tcPr>
            <w:tcW w:w="1756" w:type="dxa"/>
            <w:tcBorders>
              <w:top w:val="nil"/>
              <w:left w:val="nil"/>
              <w:bottom w:val="nil"/>
              <w:right w:val="nil"/>
            </w:tcBorders>
            <w:vAlign w:val="center"/>
          </w:tcPr>
          <w:p w14:paraId="133AA6D2" w14:textId="77777777" w:rsidR="001E3D75" w:rsidRDefault="00000000">
            <w:pPr>
              <w:spacing w:line="240" w:lineRule="auto"/>
              <w:ind w:firstLine="0"/>
              <w:jc w:val="center"/>
            </w:pPr>
            <w:r>
              <w:t>17</w:t>
            </w:r>
          </w:p>
        </w:tc>
        <w:tc>
          <w:tcPr>
            <w:tcW w:w="1296" w:type="dxa"/>
            <w:tcBorders>
              <w:top w:val="nil"/>
              <w:left w:val="nil"/>
              <w:bottom w:val="nil"/>
              <w:right w:val="nil"/>
            </w:tcBorders>
            <w:vAlign w:val="center"/>
          </w:tcPr>
          <w:p w14:paraId="4C1E94F7" w14:textId="77777777" w:rsidR="001E3D75" w:rsidRDefault="00000000">
            <w:pPr>
              <w:spacing w:line="240" w:lineRule="auto"/>
              <w:ind w:firstLine="0"/>
              <w:jc w:val="center"/>
            </w:pPr>
            <w:r>
              <w:t>23</w:t>
            </w:r>
          </w:p>
        </w:tc>
      </w:tr>
      <w:tr w:rsidR="001E3D75" w14:paraId="56FCA474" w14:textId="77777777">
        <w:trPr>
          <w:cantSplit/>
          <w:jc w:val="center"/>
        </w:trPr>
        <w:tc>
          <w:tcPr>
            <w:tcW w:w="4392" w:type="dxa"/>
            <w:tcBorders>
              <w:top w:val="nil"/>
              <w:left w:val="nil"/>
              <w:bottom w:val="nil"/>
              <w:right w:val="nil"/>
            </w:tcBorders>
            <w:vAlign w:val="center"/>
          </w:tcPr>
          <w:p w14:paraId="24BC0214" w14:textId="77777777" w:rsidR="001E3D75" w:rsidRDefault="00000000">
            <w:pPr>
              <w:spacing w:line="240" w:lineRule="auto"/>
              <w:ind w:firstLine="0"/>
              <w:jc w:val="left"/>
            </w:pPr>
            <w:r>
              <w:t>Others</w:t>
            </w:r>
          </w:p>
        </w:tc>
        <w:tc>
          <w:tcPr>
            <w:tcW w:w="1555" w:type="dxa"/>
            <w:tcBorders>
              <w:top w:val="nil"/>
              <w:left w:val="nil"/>
              <w:bottom w:val="nil"/>
              <w:right w:val="nil"/>
            </w:tcBorders>
            <w:vAlign w:val="center"/>
          </w:tcPr>
          <w:p w14:paraId="5BA87608" w14:textId="77777777" w:rsidR="001E3D75" w:rsidRDefault="00000000">
            <w:pPr>
              <w:spacing w:line="240" w:lineRule="auto"/>
              <w:ind w:firstLine="0"/>
              <w:jc w:val="center"/>
            </w:pPr>
            <w:r>
              <w:t>1</w:t>
            </w:r>
          </w:p>
        </w:tc>
        <w:tc>
          <w:tcPr>
            <w:tcW w:w="1756" w:type="dxa"/>
            <w:tcBorders>
              <w:top w:val="nil"/>
              <w:left w:val="nil"/>
              <w:bottom w:val="nil"/>
              <w:right w:val="nil"/>
            </w:tcBorders>
            <w:vAlign w:val="center"/>
          </w:tcPr>
          <w:p w14:paraId="68C4F6A8" w14:textId="77777777" w:rsidR="001E3D75" w:rsidRDefault="00000000">
            <w:pPr>
              <w:spacing w:line="240" w:lineRule="auto"/>
              <w:ind w:firstLine="0"/>
              <w:jc w:val="center"/>
            </w:pPr>
            <w:r>
              <w:t>19</w:t>
            </w:r>
          </w:p>
        </w:tc>
        <w:tc>
          <w:tcPr>
            <w:tcW w:w="1296" w:type="dxa"/>
            <w:tcBorders>
              <w:top w:val="nil"/>
              <w:left w:val="nil"/>
              <w:bottom w:val="nil"/>
              <w:right w:val="nil"/>
            </w:tcBorders>
            <w:vAlign w:val="center"/>
          </w:tcPr>
          <w:p w14:paraId="67377E7E" w14:textId="77777777" w:rsidR="001E3D75" w:rsidRDefault="00000000">
            <w:pPr>
              <w:spacing w:line="240" w:lineRule="auto"/>
              <w:ind w:firstLine="0"/>
              <w:jc w:val="center"/>
            </w:pPr>
            <w:r>
              <w:t>20</w:t>
            </w:r>
          </w:p>
        </w:tc>
      </w:tr>
      <w:tr w:rsidR="001E3D75" w14:paraId="4BC4C6D9" w14:textId="77777777">
        <w:trPr>
          <w:cantSplit/>
          <w:jc w:val="center"/>
        </w:trPr>
        <w:tc>
          <w:tcPr>
            <w:tcW w:w="4392" w:type="dxa"/>
            <w:tcBorders>
              <w:top w:val="nil"/>
              <w:left w:val="nil"/>
              <w:bottom w:val="single" w:sz="8" w:space="0" w:color="000000"/>
              <w:right w:val="nil"/>
            </w:tcBorders>
            <w:vAlign w:val="center"/>
          </w:tcPr>
          <w:p w14:paraId="353DD992" w14:textId="77777777" w:rsidR="001E3D75" w:rsidRDefault="00000000">
            <w:pPr>
              <w:spacing w:line="240" w:lineRule="auto"/>
              <w:ind w:firstLine="0"/>
              <w:jc w:val="left"/>
            </w:pPr>
            <w:r>
              <w:t>Total cases</w:t>
            </w:r>
          </w:p>
        </w:tc>
        <w:tc>
          <w:tcPr>
            <w:tcW w:w="1555" w:type="dxa"/>
            <w:tcBorders>
              <w:top w:val="nil"/>
              <w:left w:val="nil"/>
              <w:bottom w:val="single" w:sz="8" w:space="0" w:color="000000"/>
              <w:right w:val="nil"/>
            </w:tcBorders>
            <w:vAlign w:val="center"/>
          </w:tcPr>
          <w:p w14:paraId="20D0914E" w14:textId="77777777" w:rsidR="001E3D75" w:rsidRDefault="00000000">
            <w:pPr>
              <w:spacing w:line="240" w:lineRule="auto"/>
              <w:ind w:firstLine="0"/>
              <w:jc w:val="center"/>
            </w:pPr>
            <w:r>
              <w:t>30</w:t>
            </w:r>
          </w:p>
        </w:tc>
        <w:tc>
          <w:tcPr>
            <w:tcW w:w="1756" w:type="dxa"/>
            <w:tcBorders>
              <w:top w:val="nil"/>
              <w:left w:val="nil"/>
              <w:bottom w:val="single" w:sz="8" w:space="0" w:color="000000"/>
              <w:right w:val="nil"/>
            </w:tcBorders>
            <w:vAlign w:val="center"/>
          </w:tcPr>
          <w:p w14:paraId="7C6319F3" w14:textId="77777777" w:rsidR="001E3D75" w:rsidRDefault="00000000">
            <w:pPr>
              <w:spacing w:line="240" w:lineRule="auto"/>
              <w:ind w:firstLine="0"/>
              <w:jc w:val="center"/>
            </w:pPr>
            <w:r>
              <w:t>140</w:t>
            </w:r>
          </w:p>
        </w:tc>
        <w:tc>
          <w:tcPr>
            <w:tcW w:w="1296" w:type="dxa"/>
            <w:tcBorders>
              <w:top w:val="nil"/>
              <w:left w:val="nil"/>
              <w:bottom w:val="single" w:sz="8" w:space="0" w:color="000000"/>
              <w:right w:val="nil"/>
            </w:tcBorders>
            <w:vAlign w:val="center"/>
          </w:tcPr>
          <w:p w14:paraId="00E77D76" w14:textId="77777777" w:rsidR="001E3D75" w:rsidRDefault="00000000">
            <w:pPr>
              <w:spacing w:line="240" w:lineRule="auto"/>
              <w:ind w:firstLine="0"/>
              <w:jc w:val="center"/>
            </w:pPr>
            <w:r>
              <w:t>170</w:t>
            </w:r>
          </w:p>
        </w:tc>
      </w:tr>
    </w:tbl>
    <w:p w14:paraId="570D4866" w14:textId="77777777" w:rsidR="001E3D75" w:rsidRDefault="00000000">
      <w:pPr>
        <w:pStyle w:val="JPSSNote"/>
      </w:pPr>
      <w:r>
        <w:rPr>
          <w:rFonts w:cs="Times New Roman"/>
          <w:i/>
        </w:rPr>
        <w:t xml:space="preserve">Note. </w:t>
      </w:r>
      <w:r>
        <w:rPr>
          <w:rFonts w:cs="Times New Roman"/>
        </w:rPr>
        <w:t>Respondents could identify more than one recipient or more than one reporting process; total reports therefore exceed the number of respondents who reported a case.</w:t>
      </w:r>
    </w:p>
    <w:p w14:paraId="339F66FE" w14:textId="77777777" w:rsidR="001E3D75" w:rsidRDefault="00000000">
      <w:r>
        <w:t>Table 4 shows that family members and trusted individuals were selected more frequently than formal institutions within the campus. This preference indicates that emotional closeness and a sense of personal safety are important considerations when an individual discloses an experience of sexual violence. Victims tend to seek parties whom they believe will not blame them, reveal their identities, or create consequences for their academic lives. Campus institutions, by contrast, have not become the main reporting destination, even though higher education institutions are responsible for receiving reports, providing protection, offering assistance, and following up on cases.</w:t>
      </w:r>
    </w:p>
    <w:p w14:paraId="053EF45F" w14:textId="77777777" w:rsidR="001E3D75" w:rsidRDefault="00000000">
      <w:r>
        <w:t xml:space="preserve">The limited use of campus institutions may be associated with several conditions. First, members of the campus community may not be aware of the existence of task forces, service units, or complaint procedures. Second, reporting channels may be available but have not been continuously and widely disseminated. Third, victims may doubt the institution’s ability to protect their identities and safeguard complainants from retaliation. Fourth, there may be concerns that the institution prioritizes its reputation over victims’ recovery. Fifth, </w:t>
      </w:r>
      <w:r>
        <w:lastRenderedPageBreak/>
        <w:t>unclear or lengthy case-handling procedures may lead victims to believe that reporting will not result in meaningful protection.</w:t>
      </w:r>
    </w:p>
    <w:p w14:paraId="5B3188AC" w14:textId="77777777" w:rsidR="001E3D75" w:rsidRDefault="00000000">
      <w:r>
        <w:t>The difference between the number of respondents who stated that a case had been reported in Table 3 and the number of reports presented in Table 4 indicates that one respondent could identify more than one recipient or be aware of more than one reporting process. The figures in Table 4 should therefore be understood as the number of responses or reports rather than the number of different respondents. This explanation should be included in the table note to prevent the data from being interpreted as the number of individual victims.</w:t>
      </w:r>
    </w:p>
    <w:p w14:paraId="1655161D" w14:textId="77777777" w:rsidR="001E3D75" w:rsidRDefault="00000000">
      <w:r>
        <w:t>The findings indicate that the existence of regulations and service units does not automatically generate trust among members of the campus community. Reporting mechanisms can only be used effectively when victims feel safe accessing them. Such safety includes guarantees of confidentiality, protection from intimidation, prevention of retaliation, assistance throughout the examination process, and assurance that reporting will not harm the victim’s academic position. Case handling must also adopt a victim-centered approach by avoiding questions, statements, and procedures that may blame victims or cause retraumatization.</w:t>
      </w:r>
    </w:p>
    <w:p w14:paraId="593E1207" w14:textId="77777777" w:rsidR="001E3D75" w:rsidRDefault="00000000">
      <w:r>
        <w:t>Higher education institutions need to provide easily recognizable reporting channels that can be accessed through several methods. Reports may be submitted through face-to-face services, complaint hotlines, email, online forms, or liaison officers at the faculty and study-program levels. A range of channels is needed so that victims can choose the method they consider safest according to their circumstances. Each channel must be connected to clear procedures for receiving reports, assessing victims’ needs, providing temporary protection, examining cases, offering assistance, providing updates on case progress, and referring victims to psychological, medical, legal, and academic services.</w:t>
      </w:r>
    </w:p>
    <w:p w14:paraId="3D4678ED" w14:textId="77777777" w:rsidR="001E3D75" w:rsidRDefault="00000000">
      <w:r>
        <w:lastRenderedPageBreak/>
        <w:t>Reporting mechanisms must also be strengthened through continuous dissemination. Information on forms of sexual violence, victims’ rights, reporting procedures, witness protection, identity confidentiality, and the prohibition of retaliation should be delivered during new-student orientation, training for lecturers and educational staff, student organization activities, academic supervision, and preparation for field activities. Dissemination should not be conducted only once or limited to the distribution of posters. Members of the campus community need practical information about the parties to whom reports should be submitted, the documents required, the forms of assistance available, and the steps that will be taken after a report is received.</w:t>
      </w:r>
    </w:p>
    <w:p w14:paraId="5399E288" w14:textId="77777777" w:rsidR="001E3D75" w:rsidRDefault="00000000">
      <w:r>
        <w:t>The commitment of higher education leaders is essential because trust in the system is influenced by the way the institution responds to cases. Institutional leaders need to ensure the independence of the task force, the availability of funding, the competence of officers, coordination among units, and protection for victims and complainants. Case handling should not be directed toward informal settlements that pressure victims to reconcile with perpetrators, withdraw reports, or protect the institution’s reputation. The interests and safety of victims must form the basis of every stage of case handling.</w:t>
      </w:r>
    </w:p>
    <w:p w14:paraId="51944B5B" w14:textId="77777777" w:rsidR="001E3D75" w:rsidRDefault="00000000">
      <w:r>
        <w:t>Weaknesses in reporting mechanisms are not limited to the availability of complaint channels but are also associated with the knowledge, accessibility, safety, and institutional trust of campus community members. When victims do not understand the procedures, doubt confidentiality, fear possible consequences, or anticipate victim blaming, the decision to remain silent becomes more likely. This condition contributes to a culture of silence and makes cases of sexual violence difficult to detect. Strengthening sexual violence prevention and response must therefore focus on developing a reporting system that is safe, confidential, accessible, responsive, and victim-centered, supported by genuine protection from academic and social pressure.</w:t>
      </w:r>
    </w:p>
    <w:p w14:paraId="411BB4A1" w14:textId="77777777" w:rsidR="001E3D75" w:rsidRDefault="00000000">
      <w:pPr>
        <w:pStyle w:val="JPSSHeading2"/>
        <w:keepNext/>
      </w:pPr>
      <w:r>
        <w:lastRenderedPageBreak/>
        <w:t>The Mechanism Underlying the Formation of a Culture of Silence</w:t>
      </w:r>
    </w:p>
    <w:p w14:paraId="5EED64C5" w14:textId="77777777" w:rsidR="001E3D75" w:rsidRDefault="00000000">
      <w:r>
        <w:t>The findings show that a culture of silence in cases of sexual violence in higher education develops through the interaction of power relations, the normalization of sexual conduct, limited literacy, fear of consequences, and low trust in reporting mechanisms. Unequal relationships between lecturers and students, seniors and juniors, leaders and subordinates, or supervisors and activity participants may place victims in a difficult position to refuse or report misconduct because of their dependence on grades, supervision, recommendations, organizational positions, and academic opportunities.</w:t>
      </w:r>
    </w:p>
    <w:p w14:paraId="543FC311" w14:textId="77777777" w:rsidR="001E3D75" w:rsidRDefault="00000000">
      <w:r>
        <w:t>These power relations are reinforced by the normalization of sexual conduct. Sexual jokes, comments about someone’s body, sexually suggestive private messages, uncomfortable staring, and non-consensual touching may be perceived as ordinary parts of campus social interaction. Limited understanding of non-physical sexual violence, power relations, and consent means that victims and members of the campus community do not always recognize such conduct as a violation. Silence, personal closeness, or the absence of physical resistance may also be misinterpreted as consent.</w:t>
      </w:r>
    </w:p>
    <w:p w14:paraId="2D2B336D" w14:textId="77777777" w:rsidR="001E3D75" w:rsidRDefault="00000000">
      <w:r>
        <w:t>When an act is not recognized as sexual violence, victims tend to hesitate to disclose their experiences. This hesitation is reinforced by shame, stigma, fear of not being believed, threats to their academic and social standing, and the risk of being blamed. The research data show that 56.7% of cases were not reported, while 43.3% had been disclosed to another party. Victims and individuals who were aware of the cases were also more likely to approach family members or trusted individuals than official campus institutions. This pattern indicates that emotional closeness and a sense of personal safety are still trusted more than institutional mechanisms.</w:t>
      </w:r>
    </w:p>
    <w:p w14:paraId="6D60A4AD" w14:textId="77777777" w:rsidR="001E3D75" w:rsidRDefault="00000000">
      <w:r>
        <w:t>The mechanism underlying the formation of a culture of silence can be illustrated as follows:</w:t>
      </w:r>
    </w:p>
    <w:p w14:paraId="2F9A7703" w14:textId="37F0C539" w:rsidR="001E3D75" w:rsidRDefault="00000000">
      <w:pPr>
        <w:pStyle w:val="JPSSCaption"/>
        <w:keepNext/>
        <w:jc w:val="center"/>
      </w:pPr>
      <w:r>
        <w:rPr>
          <w:rFonts w:cs="Times New Roman"/>
          <w:b/>
        </w:rPr>
        <w:lastRenderedPageBreak/>
        <w:t>Figure 2:</w:t>
      </w:r>
      <w:r>
        <w:rPr>
          <w:rFonts w:cs="Times New Roman"/>
        </w:rPr>
        <w:t xml:space="preserve"> Mechanism of the Culture of Silence in Campus Sexual Violence</w:t>
      </w:r>
    </w:p>
    <w:p w14:paraId="53D472CC" w14:textId="77777777" w:rsidR="001E3D75" w:rsidRDefault="00000000">
      <w:pPr>
        <w:ind w:firstLine="0"/>
        <w:jc w:val="center"/>
      </w:pPr>
      <w:r>
        <w:rPr>
          <w:noProof/>
        </w:rPr>
        <w:drawing>
          <wp:inline distT="0" distB="0" distL="0" distR="0" wp14:anchorId="77F706AD" wp14:editId="76002EE1">
            <wp:extent cx="4305300" cy="2690813"/>
            <wp:effectExtent l="0" t="0" r="0" b="0"/>
            <wp:docPr id="1" name="Picture 1" descr="Sequential diagram showing how unequal power relations, academic and social dependency, normalization of sexually inappropriate conduct, delayed recognition of violence, shame and stigma, and low trust in reporting mechanisms contribute to non-reporting, a culture of silence, and recurrence of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Culture_of_Silence_Mechanism.png"/>
                    <pic:cNvPicPr/>
                  </pic:nvPicPr>
                  <pic:blipFill>
                    <a:blip r:embed="rId10"/>
                    <a:stretch>
                      <a:fillRect/>
                    </a:stretch>
                  </pic:blipFill>
                  <pic:spPr>
                    <a:xfrm>
                      <a:off x="0" y="0"/>
                      <a:ext cx="4314594" cy="2696622"/>
                    </a:xfrm>
                    <a:prstGeom prst="rect">
                      <a:avLst/>
                    </a:prstGeom>
                  </pic:spPr>
                </pic:pic>
              </a:graphicData>
            </a:graphic>
          </wp:inline>
        </w:drawing>
      </w:r>
    </w:p>
    <w:p w14:paraId="1844EB9B" w14:textId="77777777" w:rsidR="001E3D75" w:rsidRDefault="00000000">
      <w:pPr>
        <w:pStyle w:val="JPSSNote"/>
      </w:pPr>
      <w:r>
        <w:rPr>
          <w:rFonts w:cs="Times New Roman"/>
          <w:i/>
        </w:rPr>
        <w:t xml:space="preserve">Note. </w:t>
      </w:r>
      <w:r>
        <w:rPr>
          <w:rFonts w:cs="Times New Roman"/>
        </w:rPr>
        <w:t>Developed by the authors based on the study findings.</w:t>
      </w:r>
    </w:p>
    <w:p w14:paraId="270F5793" w14:textId="77777777" w:rsidR="001E3D75" w:rsidRDefault="00000000">
      <w:r>
        <w:t>The diagram shows that a culture of silence is not merely the result of a victim’s personal decision. It is shaped by social and institutional conditions that do not yet fully support case disclosure. Prevention efforts cannot be limited to encouraging victims to report their experiences. Higher education institutions need to reduce unequal power relations, stop the normalization of sexual conduct, strengthen victim protection, and establish reporting mechanisms that are safe, confidential, and trustworthy.</w:t>
      </w:r>
    </w:p>
    <w:p w14:paraId="129F7A12" w14:textId="77777777" w:rsidR="001E3D75" w:rsidRDefault="00000000">
      <w:r>
        <w:t>Sexual violence prevention and response education represents an important point of intervention for disrupting this process. Education can help members of the campus community recognize different forms of sexual violence, understand consent, identify power relations, and respond appropriately to victims. Educational interventions can also strengthen students’ awareness and capacity to address sexual violence. The integration of sexual violence prevention and response materials into teaching materials and learning activities is necessary to ensure that this understanding becomes part of the values, attitudes, and actions of the campus community.</w:t>
      </w:r>
    </w:p>
    <w:p w14:paraId="0B1ACBF3" w14:textId="77777777" w:rsidR="001E3D75" w:rsidRDefault="00000000">
      <w:pPr>
        <w:pStyle w:val="JPSSHeading2"/>
        <w:keepNext/>
      </w:pPr>
      <w:r>
        <w:lastRenderedPageBreak/>
        <w:t>Sexual Violence Prevention and Response Education as an Intervention for Breaking the Culture of Silence</w:t>
      </w:r>
    </w:p>
    <w:p w14:paraId="1E0EE0BA" w14:textId="77777777" w:rsidR="001E3D75" w:rsidRDefault="00000000">
      <w:r>
        <w:t>The findings show that a culture of silence cannot be adequately addressed through regulations, task forces, or complaint channels alone. Unequal power relations, the normalization of sexual conduct, limited literacy, and low trust in reporting mechanisms require systematic educational intervention. Sexual violence prevention and response education is necessary to enable members of the campus community to recognize different forms of sexual violence, understand consent, identify the abuse of power, and respond to victims without blaming them.</w:t>
      </w:r>
    </w:p>
    <w:p w14:paraId="3BD002EE" w14:textId="77777777" w:rsidR="001E3D75" w:rsidRDefault="00000000">
      <w:r>
        <w:t>sexual violence prevention and response education can be integrated into learning outcomes, relevant courses, teaching materials, and academic activities. The materials should include examples that reflect campus life, such as classroom learning, academic supervision, student organizations, digital communication, internships, research activities, field practice, and community service programs. Learning activities may include case discussions, role-playing, critical reflection, and reporting simulations so that students not only understand the relevant concepts but are also able to respond appropriately.</w:t>
      </w:r>
    </w:p>
    <w:p w14:paraId="360D499D" w14:textId="77777777" w:rsidR="001E3D75" w:rsidRDefault="00000000">
      <w:r>
        <w:t>Lecturers, educational staff, sexual violence prevention and response task forces, and student organizations need to be involved to ensure that education is aligned with campus policies and services. Every learning activity should also provide information about complaint channels, identity protection, assistance services, and victims’ rights. In this way, sexual violence prevention and response education can disrupt the normalization process, strengthen the courage to seek help, and encourage higher education institutions to move from reactive case handling toward educational and sustainable prevention.</w:t>
      </w:r>
    </w:p>
    <w:p w14:paraId="36CDEE1E" w14:textId="77777777" w:rsidR="001E3D75" w:rsidRDefault="00000000">
      <w:pPr>
        <w:pStyle w:val="JPSSHeading1"/>
        <w:keepNext/>
      </w:pPr>
      <w:r>
        <w:lastRenderedPageBreak/>
        <w:t>Conclusion</w:t>
      </w:r>
    </w:p>
    <w:p w14:paraId="1534C5D3" w14:textId="77777777" w:rsidR="001E3D75" w:rsidRDefault="00000000">
      <w:r>
        <w:t>The culture of silence surrounding sexual violence cases at the three higher education institutions is shaped by the interaction of unequal power relations, the normalization of sexual conduct, limited literacy among campus community members, and low levels of trust in reporting mechanisms. Unequal academic relationships may create fear of consequences related to grades, academic supervision, organizational positions, and social relationships. Limited understanding of consent and the various forms of sexual violence also causes some acts to be perceived as jokes or normal behavior. Victims may experience shame, stigma, fear of not being believed, and the risk of being blamed. As a result, cases are more often kept private or disclosed only to trusted individuals rather than reported through official campus channels. These conditions make cases difficult to detect and allow sexual violence to recur. Prevention efforts should therefore focus on strengthening education on sexual violence prevention and response, particularly regarding consent, power relations, forms of sexual violence, victims’ rights, and reporting procedures. These efforts should be supported by complaint mechanisms that are safe, confidential, accessible, and victim-centered.</w:t>
      </w:r>
    </w:p>
    <w:p w14:paraId="2495E9B9" w14:textId="77777777" w:rsidR="001E3D75" w:rsidRDefault="00000000">
      <w:pPr>
        <w:pStyle w:val="JPSSHeading1"/>
        <w:keepNext/>
      </w:pPr>
      <w:r>
        <w:t>References</w:t>
      </w:r>
    </w:p>
    <w:p w14:paraId="26342F48" w14:textId="77777777" w:rsidR="001E3D75" w:rsidRDefault="00000000">
      <w:pPr>
        <w:pStyle w:val="JPSSReference"/>
      </w:pPr>
      <w:r>
        <w:rPr>
          <w:rFonts w:cs="Times New Roman"/>
        </w:rPr>
        <w:t xml:space="preserve">Adawiyah, R., Luayyin, R. H., &amp; Ardli, M. N. (2022). Analisis Permendikbud Ristek No. 30 Tahun 2021 dan konstruksi sosial kekerasan seksual di perguruan tinggi perspektif sosiologis. </w:t>
      </w:r>
      <w:r>
        <w:rPr>
          <w:rFonts w:cs="Times New Roman"/>
          <w:i/>
        </w:rPr>
        <w:t>Al Qodiri: Jurnal Pendidikan, Sosial dan Keagamaan, 19</w:t>
      </w:r>
      <w:r>
        <w:rPr>
          <w:rFonts w:cs="Times New Roman"/>
        </w:rPr>
        <w:t>(3), 781–796. https://doi.org/10.53515/qodiri.2022.19.3.781-796</w:t>
      </w:r>
    </w:p>
    <w:p w14:paraId="3B06A52A" w14:textId="77777777" w:rsidR="001E3D75" w:rsidRDefault="00000000">
      <w:pPr>
        <w:pStyle w:val="JPSSReference"/>
      </w:pPr>
      <w:r>
        <w:rPr>
          <w:rFonts w:cs="Times New Roman"/>
        </w:rPr>
        <w:t xml:space="preserve">Akbar, A. (2021). Framing pemberitaan rancangan undang-undang penghapusan kekerasan seksual pada media Tirto.id dan Republika.co.id. </w:t>
      </w:r>
      <w:r>
        <w:rPr>
          <w:rFonts w:cs="Times New Roman"/>
          <w:i/>
        </w:rPr>
        <w:t>Interaksi: Jurnal Ilmu Komunikasi, 10</w:t>
      </w:r>
      <w:r>
        <w:rPr>
          <w:rFonts w:cs="Times New Roman"/>
        </w:rPr>
        <w:t>(2), 138–149. https://doi.org/10.14710/interaksi.10.2.138-149</w:t>
      </w:r>
    </w:p>
    <w:p w14:paraId="08FB0518" w14:textId="77777777" w:rsidR="001E3D75" w:rsidRDefault="00000000">
      <w:pPr>
        <w:pStyle w:val="JPSSReference"/>
      </w:pPr>
      <w:r>
        <w:rPr>
          <w:rFonts w:cs="Times New Roman"/>
        </w:rPr>
        <w:t xml:space="preserve">Bonar, E. E., DeGue, S., Abbey, A., Coker, A. L., Lindquist, C. H., McCauley, H. L., Miller, E., Senn, C. Y., Thompson, M. P., Ngo, Q. M., Cunningham, R. M., &amp; Walton, M. A. </w:t>
      </w:r>
      <w:r>
        <w:rPr>
          <w:rFonts w:cs="Times New Roman"/>
        </w:rPr>
        <w:lastRenderedPageBreak/>
        <w:t xml:space="preserve">(2022). Prevention of sexual violence among college students: Current challenges and future directions. </w:t>
      </w:r>
      <w:r>
        <w:rPr>
          <w:rFonts w:cs="Times New Roman"/>
          <w:i/>
        </w:rPr>
        <w:t>Journal of American College Health, 70</w:t>
      </w:r>
      <w:r>
        <w:rPr>
          <w:rFonts w:cs="Times New Roman"/>
        </w:rPr>
        <w:t>(2), 575–588. https://doi.org/10.1080/07448481.2020.1757681</w:t>
      </w:r>
    </w:p>
    <w:p w14:paraId="20FF0C1D" w14:textId="77777777" w:rsidR="001E3D75" w:rsidRDefault="00000000">
      <w:pPr>
        <w:pStyle w:val="JPSSReference"/>
      </w:pPr>
      <w:r>
        <w:rPr>
          <w:rFonts w:cs="Times New Roman"/>
        </w:rPr>
        <w:t xml:space="preserve">Dworkin, E. R., Krahé, B., &amp; Zinzow, H. (2021). The global prevalence of sexual assault: A systematic review of international research since 2010. </w:t>
      </w:r>
      <w:r>
        <w:rPr>
          <w:rFonts w:cs="Times New Roman"/>
          <w:i/>
        </w:rPr>
        <w:t>Psychology of Violence, 11</w:t>
      </w:r>
      <w:r>
        <w:rPr>
          <w:rFonts w:cs="Times New Roman"/>
        </w:rPr>
        <w:t>(5), 497–508. https://doi.org/10.1037/vio0000374</w:t>
      </w:r>
    </w:p>
    <w:p w14:paraId="73807652" w14:textId="77777777" w:rsidR="001E3D75" w:rsidRDefault="00000000">
      <w:pPr>
        <w:pStyle w:val="JPSSReference"/>
      </w:pPr>
      <w:r>
        <w:rPr>
          <w:rFonts w:cs="Times New Roman"/>
        </w:rPr>
        <w:t xml:space="preserve">Elindawati, R. (2021). Perspektif feminis dalam kasus perempuan sebagai korban kekerasan seksual di perguruan tinggi. </w:t>
      </w:r>
      <w:r>
        <w:rPr>
          <w:rFonts w:cs="Times New Roman"/>
          <w:i/>
        </w:rPr>
        <w:t>Al-Wardah: Jurnal Kajian Perempuan, Gender dan Agama, 15</w:t>
      </w:r>
      <w:r>
        <w:rPr>
          <w:rFonts w:cs="Times New Roman"/>
        </w:rPr>
        <w:t>(2), 181–193. https://doi.org/10.46339/al-wardah.v15i2.649</w:t>
      </w:r>
    </w:p>
    <w:p w14:paraId="22481410" w14:textId="77777777" w:rsidR="001E3D75" w:rsidRDefault="00000000">
      <w:pPr>
        <w:pStyle w:val="JPSSReference"/>
      </w:pPr>
      <w:r>
        <w:rPr>
          <w:rFonts w:cs="Times New Roman"/>
        </w:rPr>
        <w:t xml:space="preserve">Fitri, A., Haekal, M., Almukarramah, A., &amp; Sari, F. M. (2021). Sexual violence in Indonesian university: On students’ critical consciousness and agency. </w:t>
      </w:r>
      <w:r>
        <w:rPr>
          <w:rFonts w:cs="Times New Roman"/>
          <w:i/>
        </w:rPr>
        <w:t>Gender Equality: International Journal of Child and Gender Studies, 7</w:t>
      </w:r>
      <w:r>
        <w:rPr>
          <w:rFonts w:cs="Times New Roman"/>
        </w:rPr>
        <w:t>(2), 153–167. https://doi.org/10.22373/equality.v7i2.9869</w:t>
      </w:r>
    </w:p>
    <w:p w14:paraId="42366F6C" w14:textId="77777777" w:rsidR="001E3D75" w:rsidRDefault="00000000">
      <w:pPr>
        <w:pStyle w:val="JPSSReference"/>
      </w:pPr>
      <w:r>
        <w:rPr>
          <w:rFonts w:cs="Times New Roman"/>
        </w:rPr>
        <w:t xml:space="preserve">Kennedy, K. M., Vellinga, A., Bonner, N., Stewart, B., &amp; McGrath, D. (2013). How teaching on the care of the victim of sexual violence alters undergraduate medical students’ awareness of the key issues involved in patient care and their attitudes to such patients. </w:t>
      </w:r>
      <w:r>
        <w:rPr>
          <w:rFonts w:cs="Times New Roman"/>
          <w:i/>
        </w:rPr>
        <w:t>Journal of Forensic and Legal Medicine, 20</w:t>
      </w:r>
      <w:r>
        <w:rPr>
          <w:rFonts w:cs="Times New Roman"/>
        </w:rPr>
        <w:t>(6), 582–587. https://doi.org/10.1016/j.jflm.2013.06.010</w:t>
      </w:r>
    </w:p>
    <w:p w14:paraId="3D5D5242" w14:textId="77777777" w:rsidR="001E3D75" w:rsidRDefault="00000000">
      <w:pPr>
        <w:pStyle w:val="JPSSReference"/>
      </w:pPr>
      <w:r>
        <w:rPr>
          <w:rFonts w:cs="Times New Roman"/>
        </w:rPr>
        <w:t xml:space="preserve">Khafsoh, N. A., &amp; Suhairi, S. (2021). Pemahaman mahasiswa terhadap bentuk, proses, dan pandangan penanganan kekerasan seksual di kampus. </w:t>
      </w:r>
      <w:r>
        <w:rPr>
          <w:rFonts w:cs="Times New Roman"/>
          <w:i/>
        </w:rPr>
        <w:t>Marwah: Jurnal Perempuan, Agama dan Jender, 20</w:t>
      </w:r>
      <w:r>
        <w:rPr>
          <w:rFonts w:cs="Times New Roman"/>
        </w:rPr>
        <w:t>(1), 61–75. https://doi.org/10.24014/marwah.v20i1.10487</w:t>
      </w:r>
    </w:p>
    <w:p w14:paraId="40298784" w14:textId="77777777" w:rsidR="001E3D75" w:rsidRDefault="00000000">
      <w:pPr>
        <w:pStyle w:val="JPSSReference"/>
      </w:pPr>
      <w:r>
        <w:rPr>
          <w:rFonts w:cs="Times New Roman"/>
        </w:rPr>
        <w:t xml:space="preserve">Linder, C. (2024). </w:t>
      </w:r>
      <w:r>
        <w:rPr>
          <w:rFonts w:cs="Times New Roman"/>
          <w:i/>
        </w:rPr>
        <w:t>Sexual violence on campus: Power-conscious approaches to awareness, prevention, and response.</w:t>
      </w:r>
      <w:r>
        <w:rPr>
          <w:rFonts w:cs="Times New Roman"/>
        </w:rPr>
        <w:t xml:space="preserve"> Emerald Publishing.</w:t>
      </w:r>
    </w:p>
    <w:p w14:paraId="1440AF1E" w14:textId="77777777" w:rsidR="001E3D75" w:rsidRDefault="00000000">
      <w:pPr>
        <w:pStyle w:val="JPSSReference"/>
      </w:pPr>
      <w:r>
        <w:rPr>
          <w:rFonts w:cs="Times New Roman"/>
        </w:rPr>
        <w:lastRenderedPageBreak/>
        <w:t xml:space="preserve">Marfu’ah, U., Rofi’ah, S., &amp; Maksun, M. (2021). Sistem pencegahan dan penanganan kekerasan seksual di kampus. </w:t>
      </w:r>
      <w:r>
        <w:rPr>
          <w:rFonts w:cs="Times New Roman"/>
          <w:i/>
        </w:rPr>
        <w:t>Kafa’ah: Journal of Gender Studies, 11</w:t>
      </w:r>
      <w:r>
        <w:rPr>
          <w:rFonts w:cs="Times New Roman"/>
        </w:rPr>
        <w:t>(1), 95–106. https://doi.org/10.15548/jk.v11i1.379</w:t>
      </w:r>
    </w:p>
    <w:p w14:paraId="108AD569" w14:textId="77777777" w:rsidR="001E3D75" w:rsidRDefault="00000000">
      <w:pPr>
        <w:pStyle w:val="JPSSReference"/>
      </w:pPr>
      <w:r>
        <w:rPr>
          <w:rFonts w:cs="Times New Roman"/>
        </w:rPr>
        <w:t xml:space="preserve">Nikmatullah, N. (2020). Demi nama baik kampus vs perlindungan korban: Kasus kekerasan seksual di kampus. </w:t>
      </w:r>
      <w:r>
        <w:rPr>
          <w:rFonts w:cs="Times New Roman"/>
          <w:i/>
        </w:rPr>
        <w:t>Qawwam: Journal for Gender Mainstreaming, 14</w:t>
      </w:r>
      <w:r>
        <w:rPr>
          <w:rFonts w:cs="Times New Roman"/>
        </w:rPr>
        <w:t>(2), 37–53. https://doi.org/10.20414/qawwam.v14i2.2875</w:t>
      </w:r>
    </w:p>
    <w:p w14:paraId="3929E9DF" w14:textId="77777777" w:rsidR="001E3D75" w:rsidRDefault="00000000">
      <w:pPr>
        <w:pStyle w:val="JPSSReference"/>
      </w:pPr>
      <w:r>
        <w:rPr>
          <w:rFonts w:cs="Times New Roman"/>
        </w:rPr>
        <w:t xml:space="preserve">Saraswati, N. D., &amp; Sewu, P. L. S. (2022). Arah pengaturan hukum pencegahan dan penanganan kekerasan seksual di kampus menurut peraturan menteri pendidikan, kebudayaan, riset, dan teknologi nomor 30 tahun 2021 tentang pencegahan dan penanganan kekerasan seksual di lingkungan perguruan tinggi. </w:t>
      </w:r>
      <w:r>
        <w:rPr>
          <w:rFonts w:cs="Times New Roman"/>
          <w:i/>
        </w:rPr>
        <w:t>Jurnal Hukum Mimbar Justitia, 8</w:t>
      </w:r>
      <w:r>
        <w:rPr>
          <w:rFonts w:cs="Times New Roman"/>
        </w:rPr>
        <w:t>(1), 115–137. https://doi.org/10.35194/jhmj.v8i1.2464</w:t>
      </w:r>
    </w:p>
    <w:p w14:paraId="17FDE9DA" w14:textId="77777777" w:rsidR="001E3D75" w:rsidRDefault="00000000">
      <w:pPr>
        <w:pStyle w:val="JPSSReference"/>
      </w:pPr>
      <w:r>
        <w:rPr>
          <w:rFonts w:cs="Times New Roman"/>
        </w:rPr>
        <w:t xml:space="preserve">Schneider, M., &amp; Hirsch, J. S. (2020). Comprehensive sexuality education as a primary prevention strategy for sexual violence perpetration. </w:t>
      </w:r>
      <w:r>
        <w:rPr>
          <w:rFonts w:cs="Times New Roman"/>
          <w:i/>
        </w:rPr>
        <w:t>Trauma, Violence, &amp; Abuse, 21</w:t>
      </w:r>
      <w:r>
        <w:rPr>
          <w:rFonts w:cs="Times New Roman"/>
        </w:rPr>
        <w:t>(3), 439–455. https://doi.org/10.1177/1524838018772855</w:t>
      </w:r>
    </w:p>
    <w:p w14:paraId="030121DF" w14:textId="77777777" w:rsidR="001E3D75" w:rsidRDefault="00000000">
      <w:pPr>
        <w:pStyle w:val="JPSSReference"/>
      </w:pPr>
      <w:r>
        <w:rPr>
          <w:rFonts w:cs="Times New Roman"/>
        </w:rPr>
        <w:t xml:space="preserve">Soejoeti, A. H., &amp; Susanti, V. (2020). Diskusi keadilan restoratif dalam konteks kekerasan seksual di kampus. </w:t>
      </w:r>
      <w:r>
        <w:rPr>
          <w:rFonts w:cs="Times New Roman"/>
          <w:i/>
        </w:rPr>
        <w:t>Deviance: Jurnal Kriminologi, 4</w:t>
      </w:r>
      <w:r>
        <w:rPr>
          <w:rFonts w:cs="Times New Roman"/>
        </w:rPr>
        <w:t>(1), 67–83. https://doi.org/10.36080/djk.1311</w:t>
      </w:r>
    </w:p>
    <w:p w14:paraId="5D7D1B09" w14:textId="77777777" w:rsidR="001E3D75" w:rsidRDefault="00000000">
      <w:pPr>
        <w:pStyle w:val="JPSSReference"/>
      </w:pPr>
      <w:r>
        <w:rPr>
          <w:rFonts w:cs="Times New Roman"/>
        </w:rPr>
        <w:t xml:space="preserve">Yusran, S., Astina, A., Sabilu, Y., Sety, L. O. M., Akifah, A., &amp; Rezal, F. (2022). Premarital sexual behaviour among urban-rural school teenagers in Southeast Sulawesi, Indonesia: Comparative study. </w:t>
      </w:r>
      <w:r>
        <w:rPr>
          <w:rFonts w:cs="Times New Roman"/>
          <w:i/>
        </w:rPr>
        <w:t>Unnes Journal of Public Health, 11</w:t>
      </w:r>
      <w:r>
        <w:rPr>
          <w:rFonts w:cs="Times New Roman"/>
        </w:rPr>
        <w:t>(1), 65–74. https://doi.org/10.15294/ujph.v11i1.50666</w:t>
      </w:r>
    </w:p>
    <w:p w14:paraId="23831CDD" w14:textId="77777777" w:rsidR="001E3D75" w:rsidRDefault="00000000">
      <w:pPr>
        <w:pStyle w:val="JPSSReference"/>
      </w:pPr>
      <w:r>
        <w:rPr>
          <w:rFonts w:cs="Times New Roman"/>
        </w:rPr>
        <w:t xml:space="preserve">Yusran, S., Sabilu, Y., Yuniar, N., Hanafi, H., &amp; Badara, H. (2018). The needs of sexual and reproductive health education for secondary school in Kendari City, Southeast Sulawesi, Indonesia. </w:t>
      </w:r>
      <w:r>
        <w:rPr>
          <w:rFonts w:cs="Times New Roman"/>
          <w:i/>
        </w:rPr>
        <w:t>Indian Journal of Science and Technology, 11</w:t>
      </w:r>
      <w:r>
        <w:rPr>
          <w:rFonts w:cs="Times New Roman"/>
        </w:rPr>
        <w:t>(23), 1–9. https://doi.org/10.17485/ijst/2018/v11i23/110489</w:t>
      </w:r>
    </w:p>
    <w:sectPr w:rsidR="001E3D75">
      <w:footerReference w:type="default" r:id="rId11"/>
      <w:pgSz w:w="11909" w:h="16834"/>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A19FE" w14:textId="77777777" w:rsidR="00F06BD9" w:rsidRDefault="00F06BD9">
      <w:pPr>
        <w:spacing w:line="240" w:lineRule="auto"/>
      </w:pPr>
      <w:r>
        <w:separator/>
      </w:r>
    </w:p>
  </w:endnote>
  <w:endnote w:type="continuationSeparator" w:id="0">
    <w:p w14:paraId="781751DC" w14:textId="77777777" w:rsidR="00F06BD9" w:rsidRDefault="00F06B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07187" w14:textId="77777777" w:rsidR="001E3D75" w:rsidRDefault="001E3D7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6260D" w14:textId="77777777" w:rsidR="001E3D75" w:rsidRDefault="00000000">
    <w:pPr>
      <w:jc w:val="right"/>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B1B7C" w14:textId="77777777" w:rsidR="00F06BD9" w:rsidRDefault="00F06BD9">
      <w:pPr>
        <w:spacing w:line="240" w:lineRule="auto"/>
      </w:pPr>
      <w:r>
        <w:separator/>
      </w:r>
    </w:p>
  </w:footnote>
  <w:footnote w:type="continuationSeparator" w:id="0">
    <w:p w14:paraId="3F8A1D24" w14:textId="77777777" w:rsidR="00F06BD9" w:rsidRDefault="00F06BD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2352948">
    <w:abstractNumId w:val="8"/>
  </w:num>
  <w:num w:numId="2" w16cid:durableId="106852130">
    <w:abstractNumId w:val="6"/>
  </w:num>
  <w:num w:numId="3" w16cid:durableId="1622033569">
    <w:abstractNumId w:val="5"/>
  </w:num>
  <w:num w:numId="4" w16cid:durableId="936134442">
    <w:abstractNumId w:val="4"/>
  </w:num>
  <w:num w:numId="5" w16cid:durableId="1194616216">
    <w:abstractNumId w:val="7"/>
  </w:num>
  <w:num w:numId="6" w16cid:durableId="1825781189">
    <w:abstractNumId w:val="3"/>
  </w:num>
  <w:num w:numId="7" w16cid:durableId="1062748870">
    <w:abstractNumId w:val="2"/>
  </w:num>
  <w:num w:numId="8" w16cid:durableId="1454593221">
    <w:abstractNumId w:val="1"/>
  </w:num>
  <w:num w:numId="9" w16cid:durableId="1352879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FFB"/>
    <w:rsid w:val="0015074B"/>
    <w:rsid w:val="001E3D75"/>
    <w:rsid w:val="0025241C"/>
    <w:rsid w:val="0029639D"/>
    <w:rsid w:val="002B35DF"/>
    <w:rsid w:val="00326F90"/>
    <w:rsid w:val="003D596E"/>
    <w:rsid w:val="0045229F"/>
    <w:rsid w:val="006C208C"/>
    <w:rsid w:val="007035A4"/>
    <w:rsid w:val="00850B74"/>
    <w:rsid w:val="00862C85"/>
    <w:rsid w:val="00870B0C"/>
    <w:rsid w:val="00AA1D8D"/>
    <w:rsid w:val="00AF65B7"/>
    <w:rsid w:val="00B47730"/>
    <w:rsid w:val="00B50410"/>
    <w:rsid w:val="00B610EB"/>
    <w:rsid w:val="00C844F1"/>
    <w:rsid w:val="00CB0664"/>
    <w:rsid w:val="00D032DB"/>
    <w:rsid w:val="00F06BD9"/>
    <w:rsid w:val="00F721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EE25D"/>
  <w14:defaultImageDpi w14:val="300"/>
  <w15:docId w15:val="{D7BD1289-580D-46A9-9DB9-A6054E8A8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PSSTitle">
    <w:name w:val="JPSS Title"/>
    <w:basedOn w:val="Normal"/>
    <w:pPr>
      <w:ind w:firstLine="0"/>
      <w:jc w:val="center"/>
    </w:pPr>
    <w:rPr>
      <w:color w:val="000000"/>
    </w:rPr>
  </w:style>
  <w:style w:type="paragraph" w:customStyle="1" w:styleId="JPSSHeading1">
    <w:name w:val="JPSS Heading 1"/>
    <w:basedOn w:val="Normal"/>
    <w:pPr>
      <w:spacing w:before="240"/>
      <w:ind w:firstLine="0"/>
      <w:jc w:val="center"/>
    </w:pPr>
    <w:rPr>
      <w:b/>
      <w:color w:val="000000"/>
    </w:rPr>
  </w:style>
  <w:style w:type="paragraph" w:customStyle="1" w:styleId="JPSSHeading2">
    <w:name w:val="JPSS Heading 2"/>
    <w:basedOn w:val="Normal"/>
    <w:pPr>
      <w:spacing w:before="240"/>
      <w:ind w:firstLine="0"/>
      <w:jc w:val="left"/>
    </w:pPr>
    <w:rPr>
      <w:b/>
      <w:color w:val="000000"/>
    </w:rPr>
  </w:style>
  <w:style w:type="paragraph" w:customStyle="1" w:styleId="JPSSCaption">
    <w:name w:val="JPSS Caption"/>
    <w:pPr>
      <w:spacing w:after="0" w:line="480" w:lineRule="auto"/>
    </w:pPr>
    <w:rPr>
      <w:rFonts w:ascii="Times New Roman" w:hAnsi="Times New Roman"/>
      <w:sz w:val="24"/>
    </w:rPr>
  </w:style>
  <w:style w:type="paragraph" w:customStyle="1" w:styleId="JPSSNote">
    <w:name w:val="JPSS Note"/>
    <w:pPr>
      <w:spacing w:after="0" w:line="480" w:lineRule="auto"/>
    </w:pPr>
    <w:rPr>
      <w:rFonts w:ascii="Times New Roman" w:hAnsi="Times New Roman"/>
      <w:sz w:val="24"/>
    </w:rPr>
  </w:style>
  <w:style w:type="paragraph" w:customStyle="1" w:styleId="JPSSReference">
    <w:name w:val="JPSS Reference"/>
    <w:pPr>
      <w:spacing w:after="0" w:line="480" w:lineRule="auto"/>
      <w:ind w:left="720" w:hanging="72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29</Pages>
  <Words>8211</Words>
  <Characters>46805</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Sexual Violence, Power Relations, Reporting Barriers, and a Culture of Silence in Three Indonesian Universities</dc:title>
  <dc:subject/>
  <dc:creator/>
  <cp:keywords/>
  <dc:description/>
  <cp:lastModifiedBy>PT. ANOA SEJAHTERA MANDIRI 06</cp:lastModifiedBy>
  <cp:revision>7</cp:revision>
  <dcterms:created xsi:type="dcterms:W3CDTF">2013-12-23T23:15:00Z</dcterms:created>
  <dcterms:modified xsi:type="dcterms:W3CDTF">2026-07-09T06:12:00Z</dcterms:modified>
  <cp:category/>
</cp:coreProperties>
</file>