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7776" w14:textId="77777777" w:rsidR="00A01A77" w:rsidRDefault="00000000">
      <w:pPr>
        <w:spacing w:after="240"/>
        <w:jc w:val="center"/>
      </w:pPr>
      <w:r>
        <w:rPr>
          <w:b/>
          <w:sz w:val="32"/>
        </w:rPr>
        <w:t xml:space="preserve">Effect of a MEPISHA Integrative Nursing Intervention on Sleep and Emotional Problems in Children </w:t>
      </w:r>
      <w:proofErr w:type="gramStart"/>
      <w:r>
        <w:rPr>
          <w:b/>
          <w:sz w:val="32"/>
        </w:rPr>
        <w:t>With</w:t>
      </w:r>
      <w:proofErr w:type="gramEnd"/>
      <w:r>
        <w:rPr>
          <w:b/>
          <w:sz w:val="32"/>
        </w:rPr>
        <w:t xml:space="preserve"> Autism Spectrum Disorder</w:t>
      </w:r>
    </w:p>
    <w:p w14:paraId="2923C0DC" w14:textId="77777777" w:rsidR="00A01A77" w:rsidRDefault="00000000">
      <w:pPr>
        <w:spacing w:after="240"/>
        <w:jc w:val="center"/>
      </w:pPr>
      <w:r>
        <w:rPr>
          <w:b/>
        </w:rPr>
        <w:t>Dewi Umu Kulsum</w:t>
      </w:r>
      <w:r>
        <w:rPr>
          <w:sz w:val="16"/>
          <w:vertAlign w:val="superscript"/>
        </w:rPr>
        <w:t>1</w:t>
      </w:r>
      <w:r>
        <w:rPr>
          <w:b/>
        </w:rPr>
        <w:t xml:space="preserve">, </w:t>
      </w:r>
      <w:proofErr w:type="spellStart"/>
      <w:r>
        <w:rPr>
          <w:b/>
        </w:rPr>
        <w:t>Intansari</w:t>
      </w:r>
      <w:proofErr w:type="spellEnd"/>
      <w:r>
        <w:rPr>
          <w:b/>
        </w:rPr>
        <w:t xml:space="preserve"> Nurjannah</w:t>
      </w:r>
      <w:r>
        <w:rPr>
          <w:sz w:val="16"/>
          <w:vertAlign w:val="superscript"/>
        </w:rPr>
        <w:t>2</w:t>
      </w:r>
      <w:r>
        <w:rPr>
          <w:b/>
        </w:rPr>
        <w:t>*, Sri Hartini</w:t>
      </w:r>
      <w:r>
        <w:rPr>
          <w:sz w:val="16"/>
          <w:vertAlign w:val="superscript"/>
        </w:rPr>
        <w:t>3</w:t>
      </w:r>
      <w:r>
        <w:rPr>
          <w:b/>
        </w:rPr>
        <w:t>, Elisabeth Siti Herini</w:t>
      </w:r>
      <w:r>
        <w:rPr>
          <w:sz w:val="16"/>
          <w:vertAlign w:val="superscript"/>
        </w:rPr>
        <w:t>4</w:t>
      </w:r>
    </w:p>
    <w:p w14:paraId="5BAA8D57" w14:textId="77777777" w:rsidR="00A01A77" w:rsidRDefault="00000000">
      <w:pPr>
        <w:jc w:val="center"/>
      </w:pPr>
      <w:r>
        <w:rPr>
          <w:i/>
          <w:sz w:val="16"/>
          <w:vertAlign w:val="superscript"/>
        </w:rPr>
        <w:t>1</w:t>
      </w:r>
      <w:r>
        <w:rPr>
          <w:i/>
        </w:rPr>
        <w:t xml:space="preserve">Department of Pediatric Nursing, Faculty of Health Sciences and Technology, Universitas </w:t>
      </w:r>
      <w:proofErr w:type="spellStart"/>
      <w:r>
        <w:rPr>
          <w:i/>
        </w:rPr>
        <w:t>Jenderal</w:t>
      </w:r>
      <w:proofErr w:type="spellEnd"/>
      <w:r>
        <w:rPr>
          <w:i/>
        </w:rPr>
        <w:t xml:space="preserve"> Achmad Yani, </w:t>
      </w:r>
      <w:proofErr w:type="spellStart"/>
      <w:r>
        <w:rPr>
          <w:i/>
        </w:rPr>
        <w:t>Cimahi</w:t>
      </w:r>
      <w:proofErr w:type="spellEnd"/>
      <w:r>
        <w:rPr>
          <w:i/>
        </w:rPr>
        <w:t>, Indonesia</w:t>
      </w:r>
    </w:p>
    <w:p w14:paraId="38FD1F25" w14:textId="77777777" w:rsidR="00A01A77" w:rsidRDefault="00000000">
      <w:pPr>
        <w:jc w:val="center"/>
      </w:pPr>
      <w:r>
        <w:rPr>
          <w:i/>
          <w:sz w:val="16"/>
          <w:vertAlign w:val="superscript"/>
        </w:rPr>
        <w:t>2</w:t>
      </w:r>
      <w:r>
        <w:rPr>
          <w:i/>
        </w:rPr>
        <w:t>Department of Mental Health and Community Nursing, Faculty of Medicine, Public Health and Nursing, Universitas Gadjah Mada, Yogyakarta, Indonesia</w:t>
      </w:r>
    </w:p>
    <w:p w14:paraId="61A08E6E" w14:textId="77777777" w:rsidR="00A01A77" w:rsidRDefault="00000000">
      <w:pPr>
        <w:jc w:val="center"/>
      </w:pPr>
      <w:r>
        <w:rPr>
          <w:i/>
          <w:sz w:val="16"/>
          <w:vertAlign w:val="superscript"/>
        </w:rPr>
        <w:t>3</w:t>
      </w:r>
      <w:r>
        <w:rPr>
          <w:i/>
        </w:rPr>
        <w:t>Department of Pediatric and Maternity Nursing, Faculty of Medicine, Public Health and Nursing, Universitas Gadjah Mada, Yogyakarta, Indonesia</w:t>
      </w:r>
    </w:p>
    <w:p w14:paraId="6784F072" w14:textId="77777777" w:rsidR="00A01A77" w:rsidRDefault="00000000">
      <w:pPr>
        <w:jc w:val="center"/>
      </w:pPr>
      <w:r>
        <w:rPr>
          <w:i/>
          <w:sz w:val="16"/>
          <w:vertAlign w:val="superscript"/>
        </w:rPr>
        <w:t>4</w:t>
      </w:r>
      <w:r>
        <w:rPr>
          <w:i/>
        </w:rPr>
        <w:t>Department of Child Health, Faculty of Medicine, Public Health and Nursing, Universitas Gadjah Mada, Yogyakarta, Indonesia</w:t>
      </w:r>
    </w:p>
    <w:p w14:paraId="72092120" w14:textId="77777777" w:rsidR="00A01A77" w:rsidRDefault="00000000">
      <w:pPr>
        <w:spacing w:after="240"/>
        <w:jc w:val="center"/>
      </w:pPr>
      <w:r>
        <w:rPr>
          <w:i/>
          <w:sz w:val="20"/>
        </w:rPr>
        <w:t>Corresponding author: intansarin@ugm.ac.id</w:t>
      </w:r>
    </w:p>
    <w:p w14:paraId="6348AF0D" w14:textId="77777777" w:rsidR="00A01A77" w:rsidRDefault="00000000">
      <w:pPr>
        <w:keepNext/>
        <w:spacing w:before="240" w:after="60"/>
      </w:pPr>
      <w:r>
        <w:rPr>
          <w:b/>
        </w:rPr>
        <w:t>ABSTRACT</w:t>
      </w:r>
    </w:p>
    <w:p w14:paraId="76706B3F" w14:textId="77777777" w:rsidR="00A01A77" w:rsidRDefault="00000000">
      <w:pPr>
        <w:jc w:val="both"/>
      </w:pPr>
      <w:r>
        <w:rPr>
          <w:b/>
        </w:rPr>
        <w:t xml:space="preserve">Background: </w:t>
      </w:r>
      <w:r>
        <w:t>Sleep disturbance and emotional dysregulation frequently co-occur in children with autism spectrum disorder (ASD), yet evidence for integrated nursing interventions remains limited.</w:t>
      </w:r>
    </w:p>
    <w:p w14:paraId="51CF54CF" w14:textId="77777777" w:rsidR="00A01A77" w:rsidRDefault="00000000">
      <w:r>
        <w:t>Purpose: To assess whether MEPISHA, an intervention combining Swedish massage, acupressure, and sleep hygiene education, was associated with changes in sleep and emotional problems in children with ASD.</w:t>
      </w:r>
    </w:p>
    <w:p w14:paraId="19F56C08" w14:textId="77777777" w:rsidR="00A01A77" w:rsidRDefault="00000000">
      <w:pPr>
        <w:jc w:val="both"/>
      </w:pPr>
      <w:r>
        <w:rPr>
          <w:b/>
        </w:rPr>
        <w:t xml:space="preserve">Methods: </w:t>
      </w:r>
      <w:r>
        <w:t xml:space="preserve">A quasi-experimental pretest-posttest study with a nonrandomized control group was conducted among 62 children with ASD in </w:t>
      </w:r>
      <w:proofErr w:type="spellStart"/>
      <w:r>
        <w:t>Cimahi</w:t>
      </w:r>
      <w:proofErr w:type="spellEnd"/>
      <w:r>
        <w:t>, Indonesia. Participants received MEPISHA (n = 30) or sleep hygiene education and usual activities (n = 32). The intervention comprised eight sessions over four weeks. Sleep was assessed using the Children’s Sleep Habits Questionnaire (CSHQ) and actigraphy, and emotional problems were assessed using the Child Behavior Checklist (CBCL). Data were analyzed using paired and independent t tests, Mann-Whitney tests, and multiple linear regression.</w:t>
      </w:r>
    </w:p>
    <w:p w14:paraId="773E38C8" w14:textId="77777777" w:rsidR="00A01A77" w:rsidRDefault="00000000">
      <w:pPr>
        <w:jc w:val="both"/>
      </w:pPr>
      <w:r>
        <w:rPr>
          <w:b/>
        </w:rPr>
        <w:t xml:space="preserve">Results: </w:t>
      </w:r>
      <w:r>
        <w:t>CSHQ scores decreased from 53.83 ± 7.71 to 39.77 ± 3.48 in the intervention group and from 50.28 ± 4.42 to 43.13 ± 3.08 in the control group. The mean reduction was greater with MEPISHA (−14.70 ± 5.39 vs. −7.16 ± 4.33; p &lt; .001). CBCL scores decreased by −4.80 ± 2.94 in the intervention group versus −0.13 ± 9.50 in the control group (p = .009). Post-intervention actigraphy also favored the intervention group (p &lt; .05).</w:t>
      </w:r>
    </w:p>
    <w:p w14:paraId="2915549B" w14:textId="77777777" w:rsidR="00A01A77" w:rsidRDefault="00000000">
      <w:pPr>
        <w:jc w:val="both"/>
      </w:pPr>
      <w:r>
        <w:rPr>
          <w:b/>
        </w:rPr>
        <w:t xml:space="preserve">Conclusion: </w:t>
      </w:r>
      <w:r>
        <w:t>MEPISHA was associated with improved sleep and lower emotional-problem scores among children with ASD and may be a feasible complementary nursing intervention when delivered by trained nurses with parental involvement.</w:t>
      </w:r>
    </w:p>
    <w:p w14:paraId="325B9334" w14:textId="77777777" w:rsidR="00A01A77" w:rsidRDefault="00000000">
      <w:r>
        <w:rPr>
          <w:b/>
        </w:rPr>
        <w:t xml:space="preserve">Keywords: </w:t>
      </w:r>
      <w:r>
        <w:t>autism spectrum disorder, complementary therapy, emotional regulation, pediatric nursing, sleep disturbance</w:t>
      </w:r>
    </w:p>
    <w:p w14:paraId="7E2B0402" w14:textId="77777777" w:rsidR="007F37FB" w:rsidRDefault="007F37FB">
      <w:pPr>
        <w:keepNext/>
        <w:spacing w:before="240" w:after="60"/>
        <w:rPr>
          <w:b/>
        </w:rPr>
      </w:pPr>
    </w:p>
    <w:p w14:paraId="5345C3ED" w14:textId="77777777" w:rsidR="007F37FB" w:rsidRDefault="007F37FB">
      <w:pPr>
        <w:keepNext/>
        <w:spacing w:before="240" w:after="60"/>
        <w:rPr>
          <w:b/>
        </w:rPr>
      </w:pPr>
    </w:p>
    <w:p w14:paraId="367A3709" w14:textId="77777777" w:rsidR="007F37FB" w:rsidRDefault="007F37FB">
      <w:pPr>
        <w:keepNext/>
        <w:spacing w:before="240" w:after="60"/>
        <w:rPr>
          <w:b/>
        </w:rPr>
      </w:pPr>
    </w:p>
    <w:p w14:paraId="099E293E" w14:textId="77777777" w:rsidR="007F37FB" w:rsidRDefault="007F37FB" w:rsidP="007F37FB">
      <w:pPr>
        <w:keepNext/>
        <w:spacing w:before="240" w:after="60"/>
        <w:rPr>
          <w:b/>
        </w:rPr>
        <w:sectPr w:rsidR="007F37FB">
          <w:headerReference w:type="even" r:id="rId6"/>
          <w:headerReference w:type="default" r:id="rId7"/>
          <w:footerReference w:type="even" r:id="rId8"/>
          <w:footerReference w:type="default" r:id="rId9"/>
          <w:headerReference w:type="first" r:id="rId10"/>
          <w:footerReference w:type="first" r:id="rId11"/>
          <w:pgSz w:w="11907" w:h="16839"/>
          <w:pgMar w:top="1417" w:right="1417" w:bottom="1417" w:left="1417" w:header="709" w:footer="709" w:gutter="0"/>
          <w:pgNumType w:start="1"/>
          <w:cols w:space="720"/>
        </w:sectPr>
      </w:pPr>
    </w:p>
    <w:p w14:paraId="13A0E241" w14:textId="77777777" w:rsidR="007F37FB" w:rsidRPr="007F37FB" w:rsidRDefault="007F37FB" w:rsidP="007F37FB">
      <w:pPr>
        <w:keepNext/>
        <w:spacing w:before="240" w:after="60"/>
        <w:rPr>
          <w:b/>
        </w:rPr>
      </w:pPr>
      <w:r>
        <w:rPr>
          <w:b/>
        </w:rPr>
        <w:lastRenderedPageBreak/>
        <w:t>BACKGROUND</w:t>
      </w:r>
    </w:p>
    <w:p w14:paraId="1E1489F8" w14:textId="77777777" w:rsidR="00A01A77" w:rsidRDefault="007F37FB">
      <w:pPr>
        <w:jc w:val="both"/>
      </w:pPr>
      <w:r>
        <w:t>Autism spectrum disorder (ASD) is a neurodevelopmental condition characterized by persistent difficulties in social communication and interaction, together with restricted and repetitive patterns of behavior (American Psychiatric Association, 2013). In addition to the core features, sleep problems and emotional-behavioral difficulties are common and may affect daily functioning and family well-being. Sleep problems may include delayed sleep onset, frequent nighttime waking, irregular sleep patterns, and reduced sleep duration (Cortese et al., 2020; Inthikoot &amp; Chonchaiya, 2021; Tyagi et al., 2019).</w:t>
      </w:r>
    </w:p>
    <w:p w14:paraId="14FDA4F8" w14:textId="77777777" w:rsidR="00A01A77" w:rsidRDefault="00000000">
      <w:pPr>
        <w:jc w:val="both"/>
      </w:pPr>
      <w:r>
        <w:t>Sleep problems and emotional-behavioral concerns in ASD are closely linked. Poor sleep is associated with greater irritability, anxiety, inattention, withdrawal, and other daytime behavioral difficulties (Kim et al., 2024; Mazurek &amp; Sohl, 2016; Whelan et al., 2022). Therefore, interventions that improve sleep may also support emotional regulation, particularly when they involve parents and can be sustained within the home routine.</w:t>
      </w:r>
    </w:p>
    <w:p w14:paraId="61AE8892" w14:textId="77777777" w:rsidR="00A01A77" w:rsidRDefault="00000000">
      <w:pPr>
        <w:jc w:val="both"/>
      </w:pPr>
      <w:r>
        <w:t>Behavioral and educational sleep strategies are recommended as first-line approaches for insomnia and disrupted sleep behavior in children and adolescents with ASD (Corkum et al., 2018; Williams Buckley et al., 2020). However, a single modality may not address the sensory, behavioral, and emotional dimensions of sleep disturbance. Massage and acupressure are complementary approaches that may promote relaxation and sleep in pediatric or other clinical populations, although evidence specific to children with ASD remains limited (Field, 2019; Waits et al., 2018).</w:t>
      </w:r>
    </w:p>
    <w:p w14:paraId="7FBA3801" w14:textId="77777777" w:rsidR="00A01A77" w:rsidRDefault="00000000">
      <w:pPr>
        <w:jc w:val="both"/>
      </w:pPr>
      <w:r>
        <w:t>MEPISHA is an integrative nursing intervention that combines Swedish massage, acupressure at 21 designated meridian points, and sleep hygiene education supported by a parental sleep diary. The intervention was designed to combine sensory regulation, relaxation, and structured parental support. This study addresses the limited evidence on multicomponent complementary nursing interventions for sleep and emotional problems in children with ASD.</w:t>
      </w:r>
    </w:p>
    <w:p w14:paraId="26037EF1" w14:textId="77777777" w:rsidR="00A01A77" w:rsidRDefault="00000000">
      <w:pPr>
        <w:keepNext/>
        <w:spacing w:before="240" w:after="60"/>
      </w:pPr>
      <w:r>
        <w:rPr>
          <w:b/>
        </w:rPr>
        <w:t>OBJECTIVE</w:t>
      </w:r>
    </w:p>
    <w:p w14:paraId="6F29B1B3" w14:textId="77777777" w:rsidR="00A01A77" w:rsidRDefault="00000000">
      <w:pPr>
        <w:jc w:val="both"/>
      </w:pPr>
      <w:r>
        <w:t>This study aimed to evaluate the association of the MEPISHA integrative nursing intervention with sleep and emotional problems among children with ASD.</w:t>
      </w:r>
    </w:p>
    <w:p w14:paraId="2D930B2D" w14:textId="77777777" w:rsidR="00A01A77" w:rsidRDefault="00000000">
      <w:pPr>
        <w:keepNext/>
        <w:spacing w:before="240" w:after="60"/>
      </w:pPr>
      <w:r>
        <w:rPr>
          <w:b/>
        </w:rPr>
        <w:t>METHODS</w:t>
      </w:r>
    </w:p>
    <w:p w14:paraId="7D208D98" w14:textId="77777777" w:rsidR="00A01A77" w:rsidRDefault="00000000">
      <w:pPr>
        <w:keepNext/>
        <w:spacing w:before="120" w:after="60"/>
      </w:pPr>
      <w:r>
        <w:rPr>
          <w:b/>
        </w:rPr>
        <w:t>Design and samples</w:t>
      </w:r>
    </w:p>
    <w:p w14:paraId="64E4EEA9" w14:textId="77777777" w:rsidR="00A01A77" w:rsidRDefault="00000000">
      <w:pPr>
        <w:jc w:val="both"/>
      </w:pPr>
      <w:r>
        <w:t xml:space="preserve">This study used a quasi-experimental pretest-posttest control-group design. It was conducted from June 2022 to December 2023 in special education schools and community nursing settings in </w:t>
      </w:r>
      <w:proofErr w:type="spellStart"/>
      <w:r>
        <w:t>Cimahi</w:t>
      </w:r>
      <w:proofErr w:type="spellEnd"/>
      <w:r>
        <w:t>, Indonesia. The study included 62 children with ASD aged 6–14 years, allocated through nonrandomized assignment to the intervention group (n = 30) or control group (n = 32).</w:t>
      </w:r>
    </w:p>
    <w:p w14:paraId="3DA4BFB5" w14:textId="77777777" w:rsidR="00A01A77" w:rsidRDefault="00000000">
      <w:pPr>
        <w:jc w:val="both"/>
      </w:pPr>
      <w:r>
        <w:t>Eligible participants had a clinical diagnosis of ASD, were aged 6–14 years, had parent-reported sleep complaints or disturbances, and had parental or guardian consent. Children with severe neurologic comorbidities, ongoing pharmacologic treatment for sleep disorders, or acute illness during the intervention period were excluded.</w:t>
      </w:r>
    </w:p>
    <w:p w14:paraId="745B5552" w14:textId="77777777" w:rsidR="00A01A77" w:rsidRDefault="00000000">
      <w:pPr>
        <w:keepNext/>
        <w:spacing w:before="120" w:after="60"/>
      </w:pPr>
      <w:r>
        <w:rPr>
          <w:b/>
        </w:rPr>
        <w:t>Intervention</w:t>
      </w:r>
    </w:p>
    <w:p w14:paraId="6EE5316F" w14:textId="77777777" w:rsidR="00A01A77" w:rsidRDefault="00000000">
      <w:pPr>
        <w:jc w:val="both"/>
      </w:pPr>
      <w:r>
        <w:t xml:space="preserve">MEPISHA comprised Swedish massage, acupressure at 21 meridian points, sleep hygiene education, and completion of a sleep diary. Five trained nurses delivered eight sessions over four weeks (two sessions per week) according to standardized operating procedures and validated pictorial guidelines. The control group received sleep hygiene education and continued routine activities during the study period. To maintain equitable access, participants </w:t>
      </w:r>
      <w:r>
        <w:lastRenderedPageBreak/>
        <w:t>in the control group were offered MEPISHA after the primary outcome measurement was completed.</w:t>
      </w:r>
    </w:p>
    <w:p w14:paraId="69A658E5" w14:textId="77777777" w:rsidR="00A01A77" w:rsidRDefault="00000000">
      <w:pPr>
        <w:keepNext/>
        <w:spacing w:before="120" w:after="60"/>
      </w:pPr>
      <w:r>
        <w:rPr>
          <w:b/>
        </w:rPr>
        <w:t>Research instruments and data collection</w:t>
      </w:r>
    </w:p>
    <w:p w14:paraId="2DAD46D9" w14:textId="77777777" w:rsidR="00A01A77" w:rsidRDefault="00000000">
      <w:pPr>
        <w:jc w:val="both"/>
      </w:pPr>
      <w:r>
        <w:t xml:space="preserve">All participants had a pre-existing clinical diagnosis of ASD confirmed by a pediatrician. Autism severity was assessed using the Childhood Autism Rating Scale, Second Edition (CARS-2; </w:t>
      </w:r>
      <w:proofErr w:type="spellStart"/>
      <w:r>
        <w:t>Schopler</w:t>
      </w:r>
      <w:proofErr w:type="spellEnd"/>
      <w:r>
        <w:t xml:space="preserve"> et al., 2010). Sleep problems were assessed using the Indonesian version of the Children’s Sleep Habits Questionnaire (CSHQ), which has been evaluated for internal consistency in Indonesia (</w:t>
      </w:r>
      <w:proofErr w:type="spellStart"/>
      <w:r>
        <w:t>Hartini</w:t>
      </w:r>
      <w:proofErr w:type="spellEnd"/>
      <w:r>
        <w:t xml:space="preserve"> et al., 2017). Emotional problems were assessed using the Indonesian version of the Child Behavior Checklist (CBCL), completed by parents or caregivers (</w:t>
      </w:r>
      <w:proofErr w:type="spellStart"/>
      <w:r>
        <w:t>Hartini</w:t>
      </w:r>
      <w:proofErr w:type="spellEnd"/>
      <w:r>
        <w:t xml:space="preserve"> et al., 2015).</w:t>
      </w:r>
    </w:p>
    <w:p w14:paraId="6B83BDC2" w14:textId="77777777" w:rsidR="00A01A77" w:rsidRDefault="00000000">
      <w:pPr>
        <w:jc w:val="both"/>
      </w:pPr>
      <w:r>
        <w:t>Objective sleep parameters were assessed using actigraphy worn on the non-dominant wrist for approximately 12 hours (19:00–07:00) after the eighth intervention session. Actigraphy is an established method for assessing sleep in children with ASD, although it does not replace polysomnography for all clinical indications (Yavuz-Kodat et al., 2019). The parent-report instruments demonstrated acceptable internal consistency in this study, with Cronbach’s alpha values of approximately .80. Pretest data were obtained before the first session, and posttest data were obtained after the eighth session. Two trained enumerators assisted data collection under the supervision of the research team.</w:t>
      </w:r>
    </w:p>
    <w:p w14:paraId="3813ADE5" w14:textId="77777777" w:rsidR="00A01A77" w:rsidRDefault="00000000">
      <w:pPr>
        <w:keepNext/>
        <w:spacing w:before="120" w:after="60"/>
      </w:pPr>
      <w:r>
        <w:rPr>
          <w:b/>
        </w:rPr>
        <w:t>Data analysis</w:t>
      </w:r>
    </w:p>
    <w:p w14:paraId="6602EBC0" w14:textId="77777777" w:rsidR="00A01A77" w:rsidRDefault="00000000">
      <w:pPr>
        <w:jc w:val="both"/>
      </w:pPr>
      <w:r>
        <w:t>Data were analyzed using IBM SPSS Statistics version 29. Descriptive statistics summarized participant characteristics. Paired t tests assessed within-group changes, while independent t tests or Mann-Whitney tests, as appropriate, compared the groups. Multiple linear regression was used to examine the association of the intervention with sleep and emotional outcomes. Statistical significance was set at p &lt; .05.</w:t>
      </w:r>
    </w:p>
    <w:p w14:paraId="191B227B" w14:textId="77777777" w:rsidR="00A01A77" w:rsidRDefault="00000000">
      <w:pPr>
        <w:keepNext/>
        <w:spacing w:before="120" w:after="60"/>
      </w:pPr>
      <w:r>
        <w:rPr>
          <w:b/>
        </w:rPr>
        <w:t>Ethical consideration</w:t>
      </w:r>
    </w:p>
    <w:p w14:paraId="41069A95" w14:textId="77777777" w:rsidR="00A01A77" w:rsidRDefault="00000000">
      <w:pPr>
        <w:jc w:val="both"/>
      </w:pPr>
      <w:r>
        <w:t>Ethical approval was obtained from the Health Research Ethics Committee, Faculty of Medicine, Public Health and Nursing, Universitas Gadjah Mada (KE/FK/1390/EC/2022 and KE/FK/1768/EC/2023). Written informed consent was obtained from parents or guardians. Participant assent or a thumbprint was obtained from children aged 12 years or older when appropriate.</w:t>
      </w:r>
    </w:p>
    <w:p w14:paraId="35650E10" w14:textId="77777777" w:rsidR="00A01A77" w:rsidRDefault="00000000">
      <w:pPr>
        <w:keepNext/>
        <w:spacing w:before="240" w:after="60"/>
      </w:pPr>
      <w:r>
        <w:rPr>
          <w:b/>
        </w:rPr>
        <w:t>RESULTS</w:t>
      </w:r>
    </w:p>
    <w:p w14:paraId="00D93DAE" w14:textId="77777777" w:rsidR="00A01A77" w:rsidRDefault="00000000">
      <w:pPr>
        <w:keepNext/>
        <w:spacing w:before="120" w:after="60"/>
      </w:pPr>
      <w:r>
        <w:rPr>
          <w:b/>
        </w:rPr>
        <w:t>Participant characteristics</w:t>
      </w:r>
    </w:p>
    <w:p w14:paraId="291FE2BA" w14:textId="77777777" w:rsidR="00A01A77" w:rsidRDefault="00000000">
      <w:pPr>
        <w:jc w:val="both"/>
      </w:pPr>
      <w:r>
        <w:t>School-aged children were more common in the intervention group, whereas adolescents were more common in the control group. Boys comprised the majority of both groups. Severe ASD was reported in half of the intervention group and in 56.3% of the control group. All participants had baseline CSHQ scores above 41, and approximately 53% had CBCL T scores of 70 or higher at baseline. Participant characteristics are shown in Table 1.</w:t>
      </w:r>
    </w:p>
    <w:p w14:paraId="4749BAFC" w14:textId="77777777" w:rsidR="00A01A77" w:rsidRDefault="00000000">
      <w:pPr>
        <w:keepNext/>
        <w:spacing w:before="240" w:after="120"/>
        <w:jc w:val="center"/>
      </w:pPr>
      <w:r>
        <w:t>Table 1. Baseline Characteristics of Participants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3458"/>
        <w:gridCol w:w="2268"/>
        <w:gridCol w:w="2268"/>
      </w:tblGrid>
      <w:tr w:rsidR="00A01A77" w14:paraId="139B860D" w14:textId="77777777" w:rsidTr="006F0D82">
        <w:trPr>
          <w:tblHeader/>
          <w:jc w:val="center"/>
        </w:trPr>
        <w:tc>
          <w:tcPr>
            <w:tcW w:w="3458" w:type="dxa"/>
            <w:tcBorders>
              <w:bottom w:val="single" w:sz="4" w:space="0" w:color="auto"/>
            </w:tcBorders>
            <w:tcMar>
              <w:top w:w="70" w:type="dxa"/>
              <w:left w:w="70" w:type="dxa"/>
              <w:bottom w:w="70" w:type="dxa"/>
              <w:right w:w="70" w:type="dxa"/>
            </w:tcMar>
            <w:vAlign w:val="center"/>
          </w:tcPr>
          <w:p w14:paraId="72972A7A" w14:textId="77777777" w:rsidR="00A01A77" w:rsidRDefault="00000000">
            <w:pPr>
              <w:jc w:val="center"/>
            </w:pPr>
            <w:r>
              <w:rPr>
                <w:b/>
              </w:rPr>
              <w:t>Variable</w:t>
            </w:r>
          </w:p>
        </w:tc>
        <w:tc>
          <w:tcPr>
            <w:tcW w:w="2268" w:type="dxa"/>
            <w:tcBorders>
              <w:bottom w:val="single" w:sz="4" w:space="0" w:color="auto"/>
            </w:tcBorders>
            <w:tcMar>
              <w:top w:w="70" w:type="dxa"/>
              <w:left w:w="70" w:type="dxa"/>
              <w:bottom w:w="70" w:type="dxa"/>
              <w:right w:w="70" w:type="dxa"/>
            </w:tcMar>
            <w:vAlign w:val="center"/>
          </w:tcPr>
          <w:p w14:paraId="2C457312" w14:textId="77777777" w:rsidR="00A01A77" w:rsidRDefault="00000000">
            <w:pPr>
              <w:jc w:val="center"/>
            </w:pPr>
            <w:r>
              <w:rPr>
                <w:b/>
              </w:rPr>
              <w:t>Intervention (n = 30)</w:t>
            </w:r>
          </w:p>
        </w:tc>
        <w:tc>
          <w:tcPr>
            <w:tcW w:w="2268" w:type="dxa"/>
            <w:tcBorders>
              <w:bottom w:val="single" w:sz="4" w:space="0" w:color="auto"/>
            </w:tcBorders>
            <w:tcMar>
              <w:top w:w="70" w:type="dxa"/>
              <w:left w:w="70" w:type="dxa"/>
              <w:bottom w:w="70" w:type="dxa"/>
              <w:right w:w="70" w:type="dxa"/>
            </w:tcMar>
            <w:vAlign w:val="center"/>
          </w:tcPr>
          <w:p w14:paraId="7F5C50FA" w14:textId="77777777" w:rsidR="00A01A77" w:rsidRDefault="00000000">
            <w:pPr>
              <w:jc w:val="center"/>
            </w:pPr>
            <w:r>
              <w:rPr>
                <w:b/>
              </w:rPr>
              <w:t>Control (n = 32)</w:t>
            </w:r>
          </w:p>
        </w:tc>
      </w:tr>
      <w:tr w:rsidR="00A01A77" w14:paraId="59CEA534" w14:textId="77777777" w:rsidTr="006F0D82">
        <w:trPr>
          <w:cantSplit/>
          <w:jc w:val="center"/>
        </w:trPr>
        <w:tc>
          <w:tcPr>
            <w:tcW w:w="3458" w:type="dxa"/>
            <w:tcBorders>
              <w:top w:val="single" w:sz="4" w:space="0" w:color="auto"/>
            </w:tcBorders>
            <w:tcMar>
              <w:top w:w="70" w:type="dxa"/>
              <w:left w:w="70" w:type="dxa"/>
              <w:bottom w:w="70" w:type="dxa"/>
              <w:right w:w="70" w:type="dxa"/>
            </w:tcMar>
            <w:vAlign w:val="center"/>
          </w:tcPr>
          <w:p w14:paraId="507264AF" w14:textId="77777777" w:rsidR="00A01A77" w:rsidRDefault="00000000">
            <w:r>
              <w:t>School-aged children, n (%)</w:t>
            </w:r>
          </w:p>
        </w:tc>
        <w:tc>
          <w:tcPr>
            <w:tcW w:w="2268" w:type="dxa"/>
            <w:tcBorders>
              <w:top w:val="single" w:sz="4" w:space="0" w:color="auto"/>
            </w:tcBorders>
            <w:tcMar>
              <w:top w:w="70" w:type="dxa"/>
              <w:left w:w="70" w:type="dxa"/>
              <w:bottom w:w="70" w:type="dxa"/>
              <w:right w:w="70" w:type="dxa"/>
            </w:tcMar>
            <w:vAlign w:val="center"/>
          </w:tcPr>
          <w:p w14:paraId="4F8D5DBF" w14:textId="77777777" w:rsidR="00A01A77" w:rsidRDefault="00000000">
            <w:pPr>
              <w:jc w:val="center"/>
            </w:pPr>
            <w:r>
              <w:t>16 (53.3)</w:t>
            </w:r>
          </w:p>
        </w:tc>
        <w:tc>
          <w:tcPr>
            <w:tcW w:w="2268" w:type="dxa"/>
            <w:tcBorders>
              <w:top w:val="single" w:sz="4" w:space="0" w:color="auto"/>
            </w:tcBorders>
            <w:tcMar>
              <w:top w:w="70" w:type="dxa"/>
              <w:left w:w="70" w:type="dxa"/>
              <w:bottom w:w="70" w:type="dxa"/>
              <w:right w:w="70" w:type="dxa"/>
            </w:tcMar>
            <w:vAlign w:val="center"/>
          </w:tcPr>
          <w:p w14:paraId="7D524FDC" w14:textId="77777777" w:rsidR="00A01A77" w:rsidRDefault="00000000">
            <w:pPr>
              <w:jc w:val="center"/>
            </w:pPr>
            <w:r>
              <w:t>9 (28.1)</w:t>
            </w:r>
          </w:p>
        </w:tc>
      </w:tr>
      <w:tr w:rsidR="00A01A77" w14:paraId="01456DAD" w14:textId="77777777" w:rsidTr="006F0D82">
        <w:trPr>
          <w:cantSplit/>
          <w:jc w:val="center"/>
        </w:trPr>
        <w:tc>
          <w:tcPr>
            <w:tcW w:w="3458" w:type="dxa"/>
            <w:tcMar>
              <w:top w:w="70" w:type="dxa"/>
              <w:left w:w="70" w:type="dxa"/>
              <w:bottom w:w="70" w:type="dxa"/>
              <w:right w:w="70" w:type="dxa"/>
            </w:tcMar>
            <w:vAlign w:val="center"/>
          </w:tcPr>
          <w:p w14:paraId="67A4A683" w14:textId="77777777" w:rsidR="00A01A77" w:rsidRDefault="00000000">
            <w:r>
              <w:t>Adolescents, n (%)</w:t>
            </w:r>
          </w:p>
        </w:tc>
        <w:tc>
          <w:tcPr>
            <w:tcW w:w="2268" w:type="dxa"/>
            <w:tcMar>
              <w:top w:w="70" w:type="dxa"/>
              <w:left w:w="70" w:type="dxa"/>
              <w:bottom w:w="70" w:type="dxa"/>
              <w:right w:w="70" w:type="dxa"/>
            </w:tcMar>
            <w:vAlign w:val="center"/>
          </w:tcPr>
          <w:p w14:paraId="3294DBA3" w14:textId="77777777" w:rsidR="00A01A77" w:rsidRDefault="00000000">
            <w:pPr>
              <w:jc w:val="center"/>
            </w:pPr>
            <w:r>
              <w:t>14 (46.7)</w:t>
            </w:r>
          </w:p>
        </w:tc>
        <w:tc>
          <w:tcPr>
            <w:tcW w:w="2268" w:type="dxa"/>
            <w:tcMar>
              <w:top w:w="70" w:type="dxa"/>
              <w:left w:w="70" w:type="dxa"/>
              <w:bottom w:w="70" w:type="dxa"/>
              <w:right w:w="70" w:type="dxa"/>
            </w:tcMar>
            <w:vAlign w:val="center"/>
          </w:tcPr>
          <w:p w14:paraId="13BAD336" w14:textId="77777777" w:rsidR="00A01A77" w:rsidRDefault="00000000">
            <w:pPr>
              <w:jc w:val="center"/>
            </w:pPr>
            <w:r>
              <w:t>23 (71.9)</w:t>
            </w:r>
          </w:p>
        </w:tc>
      </w:tr>
      <w:tr w:rsidR="00A01A77" w14:paraId="249445BC" w14:textId="77777777" w:rsidTr="006F0D82">
        <w:trPr>
          <w:cantSplit/>
          <w:jc w:val="center"/>
        </w:trPr>
        <w:tc>
          <w:tcPr>
            <w:tcW w:w="3458" w:type="dxa"/>
            <w:tcMar>
              <w:top w:w="70" w:type="dxa"/>
              <w:left w:w="70" w:type="dxa"/>
              <w:bottom w:w="70" w:type="dxa"/>
              <w:right w:w="70" w:type="dxa"/>
            </w:tcMar>
            <w:vAlign w:val="center"/>
          </w:tcPr>
          <w:p w14:paraId="5F8D3C05" w14:textId="77777777" w:rsidR="00A01A77" w:rsidRDefault="00000000">
            <w:r>
              <w:t>Male, n (%)</w:t>
            </w:r>
          </w:p>
        </w:tc>
        <w:tc>
          <w:tcPr>
            <w:tcW w:w="2268" w:type="dxa"/>
            <w:tcMar>
              <w:top w:w="70" w:type="dxa"/>
              <w:left w:w="70" w:type="dxa"/>
              <w:bottom w:w="70" w:type="dxa"/>
              <w:right w:w="70" w:type="dxa"/>
            </w:tcMar>
            <w:vAlign w:val="center"/>
          </w:tcPr>
          <w:p w14:paraId="4844722B" w14:textId="77777777" w:rsidR="00A01A77" w:rsidRDefault="00000000">
            <w:pPr>
              <w:jc w:val="center"/>
            </w:pPr>
            <w:r>
              <w:t>17 (56.7)</w:t>
            </w:r>
          </w:p>
        </w:tc>
        <w:tc>
          <w:tcPr>
            <w:tcW w:w="2268" w:type="dxa"/>
            <w:tcMar>
              <w:top w:w="70" w:type="dxa"/>
              <w:left w:w="70" w:type="dxa"/>
              <w:bottom w:w="70" w:type="dxa"/>
              <w:right w:w="70" w:type="dxa"/>
            </w:tcMar>
            <w:vAlign w:val="center"/>
          </w:tcPr>
          <w:p w14:paraId="04DCC593" w14:textId="77777777" w:rsidR="00A01A77" w:rsidRDefault="00000000">
            <w:pPr>
              <w:jc w:val="center"/>
            </w:pPr>
            <w:r>
              <w:t>21 (65.6)</w:t>
            </w:r>
          </w:p>
        </w:tc>
      </w:tr>
      <w:tr w:rsidR="00A01A77" w14:paraId="0D08CC23" w14:textId="77777777" w:rsidTr="006F0D82">
        <w:trPr>
          <w:cantSplit/>
          <w:jc w:val="center"/>
        </w:trPr>
        <w:tc>
          <w:tcPr>
            <w:tcW w:w="3458" w:type="dxa"/>
            <w:tcMar>
              <w:top w:w="70" w:type="dxa"/>
              <w:left w:w="70" w:type="dxa"/>
              <w:bottom w:w="70" w:type="dxa"/>
              <w:right w:w="70" w:type="dxa"/>
            </w:tcMar>
            <w:vAlign w:val="center"/>
          </w:tcPr>
          <w:p w14:paraId="67441303" w14:textId="77777777" w:rsidR="00A01A77" w:rsidRDefault="00000000">
            <w:r>
              <w:lastRenderedPageBreak/>
              <w:t>Severe ASD, n (%)</w:t>
            </w:r>
          </w:p>
        </w:tc>
        <w:tc>
          <w:tcPr>
            <w:tcW w:w="2268" w:type="dxa"/>
            <w:tcMar>
              <w:top w:w="70" w:type="dxa"/>
              <w:left w:w="70" w:type="dxa"/>
              <w:bottom w:w="70" w:type="dxa"/>
              <w:right w:w="70" w:type="dxa"/>
            </w:tcMar>
            <w:vAlign w:val="center"/>
          </w:tcPr>
          <w:p w14:paraId="399A5280" w14:textId="77777777" w:rsidR="00A01A77" w:rsidRDefault="00000000">
            <w:pPr>
              <w:jc w:val="center"/>
            </w:pPr>
            <w:r>
              <w:t>15 (50.0)</w:t>
            </w:r>
          </w:p>
        </w:tc>
        <w:tc>
          <w:tcPr>
            <w:tcW w:w="2268" w:type="dxa"/>
            <w:tcMar>
              <w:top w:w="70" w:type="dxa"/>
              <w:left w:w="70" w:type="dxa"/>
              <w:bottom w:w="70" w:type="dxa"/>
              <w:right w:w="70" w:type="dxa"/>
            </w:tcMar>
            <w:vAlign w:val="center"/>
          </w:tcPr>
          <w:p w14:paraId="705BCE5D" w14:textId="77777777" w:rsidR="00A01A77" w:rsidRDefault="00000000">
            <w:pPr>
              <w:jc w:val="center"/>
            </w:pPr>
            <w:r>
              <w:t>18 (56.3)</w:t>
            </w:r>
          </w:p>
        </w:tc>
      </w:tr>
      <w:tr w:rsidR="00A01A77" w14:paraId="651809B5" w14:textId="77777777" w:rsidTr="006F0D82">
        <w:trPr>
          <w:cantSplit/>
          <w:jc w:val="center"/>
        </w:trPr>
        <w:tc>
          <w:tcPr>
            <w:tcW w:w="3458" w:type="dxa"/>
            <w:tcMar>
              <w:top w:w="70" w:type="dxa"/>
              <w:left w:w="70" w:type="dxa"/>
              <w:bottom w:w="70" w:type="dxa"/>
              <w:right w:w="70" w:type="dxa"/>
            </w:tcMar>
            <w:vAlign w:val="center"/>
          </w:tcPr>
          <w:p w14:paraId="258C020E" w14:textId="77777777" w:rsidR="00A01A77" w:rsidRDefault="00000000">
            <w:r>
              <w:t>Use of non-sleep medication, n (%)</w:t>
            </w:r>
          </w:p>
        </w:tc>
        <w:tc>
          <w:tcPr>
            <w:tcW w:w="2268" w:type="dxa"/>
            <w:tcMar>
              <w:top w:w="70" w:type="dxa"/>
              <w:left w:w="70" w:type="dxa"/>
              <w:bottom w:w="70" w:type="dxa"/>
              <w:right w:w="70" w:type="dxa"/>
            </w:tcMar>
            <w:vAlign w:val="center"/>
          </w:tcPr>
          <w:p w14:paraId="0737946D" w14:textId="77777777" w:rsidR="00A01A77" w:rsidRDefault="00000000">
            <w:pPr>
              <w:jc w:val="center"/>
            </w:pPr>
            <w:r>
              <w:t>19 (63.3)</w:t>
            </w:r>
          </w:p>
        </w:tc>
        <w:tc>
          <w:tcPr>
            <w:tcW w:w="2268" w:type="dxa"/>
            <w:tcMar>
              <w:top w:w="70" w:type="dxa"/>
              <w:left w:w="70" w:type="dxa"/>
              <w:bottom w:w="70" w:type="dxa"/>
              <w:right w:w="70" w:type="dxa"/>
            </w:tcMar>
            <w:vAlign w:val="center"/>
          </w:tcPr>
          <w:p w14:paraId="7A45DC0E" w14:textId="77777777" w:rsidR="00A01A77" w:rsidRDefault="00000000">
            <w:pPr>
              <w:jc w:val="center"/>
            </w:pPr>
            <w:r>
              <w:t>21 (65.6)</w:t>
            </w:r>
          </w:p>
        </w:tc>
      </w:tr>
      <w:tr w:rsidR="00A01A77" w14:paraId="1EFBA94A" w14:textId="77777777" w:rsidTr="006F0D82">
        <w:trPr>
          <w:cantSplit/>
          <w:jc w:val="center"/>
        </w:trPr>
        <w:tc>
          <w:tcPr>
            <w:tcW w:w="3458" w:type="dxa"/>
            <w:tcMar>
              <w:top w:w="70" w:type="dxa"/>
              <w:left w:w="70" w:type="dxa"/>
              <w:bottom w:w="70" w:type="dxa"/>
              <w:right w:w="70" w:type="dxa"/>
            </w:tcMar>
            <w:vAlign w:val="center"/>
          </w:tcPr>
          <w:p w14:paraId="66395213" w14:textId="77777777" w:rsidR="00A01A77" w:rsidRDefault="00000000">
            <w:r>
              <w:t>Sleep-hygiene practice, %</w:t>
            </w:r>
          </w:p>
        </w:tc>
        <w:tc>
          <w:tcPr>
            <w:tcW w:w="2268" w:type="dxa"/>
            <w:tcMar>
              <w:top w:w="70" w:type="dxa"/>
              <w:left w:w="70" w:type="dxa"/>
              <w:bottom w:w="70" w:type="dxa"/>
              <w:right w:w="70" w:type="dxa"/>
            </w:tcMar>
            <w:vAlign w:val="center"/>
          </w:tcPr>
          <w:p w14:paraId="400E7D44" w14:textId="77777777" w:rsidR="00A01A77" w:rsidRDefault="00000000">
            <w:pPr>
              <w:jc w:val="center"/>
            </w:pPr>
            <w:r>
              <w:t>84.4–91.7</w:t>
            </w:r>
          </w:p>
        </w:tc>
        <w:tc>
          <w:tcPr>
            <w:tcW w:w="2268" w:type="dxa"/>
            <w:tcMar>
              <w:top w:w="70" w:type="dxa"/>
              <w:left w:w="70" w:type="dxa"/>
              <w:bottom w:w="70" w:type="dxa"/>
              <w:right w:w="70" w:type="dxa"/>
            </w:tcMar>
            <w:vAlign w:val="center"/>
          </w:tcPr>
          <w:p w14:paraId="06E875CB" w14:textId="77777777" w:rsidR="00A01A77" w:rsidRDefault="00000000">
            <w:pPr>
              <w:jc w:val="center"/>
            </w:pPr>
            <w:r>
              <w:t>84.4–91.7</w:t>
            </w:r>
          </w:p>
        </w:tc>
      </w:tr>
    </w:tbl>
    <w:p w14:paraId="379A4CBB" w14:textId="77777777" w:rsidR="00A01A77" w:rsidRDefault="00000000">
      <w:pPr>
        <w:spacing w:after="120"/>
      </w:pPr>
      <w:r>
        <w:rPr>
          <w:i/>
          <w:sz w:val="20"/>
        </w:rPr>
        <w:t xml:space="preserve">Note. </w:t>
      </w:r>
      <w:r>
        <w:rPr>
          <w:sz w:val="20"/>
        </w:rPr>
        <w:t>ASD = autism spectrum disorder.</w:t>
      </w:r>
    </w:p>
    <w:p w14:paraId="357E7B66" w14:textId="77777777" w:rsidR="00A01A77" w:rsidRDefault="00000000">
      <w:pPr>
        <w:keepNext/>
        <w:spacing w:before="120" w:after="60"/>
      </w:pPr>
      <w:r>
        <w:rPr>
          <w:b/>
        </w:rPr>
        <w:t>Sleep outcomes</w:t>
      </w:r>
    </w:p>
    <w:p w14:paraId="5050CD3F" w14:textId="77777777" w:rsidR="00A01A77" w:rsidRDefault="00000000">
      <w:pPr>
        <w:jc w:val="both"/>
      </w:pPr>
      <w:r>
        <w:t>The intervention group showed a significant reduction in CSHQ score from 53.83 ± 7.71 at pretest to 39.77 ± 3.48 at posttest (p &lt; .001), crossing the clinical threshold of 41. Although the control group also had a statistically significant reduction, its posttest mean remained above this threshold. The mean reduction in CSHQ score was significantly greater in the intervention group than in the control group (p &lt; .001). Post-intervention actigraphy findings also favored the intervention group, with better sleep efficiency, shorter sleep latency, lower wake after sleep onset, and less sleep fragmentation (all p &lt; .05).</w:t>
      </w:r>
    </w:p>
    <w:p w14:paraId="46DED7E2" w14:textId="77777777" w:rsidR="00A01A77" w:rsidRDefault="00000000">
      <w:pPr>
        <w:keepNext/>
        <w:spacing w:before="120" w:after="60"/>
      </w:pPr>
      <w:r>
        <w:rPr>
          <w:b/>
        </w:rPr>
        <w:t>Emotional outcomes</w:t>
      </w:r>
    </w:p>
    <w:p w14:paraId="6E0CC573" w14:textId="77777777" w:rsidR="00A01A77" w:rsidRDefault="00000000">
      <w:pPr>
        <w:jc w:val="both"/>
      </w:pPr>
      <w:r>
        <w:t>CBCL scores decreased significantly in the intervention group, whereas no significant within-group change occurred in the control group. The reduction in CBCL score was significantly greater in the intervention group (p = .009). Table 2 summarizes changes in the parent-reported sleep and emotional outcomes.</w:t>
      </w:r>
    </w:p>
    <w:p w14:paraId="7AFFD07F" w14:textId="77777777" w:rsidR="00A01A77" w:rsidRDefault="00000000">
      <w:pPr>
        <w:keepNext/>
        <w:spacing w:before="240" w:after="120"/>
        <w:jc w:val="center"/>
      </w:pPr>
      <w:r>
        <w:t>Table 2. Changes in Sleep and Emotional Outcomes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1531"/>
        <w:gridCol w:w="1786"/>
        <w:gridCol w:w="1786"/>
        <w:gridCol w:w="1559"/>
        <w:gridCol w:w="2413"/>
      </w:tblGrid>
      <w:tr w:rsidR="00A01A77" w14:paraId="37FDA133" w14:textId="77777777" w:rsidTr="006F0D82">
        <w:trPr>
          <w:tblHeader/>
          <w:jc w:val="center"/>
        </w:trPr>
        <w:tc>
          <w:tcPr>
            <w:tcW w:w="1531" w:type="dxa"/>
            <w:tcBorders>
              <w:bottom w:val="single" w:sz="4" w:space="0" w:color="auto"/>
            </w:tcBorders>
            <w:tcMar>
              <w:top w:w="70" w:type="dxa"/>
              <w:left w:w="70" w:type="dxa"/>
              <w:bottom w:w="70" w:type="dxa"/>
              <w:right w:w="70" w:type="dxa"/>
            </w:tcMar>
            <w:vAlign w:val="center"/>
          </w:tcPr>
          <w:p w14:paraId="42EEA4ED" w14:textId="77777777" w:rsidR="00A01A77" w:rsidRDefault="00000000">
            <w:pPr>
              <w:jc w:val="center"/>
            </w:pPr>
            <w:r>
              <w:rPr>
                <w:b/>
                <w:sz w:val="22"/>
              </w:rPr>
              <w:t>Group</w:t>
            </w:r>
          </w:p>
        </w:tc>
        <w:tc>
          <w:tcPr>
            <w:tcW w:w="1786" w:type="dxa"/>
            <w:tcBorders>
              <w:bottom w:val="single" w:sz="4" w:space="0" w:color="auto"/>
            </w:tcBorders>
            <w:tcMar>
              <w:top w:w="70" w:type="dxa"/>
              <w:left w:w="70" w:type="dxa"/>
              <w:bottom w:w="70" w:type="dxa"/>
              <w:right w:w="70" w:type="dxa"/>
            </w:tcMar>
            <w:vAlign w:val="center"/>
          </w:tcPr>
          <w:p w14:paraId="5839FDA0" w14:textId="77777777" w:rsidR="00A01A77" w:rsidRDefault="00000000">
            <w:pPr>
              <w:jc w:val="center"/>
            </w:pPr>
            <w:r>
              <w:rPr>
                <w:b/>
                <w:sz w:val="22"/>
              </w:rPr>
              <w:t>Pretest mean ± SD</w:t>
            </w:r>
          </w:p>
        </w:tc>
        <w:tc>
          <w:tcPr>
            <w:tcW w:w="1786" w:type="dxa"/>
            <w:tcBorders>
              <w:bottom w:val="single" w:sz="4" w:space="0" w:color="auto"/>
            </w:tcBorders>
            <w:tcMar>
              <w:top w:w="70" w:type="dxa"/>
              <w:left w:w="70" w:type="dxa"/>
              <w:bottom w:w="70" w:type="dxa"/>
              <w:right w:w="70" w:type="dxa"/>
            </w:tcMar>
            <w:vAlign w:val="center"/>
          </w:tcPr>
          <w:p w14:paraId="43C3C1AF" w14:textId="77777777" w:rsidR="00A01A77" w:rsidRDefault="00000000">
            <w:pPr>
              <w:jc w:val="center"/>
            </w:pPr>
            <w:r>
              <w:rPr>
                <w:b/>
                <w:sz w:val="22"/>
              </w:rPr>
              <w:t>Posttest mean ± SD</w:t>
            </w:r>
          </w:p>
        </w:tc>
        <w:tc>
          <w:tcPr>
            <w:tcW w:w="1559" w:type="dxa"/>
            <w:tcBorders>
              <w:bottom w:val="single" w:sz="4" w:space="0" w:color="auto"/>
            </w:tcBorders>
            <w:tcMar>
              <w:top w:w="70" w:type="dxa"/>
              <w:left w:w="70" w:type="dxa"/>
              <w:bottom w:w="70" w:type="dxa"/>
              <w:right w:w="70" w:type="dxa"/>
            </w:tcMar>
            <w:vAlign w:val="center"/>
          </w:tcPr>
          <w:p w14:paraId="47EA3941" w14:textId="77777777" w:rsidR="00A01A77" w:rsidRDefault="00000000">
            <w:pPr>
              <w:jc w:val="center"/>
            </w:pPr>
            <w:r>
              <w:rPr>
                <w:b/>
                <w:sz w:val="22"/>
              </w:rPr>
              <w:t>Mean change ± SD</w:t>
            </w:r>
          </w:p>
        </w:tc>
        <w:tc>
          <w:tcPr>
            <w:tcW w:w="935" w:type="dxa"/>
            <w:tcBorders>
              <w:bottom w:val="single" w:sz="4" w:space="0" w:color="auto"/>
            </w:tcBorders>
            <w:tcMar>
              <w:top w:w="70" w:type="dxa"/>
              <w:left w:w="70" w:type="dxa"/>
              <w:bottom w:w="70" w:type="dxa"/>
              <w:right w:w="70" w:type="dxa"/>
            </w:tcMar>
            <w:vAlign w:val="center"/>
          </w:tcPr>
          <w:p w14:paraId="7FA354EA" w14:textId="77777777" w:rsidR="00A01A77" w:rsidRDefault="00000000">
            <w:pPr>
              <w:jc w:val="center"/>
            </w:pPr>
            <w:r>
              <w:rPr>
                <w:b/>
                <w:sz w:val="22"/>
              </w:rPr>
              <w:t>p</w:t>
            </w:r>
          </w:p>
        </w:tc>
      </w:tr>
      <w:tr w:rsidR="00A01A77" w14:paraId="5066A0A6" w14:textId="77777777" w:rsidTr="006F0D82">
        <w:trPr>
          <w:cantSplit/>
          <w:jc w:val="center"/>
        </w:trPr>
        <w:tc>
          <w:tcPr>
            <w:tcW w:w="9075" w:type="dxa"/>
            <w:gridSpan w:val="5"/>
            <w:tcBorders>
              <w:top w:val="single" w:sz="4" w:space="0" w:color="auto"/>
            </w:tcBorders>
            <w:tcMar>
              <w:top w:w="70" w:type="dxa"/>
              <w:left w:w="70" w:type="dxa"/>
              <w:bottom w:w="70" w:type="dxa"/>
              <w:right w:w="70" w:type="dxa"/>
            </w:tcMar>
            <w:vAlign w:val="center"/>
          </w:tcPr>
          <w:p w14:paraId="181DF5AD" w14:textId="77777777" w:rsidR="00A01A77" w:rsidRDefault="00000000">
            <w:r>
              <w:rPr>
                <w:b/>
                <w:sz w:val="22"/>
              </w:rPr>
              <w:t>CBCL</w:t>
            </w:r>
          </w:p>
        </w:tc>
      </w:tr>
      <w:tr w:rsidR="00A01A77" w14:paraId="0950780A" w14:textId="77777777" w:rsidTr="006F0D82">
        <w:trPr>
          <w:cantSplit/>
          <w:jc w:val="center"/>
        </w:trPr>
        <w:tc>
          <w:tcPr>
            <w:tcW w:w="1531" w:type="dxa"/>
            <w:tcMar>
              <w:top w:w="70" w:type="dxa"/>
              <w:left w:w="70" w:type="dxa"/>
              <w:bottom w:w="70" w:type="dxa"/>
              <w:right w:w="70" w:type="dxa"/>
            </w:tcMar>
            <w:vAlign w:val="center"/>
          </w:tcPr>
          <w:p w14:paraId="0C2DDFFE" w14:textId="77777777" w:rsidR="00A01A77" w:rsidRDefault="00000000">
            <w:r>
              <w:rPr>
                <w:sz w:val="22"/>
              </w:rPr>
              <w:t>Intervention</w:t>
            </w:r>
          </w:p>
        </w:tc>
        <w:tc>
          <w:tcPr>
            <w:tcW w:w="1786" w:type="dxa"/>
            <w:tcMar>
              <w:top w:w="70" w:type="dxa"/>
              <w:left w:w="70" w:type="dxa"/>
              <w:bottom w:w="70" w:type="dxa"/>
              <w:right w:w="70" w:type="dxa"/>
            </w:tcMar>
            <w:vAlign w:val="center"/>
          </w:tcPr>
          <w:p w14:paraId="56F6C506" w14:textId="77777777" w:rsidR="00A01A77" w:rsidRDefault="00000000">
            <w:pPr>
              <w:jc w:val="center"/>
            </w:pPr>
            <w:r>
              <w:rPr>
                <w:sz w:val="22"/>
              </w:rPr>
              <w:t>60.27 ± 28.60</w:t>
            </w:r>
          </w:p>
        </w:tc>
        <w:tc>
          <w:tcPr>
            <w:tcW w:w="1786" w:type="dxa"/>
            <w:tcMar>
              <w:top w:w="70" w:type="dxa"/>
              <w:left w:w="70" w:type="dxa"/>
              <w:bottom w:w="70" w:type="dxa"/>
              <w:right w:w="70" w:type="dxa"/>
            </w:tcMar>
            <w:vAlign w:val="center"/>
          </w:tcPr>
          <w:p w14:paraId="53F16865" w14:textId="77777777" w:rsidR="00A01A77" w:rsidRDefault="00000000">
            <w:pPr>
              <w:jc w:val="center"/>
            </w:pPr>
            <w:r>
              <w:rPr>
                <w:sz w:val="22"/>
              </w:rPr>
              <w:t>55.47 ± 26.61</w:t>
            </w:r>
          </w:p>
        </w:tc>
        <w:tc>
          <w:tcPr>
            <w:tcW w:w="1559" w:type="dxa"/>
            <w:tcMar>
              <w:top w:w="70" w:type="dxa"/>
              <w:left w:w="70" w:type="dxa"/>
              <w:bottom w:w="70" w:type="dxa"/>
              <w:right w:w="70" w:type="dxa"/>
            </w:tcMar>
            <w:vAlign w:val="center"/>
          </w:tcPr>
          <w:p w14:paraId="6F3ED623" w14:textId="77777777" w:rsidR="00A01A77" w:rsidRDefault="00000000">
            <w:pPr>
              <w:jc w:val="center"/>
            </w:pPr>
            <w:r>
              <w:rPr>
                <w:sz w:val="22"/>
              </w:rPr>
              <w:t>−4.80 ± 2.94</w:t>
            </w:r>
          </w:p>
        </w:tc>
        <w:tc>
          <w:tcPr>
            <w:tcW w:w="935" w:type="dxa"/>
            <w:tcMar>
              <w:top w:w="70" w:type="dxa"/>
              <w:left w:w="70" w:type="dxa"/>
              <w:bottom w:w="70" w:type="dxa"/>
              <w:right w:w="70" w:type="dxa"/>
            </w:tcMar>
            <w:vAlign w:val="center"/>
          </w:tcPr>
          <w:p w14:paraId="58A9E8AF" w14:textId="77777777" w:rsidR="00A01A77" w:rsidRDefault="00000000">
            <w:pPr>
              <w:jc w:val="center"/>
            </w:pPr>
            <w:r>
              <w:rPr>
                <w:sz w:val="22"/>
              </w:rPr>
              <w:t>&lt; .001</w:t>
            </w:r>
          </w:p>
        </w:tc>
      </w:tr>
      <w:tr w:rsidR="00A01A77" w14:paraId="014720CF" w14:textId="77777777" w:rsidTr="006F0D82">
        <w:trPr>
          <w:cantSplit/>
          <w:jc w:val="center"/>
        </w:trPr>
        <w:tc>
          <w:tcPr>
            <w:tcW w:w="1531" w:type="dxa"/>
            <w:tcMar>
              <w:top w:w="70" w:type="dxa"/>
              <w:left w:w="70" w:type="dxa"/>
              <w:bottom w:w="70" w:type="dxa"/>
              <w:right w:w="70" w:type="dxa"/>
            </w:tcMar>
            <w:vAlign w:val="center"/>
          </w:tcPr>
          <w:p w14:paraId="6F19D1C6" w14:textId="77777777" w:rsidR="00A01A77" w:rsidRDefault="00000000">
            <w:r>
              <w:rPr>
                <w:sz w:val="22"/>
              </w:rPr>
              <w:t>Control</w:t>
            </w:r>
          </w:p>
        </w:tc>
        <w:tc>
          <w:tcPr>
            <w:tcW w:w="1786" w:type="dxa"/>
            <w:tcMar>
              <w:top w:w="70" w:type="dxa"/>
              <w:left w:w="70" w:type="dxa"/>
              <w:bottom w:w="70" w:type="dxa"/>
              <w:right w:w="70" w:type="dxa"/>
            </w:tcMar>
            <w:vAlign w:val="center"/>
          </w:tcPr>
          <w:p w14:paraId="4C919755" w14:textId="77777777" w:rsidR="00A01A77" w:rsidRDefault="00000000">
            <w:pPr>
              <w:jc w:val="center"/>
            </w:pPr>
            <w:r>
              <w:rPr>
                <w:sz w:val="22"/>
              </w:rPr>
              <w:t>56.91 ± 26.19</w:t>
            </w:r>
          </w:p>
        </w:tc>
        <w:tc>
          <w:tcPr>
            <w:tcW w:w="1786" w:type="dxa"/>
            <w:tcMar>
              <w:top w:w="70" w:type="dxa"/>
              <w:left w:w="70" w:type="dxa"/>
              <w:bottom w:w="70" w:type="dxa"/>
              <w:right w:w="70" w:type="dxa"/>
            </w:tcMar>
            <w:vAlign w:val="center"/>
          </w:tcPr>
          <w:p w14:paraId="08678235" w14:textId="77777777" w:rsidR="00A01A77" w:rsidRDefault="00000000">
            <w:pPr>
              <w:jc w:val="center"/>
            </w:pPr>
            <w:r>
              <w:rPr>
                <w:sz w:val="22"/>
              </w:rPr>
              <w:t>57.03 ± 28.62</w:t>
            </w:r>
          </w:p>
        </w:tc>
        <w:tc>
          <w:tcPr>
            <w:tcW w:w="1559" w:type="dxa"/>
            <w:tcMar>
              <w:top w:w="70" w:type="dxa"/>
              <w:left w:w="70" w:type="dxa"/>
              <w:bottom w:w="70" w:type="dxa"/>
              <w:right w:w="70" w:type="dxa"/>
            </w:tcMar>
            <w:vAlign w:val="center"/>
          </w:tcPr>
          <w:p w14:paraId="05FAD511" w14:textId="77777777" w:rsidR="00A01A77" w:rsidRDefault="00000000">
            <w:pPr>
              <w:jc w:val="center"/>
            </w:pPr>
            <w:r>
              <w:rPr>
                <w:sz w:val="22"/>
              </w:rPr>
              <w:t>−0.13 ± 9.50</w:t>
            </w:r>
          </w:p>
        </w:tc>
        <w:tc>
          <w:tcPr>
            <w:tcW w:w="935" w:type="dxa"/>
            <w:tcMar>
              <w:top w:w="70" w:type="dxa"/>
              <w:left w:w="70" w:type="dxa"/>
              <w:bottom w:w="70" w:type="dxa"/>
              <w:right w:w="70" w:type="dxa"/>
            </w:tcMar>
            <w:vAlign w:val="center"/>
          </w:tcPr>
          <w:p w14:paraId="02CCAE4B" w14:textId="77777777" w:rsidR="00A01A77" w:rsidRDefault="00000000">
            <w:pPr>
              <w:jc w:val="center"/>
            </w:pPr>
            <w:r>
              <w:rPr>
                <w:sz w:val="22"/>
              </w:rPr>
              <w:t>.941</w:t>
            </w:r>
          </w:p>
        </w:tc>
      </w:tr>
      <w:tr w:rsidR="00A01A77" w14:paraId="5794F2C3" w14:textId="77777777" w:rsidTr="006F0D82">
        <w:trPr>
          <w:cantSplit/>
          <w:jc w:val="center"/>
        </w:trPr>
        <w:tc>
          <w:tcPr>
            <w:tcW w:w="9075" w:type="dxa"/>
            <w:gridSpan w:val="5"/>
            <w:tcMar>
              <w:top w:w="70" w:type="dxa"/>
              <w:left w:w="70" w:type="dxa"/>
              <w:bottom w:w="70" w:type="dxa"/>
              <w:right w:w="70" w:type="dxa"/>
            </w:tcMar>
            <w:vAlign w:val="center"/>
          </w:tcPr>
          <w:p w14:paraId="20C2431A" w14:textId="77777777" w:rsidR="00A01A77" w:rsidRDefault="00000000">
            <w:r>
              <w:rPr>
                <w:b/>
                <w:sz w:val="22"/>
              </w:rPr>
              <w:t>CSHQ</w:t>
            </w:r>
          </w:p>
        </w:tc>
      </w:tr>
      <w:tr w:rsidR="00A01A77" w14:paraId="2F2C0974" w14:textId="77777777" w:rsidTr="006F0D82">
        <w:trPr>
          <w:cantSplit/>
          <w:jc w:val="center"/>
        </w:trPr>
        <w:tc>
          <w:tcPr>
            <w:tcW w:w="1531" w:type="dxa"/>
            <w:tcMar>
              <w:top w:w="70" w:type="dxa"/>
              <w:left w:w="70" w:type="dxa"/>
              <w:bottom w:w="70" w:type="dxa"/>
              <w:right w:w="70" w:type="dxa"/>
            </w:tcMar>
            <w:vAlign w:val="center"/>
          </w:tcPr>
          <w:p w14:paraId="083203FD" w14:textId="77777777" w:rsidR="00A01A77" w:rsidRDefault="00000000">
            <w:r>
              <w:rPr>
                <w:sz w:val="22"/>
              </w:rPr>
              <w:t>Intervention</w:t>
            </w:r>
          </w:p>
        </w:tc>
        <w:tc>
          <w:tcPr>
            <w:tcW w:w="1786" w:type="dxa"/>
            <w:tcMar>
              <w:top w:w="70" w:type="dxa"/>
              <w:left w:w="70" w:type="dxa"/>
              <w:bottom w:w="70" w:type="dxa"/>
              <w:right w:w="70" w:type="dxa"/>
            </w:tcMar>
            <w:vAlign w:val="center"/>
          </w:tcPr>
          <w:p w14:paraId="01CFB451" w14:textId="77777777" w:rsidR="00A01A77" w:rsidRDefault="00000000">
            <w:pPr>
              <w:jc w:val="center"/>
            </w:pPr>
            <w:r>
              <w:rPr>
                <w:sz w:val="22"/>
              </w:rPr>
              <w:t>53.83 ± 7.71</w:t>
            </w:r>
          </w:p>
        </w:tc>
        <w:tc>
          <w:tcPr>
            <w:tcW w:w="1786" w:type="dxa"/>
            <w:tcMar>
              <w:top w:w="70" w:type="dxa"/>
              <w:left w:w="70" w:type="dxa"/>
              <w:bottom w:w="70" w:type="dxa"/>
              <w:right w:w="70" w:type="dxa"/>
            </w:tcMar>
            <w:vAlign w:val="center"/>
          </w:tcPr>
          <w:p w14:paraId="18452BC5" w14:textId="77777777" w:rsidR="00A01A77" w:rsidRDefault="00000000">
            <w:pPr>
              <w:jc w:val="center"/>
            </w:pPr>
            <w:r>
              <w:rPr>
                <w:sz w:val="22"/>
              </w:rPr>
              <w:t>39.77 ± 3.48</w:t>
            </w:r>
          </w:p>
        </w:tc>
        <w:tc>
          <w:tcPr>
            <w:tcW w:w="1559" w:type="dxa"/>
            <w:tcMar>
              <w:top w:w="70" w:type="dxa"/>
              <w:left w:w="70" w:type="dxa"/>
              <w:bottom w:w="70" w:type="dxa"/>
              <w:right w:w="70" w:type="dxa"/>
            </w:tcMar>
            <w:vAlign w:val="center"/>
          </w:tcPr>
          <w:p w14:paraId="30ACDBB8" w14:textId="77777777" w:rsidR="00A01A77" w:rsidRDefault="00000000">
            <w:pPr>
              <w:jc w:val="center"/>
            </w:pPr>
            <w:r>
              <w:rPr>
                <w:sz w:val="22"/>
              </w:rPr>
              <w:t>−14.70 ± 5.39</w:t>
            </w:r>
          </w:p>
        </w:tc>
        <w:tc>
          <w:tcPr>
            <w:tcW w:w="935" w:type="dxa"/>
            <w:tcMar>
              <w:top w:w="70" w:type="dxa"/>
              <w:left w:w="70" w:type="dxa"/>
              <w:bottom w:w="70" w:type="dxa"/>
              <w:right w:w="70" w:type="dxa"/>
            </w:tcMar>
            <w:vAlign w:val="center"/>
          </w:tcPr>
          <w:p w14:paraId="7275E055" w14:textId="77777777" w:rsidR="00A01A77" w:rsidRDefault="00000000">
            <w:pPr>
              <w:jc w:val="center"/>
            </w:pPr>
            <w:r>
              <w:rPr>
                <w:sz w:val="22"/>
              </w:rPr>
              <w:t>&lt; .001</w:t>
            </w:r>
          </w:p>
        </w:tc>
      </w:tr>
      <w:tr w:rsidR="00A01A77" w14:paraId="47D589BC" w14:textId="77777777" w:rsidTr="006F0D82">
        <w:trPr>
          <w:cantSplit/>
          <w:jc w:val="center"/>
        </w:trPr>
        <w:tc>
          <w:tcPr>
            <w:tcW w:w="1531" w:type="dxa"/>
            <w:tcMar>
              <w:top w:w="70" w:type="dxa"/>
              <w:left w:w="70" w:type="dxa"/>
              <w:bottom w:w="70" w:type="dxa"/>
              <w:right w:w="70" w:type="dxa"/>
            </w:tcMar>
            <w:vAlign w:val="center"/>
          </w:tcPr>
          <w:p w14:paraId="47736242" w14:textId="77777777" w:rsidR="00A01A77" w:rsidRDefault="00000000">
            <w:r>
              <w:rPr>
                <w:sz w:val="22"/>
              </w:rPr>
              <w:t>Control</w:t>
            </w:r>
          </w:p>
        </w:tc>
        <w:tc>
          <w:tcPr>
            <w:tcW w:w="1786" w:type="dxa"/>
            <w:tcMar>
              <w:top w:w="70" w:type="dxa"/>
              <w:left w:w="70" w:type="dxa"/>
              <w:bottom w:w="70" w:type="dxa"/>
              <w:right w:w="70" w:type="dxa"/>
            </w:tcMar>
            <w:vAlign w:val="center"/>
          </w:tcPr>
          <w:p w14:paraId="308D63E1" w14:textId="77777777" w:rsidR="00A01A77" w:rsidRDefault="00000000">
            <w:pPr>
              <w:jc w:val="center"/>
            </w:pPr>
            <w:r>
              <w:rPr>
                <w:sz w:val="22"/>
              </w:rPr>
              <w:t>50.28 ± 4.42</w:t>
            </w:r>
          </w:p>
        </w:tc>
        <w:tc>
          <w:tcPr>
            <w:tcW w:w="1786" w:type="dxa"/>
            <w:tcMar>
              <w:top w:w="70" w:type="dxa"/>
              <w:left w:w="70" w:type="dxa"/>
              <w:bottom w:w="70" w:type="dxa"/>
              <w:right w:w="70" w:type="dxa"/>
            </w:tcMar>
            <w:vAlign w:val="center"/>
          </w:tcPr>
          <w:p w14:paraId="3B3D89C7" w14:textId="77777777" w:rsidR="00A01A77" w:rsidRDefault="00000000">
            <w:pPr>
              <w:jc w:val="center"/>
            </w:pPr>
            <w:r>
              <w:rPr>
                <w:sz w:val="22"/>
              </w:rPr>
              <w:t>43.13 ± 3.08</w:t>
            </w:r>
          </w:p>
        </w:tc>
        <w:tc>
          <w:tcPr>
            <w:tcW w:w="1559" w:type="dxa"/>
            <w:tcMar>
              <w:top w:w="70" w:type="dxa"/>
              <w:left w:w="70" w:type="dxa"/>
              <w:bottom w:w="70" w:type="dxa"/>
              <w:right w:w="70" w:type="dxa"/>
            </w:tcMar>
            <w:vAlign w:val="center"/>
          </w:tcPr>
          <w:p w14:paraId="42DB655E" w14:textId="77777777" w:rsidR="00A01A77" w:rsidRDefault="00000000">
            <w:pPr>
              <w:jc w:val="center"/>
            </w:pPr>
            <w:r>
              <w:rPr>
                <w:sz w:val="22"/>
              </w:rPr>
              <w:t>−7.16 ± 4.33</w:t>
            </w:r>
          </w:p>
        </w:tc>
        <w:tc>
          <w:tcPr>
            <w:tcW w:w="935" w:type="dxa"/>
            <w:tcMar>
              <w:top w:w="70" w:type="dxa"/>
              <w:left w:w="70" w:type="dxa"/>
              <w:bottom w:w="70" w:type="dxa"/>
              <w:right w:w="70" w:type="dxa"/>
            </w:tcMar>
            <w:vAlign w:val="center"/>
          </w:tcPr>
          <w:p w14:paraId="75CCAB53" w14:textId="77777777" w:rsidR="00A01A77" w:rsidRDefault="00000000">
            <w:pPr>
              <w:jc w:val="center"/>
            </w:pPr>
            <w:r>
              <w:rPr>
                <w:sz w:val="22"/>
              </w:rPr>
              <w:t>&lt; .001</w:t>
            </w:r>
          </w:p>
        </w:tc>
      </w:tr>
    </w:tbl>
    <w:p w14:paraId="6611D16E" w14:textId="77777777" w:rsidR="00A01A77" w:rsidRDefault="00000000">
      <w:pPr>
        <w:spacing w:after="120"/>
      </w:pPr>
      <w:r>
        <w:rPr>
          <w:i/>
          <w:sz w:val="20"/>
        </w:rPr>
        <w:t xml:space="preserve">Note. </w:t>
      </w:r>
      <w:r>
        <w:rPr>
          <w:sz w:val="20"/>
        </w:rPr>
        <w:t>CSHQ = Children’s Sleep Habits Questionnaire; CBCL = Child Behavior Checklist. p values are within-group comparisons. Between-group comparisons of mean change: CSHQ, p &lt; .001; CBCL, p = .009.</w:t>
      </w:r>
    </w:p>
    <w:p w14:paraId="549C4486" w14:textId="77777777" w:rsidR="00A01A77" w:rsidRDefault="00000000">
      <w:pPr>
        <w:keepNext/>
        <w:spacing w:before="120" w:after="60"/>
      </w:pPr>
      <w:r>
        <w:rPr>
          <w:b/>
        </w:rPr>
        <w:t>Multivariable analysis</w:t>
      </w:r>
    </w:p>
    <w:p w14:paraId="09FDA12C" w14:textId="77777777" w:rsidR="00A01A77" w:rsidRDefault="00000000">
      <w:pPr>
        <w:jc w:val="both"/>
      </w:pPr>
      <w:r>
        <w:t>In the regression models, intervention exposure was significantly associated with both outcomes. The sleep-outcome model explained 33% of the variance (R² = .33), and the emotional-outcome model explained 14% of the variance (R² = .14; Table 3).</w:t>
      </w:r>
    </w:p>
    <w:p w14:paraId="621CDC50" w14:textId="77777777" w:rsidR="00A01A77" w:rsidRDefault="00000000">
      <w:pPr>
        <w:keepNext/>
        <w:spacing w:before="240" w:after="120"/>
        <w:jc w:val="center"/>
      </w:pPr>
      <w:r>
        <w:t>Table 3. Regression Models for Sleep and Emotional Outcomes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3969"/>
        <w:gridCol w:w="1701"/>
        <w:gridCol w:w="1701"/>
        <w:gridCol w:w="1134"/>
      </w:tblGrid>
      <w:tr w:rsidR="00A01A77" w14:paraId="7D477473" w14:textId="77777777" w:rsidTr="006F0D82">
        <w:trPr>
          <w:tblHeader/>
          <w:jc w:val="center"/>
        </w:trPr>
        <w:tc>
          <w:tcPr>
            <w:tcW w:w="3969" w:type="dxa"/>
            <w:tcBorders>
              <w:bottom w:val="single" w:sz="4" w:space="0" w:color="auto"/>
            </w:tcBorders>
            <w:tcMar>
              <w:top w:w="70" w:type="dxa"/>
              <w:left w:w="70" w:type="dxa"/>
              <w:bottom w:w="70" w:type="dxa"/>
              <w:right w:w="70" w:type="dxa"/>
            </w:tcMar>
            <w:vAlign w:val="center"/>
          </w:tcPr>
          <w:p w14:paraId="083CE645" w14:textId="77777777" w:rsidR="00A01A77" w:rsidRDefault="00000000">
            <w:pPr>
              <w:jc w:val="center"/>
            </w:pPr>
            <w:r>
              <w:rPr>
                <w:b/>
              </w:rPr>
              <w:t>Outcome</w:t>
            </w:r>
          </w:p>
        </w:tc>
        <w:tc>
          <w:tcPr>
            <w:tcW w:w="1701" w:type="dxa"/>
            <w:tcBorders>
              <w:bottom w:val="single" w:sz="4" w:space="0" w:color="auto"/>
            </w:tcBorders>
            <w:tcMar>
              <w:top w:w="70" w:type="dxa"/>
              <w:left w:w="70" w:type="dxa"/>
              <w:bottom w:w="70" w:type="dxa"/>
              <w:right w:w="70" w:type="dxa"/>
            </w:tcMar>
            <w:vAlign w:val="center"/>
          </w:tcPr>
          <w:p w14:paraId="235AAC8D" w14:textId="77777777" w:rsidR="00A01A77" w:rsidRDefault="00000000">
            <w:pPr>
              <w:jc w:val="center"/>
            </w:pPr>
            <w:r>
              <w:rPr>
                <w:b/>
              </w:rPr>
              <w:t>β</w:t>
            </w:r>
          </w:p>
        </w:tc>
        <w:tc>
          <w:tcPr>
            <w:tcW w:w="1701" w:type="dxa"/>
            <w:tcBorders>
              <w:bottom w:val="single" w:sz="4" w:space="0" w:color="auto"/>
            </w:tcBorders>
            <w:tcMar>
              <w:top w:w="70" w:type="dxa"/>
              <w:left w:w="70" w:type="dxa"/>
              <w:bottom w:w="70" w:type="dxa"/>
              <w:right w:w="70" w:type="dxa"/>
            </w:tcMar>
            <w:vAlign w:val="center"/>
          </w:tcPr>
          <w:p w14:paraId="689A5BA3" w14:textId="77777777" w:rsidR="00A01A77" w:rsidRDefault="00000000">
            <w:pPr>
              <w:jc w:val="center"/>
            </w:pPr>
            <w:r>
              <w:rPr>
                <w:b/>
              </w:rPr>
              <w:t>R²</w:t>
            </w:r>
          </w:p>
        </w:tc>
        <w:tc>
          <w:tcPr>
            <w:tcW w:w="1134" w:type="dxa"/>
            <w:tcBorders>
              <w:bottom w:val="single" w:sz="4" w:space="0" w:color="auto"/>
            </w:tcBorders>
            <w:tcMar>
              <w:top w:w="70" w:type="dxa"/>
              <w:left w:w="70" w:type="dxa"/>
              <w:bottom w:w="70" w:type="dxa"/>
              <w:right w:w="70" w:type="dxa"/>
            </w:tcMar>
            <w:vAlign w:val="center"/>
          </w:tcPr>
          <w:p w14:paraId="04BA61D2" w14:textId="77777777" w:rsidR="00A01A77" w:rsidRDefault="00000000">
            <w:pPr>
              <w:jc w:val="center"/>
            </w:pPr>
            <w:r>
              <w:rPr>
                <w:b/>
              </w:rPr>
              <w:t>p</w:t>
            </w:r>
          </w:p>
        </w:tc>
      </w:tr>
      <w:tr w:rsidR="00A01A77" w14:paraId="67894844" w14:textId="77777777" w:rsidTr="006F0D82">
        <w:trPr>
          <w:cantSplit/>
          <w:jc w:val="center"/>
        </w:trPr>
        <w:tc>
          <w:tcPr>
            <w:tcW w:w="3969" w:type="dxa"/>
            <w:tcBorders>
              <w:top w:val="single" w:sz="4" w:space="0" w:color="auto"/>
            </w:tcBorders>
            <w:tcMar>
              <w:top w:w="70" w:type="dxa"/>
              <w:left w:w="70" w:type="dxa"/>
              <w:bottom w:w="70" w:type="dxa"/>
              <w:right w:w="70" w:type="dxa"/>
            </w:tcMar>
            <w:vAlign w:val="center"/>
          </w:tcPr>
          <w:p w14:paraId="394B64B3" w14:textId="77777777" w:rsidR="00A01A77" w:rsidRDefault="00000000">
            <w:r>
              <w:t>Sleep problems</w:t>
            </w:r>
          </w:p>
        </w:tc>
        <w:tc>
          <w:tcPr>
            <w:tcW w:w="1701" w:type="dxa"/>
            <w:tcBorders>
              <w:top w:val="single" w:sz="4" w:space="0" w:color="auto"/>
            </w:tcBorders>
            <w:tcMar>
              <w:top w:w="70" w:type="dxa"/>
              <w:left w:w="70" w:type="dxa"/>
              <w:bottom w:w="70" w:type="dxa"/>
              <w:right w:w="70" w:type="dxa"/>
            </w:tcMar>
            <w:vAlign w:val="center"/>
          </w:tcPr>
          <w:p w14:paraId="1C6309DC" w14:textId="77777777" w:rsidR="00A01A77" w:rsidRDefault="00000000">
            <w:pPr>
              <w:jc w:val="center"/>
            </w:pPr>
            <w:r>
              <w:t>−.462</w:t>
            </w:r>
          </w:p>
        </w:tc>
        <w:tc>
          <w:tcPr>
            <w:tcW w:w="1701" w:type="dxa"/>
            <w:tcBorders>
              <w:top w:val="single" w:sz="4" w:space="0" w:color="auto"/>
            </w:tcBorders>
            <w:tcMar>
              <w:top w:w="70" w:type="dxa"/>
              <w:left w:w="70" w:type="dxa"/>
              <w:bottom w:w="70" w:type="dxa"/>
              <w:right w:w="70" w:type="dxa"/>
            </w:tcMar>
            <w:vAlign w:val="center"/>
          </w:tcPr>
          <w:p w14:paraId="1E7E06CE" w14:textId="77777777" w:rsidR="00A01A77" w:rsidRDefault="00000000">
            <w:pPr>
              <w:jc w:val="center"/>
            </w:pPr>
            <w:r>
              <w:t>.33</w:t>
            </w:r>
          </w:p>
        </w:tc>
        <w:tc>
          <w:tcPr>
            <w:tcW w:w="1134" w:type="dxa"/>
            <w:tcBorders>
              <w:top w:val="single" w:sz="4" w:space="0" w:color="auto"/>
            </w:tcBorders>
            <w:tcMar>
              <w:top w:w="70" w:type="dxa"/>
              <w:left w:w="70" w:type="dxa"/>
              <w:bottom w:w="70" w:type="dxa"/>
              <w:right w:w="70" w:type="dxa"/>
            </w:tcMar>
            <w:vAlign w:val="center"/>
          </w:tcPr>
          <w:p w14:paraId="63D7C40E" w14:textId="77777777" w:rsidR="00A01A77" w:rsidRDefault="00000000">
            <w:pPr>
              <w:jc w:val="center"/>
            </w:pPr>
            <w:r>
              <w:t>&lt; .001</w:t>
            </w:r>
          </w:p>
        </w:tc>
      </w:tr>
      <w:tr w:rsidR="00A01A77" w14:paraId="6BC357C7" w14:textId="77777777" w:rsidTr="006F0D82">
        <w:trPr>
          <w:cantSplit/>
          <w:jc w:val="center"/>
        </w:trPr>
        <w:tc>
          <w:tcPr>
            <w:tcW w:w="3969" w:type="dxa"/>
            <w:tcMar>
              <w:top w:w="70" w:type="dxa"/>
              <w:left w:w="70" w:type="dxa"/>
              <w:bottom w:w="70" w:type="dxa"/>
              <w:right w:w="70" w:type="dxa"/>
            </w:tcMar>
            <w:vAlign w:val="center"/>
          </w:tcPr>
          <w:p w14:paraId="18A64A39" w14:textId="77777777" w:rsidR="00A01A77" w:rsidRDefault="00000000">
            <w:r>
              <w:t>Emotional problems</w:t>
            </w:r>
          </w:p>
        </w:tc>
        <w:tc>
          <w:tcPr>
            <w:tcW w:w="1701" w:type="dxa"/>
            <w:tcMar>
              <w:top w:w="70" w:type="dxa"/>
              <w:left w:w="70" w:type="dxa"/>
              <w:bottom w:w="70" w:type="dxa"/>
              <w:right w:w="70" w:type="dxa"/>
            </w:tcMar>
            <w:vAlign w:val="center"/>
          </w:tcPr>
          <w:p w14:paraId="3E7A274D" w14:textId="77777777" w:rsidR="00A01A77" w:rsidRDefault="00000000">
            <w:pPr>
              <w:jc w:val="center"/>
            </w:pPr>
            <w:r>
              <w:t>−.325</w:t>
            </w:r>
          </w:p>
        </w:tc>
        <w:tc>
          <w:tcPr>
            <w:tcW w:w="1701" w:type="dxa"/>
            <w:tcMar>
              <w:top w:w="70" w:type="dxa"/>
              <w:left w:w="70" w:type="dxa"/>
              <w:bottom w:w="70" w:type="dxa"/>
              <w:right w:w="70" w:type="dxa"/>
            </w:tcMar>
            <w:vAlign w:val="center"/>
          </w:tcPr>
          <w:p w14:paraId="6F429075" w14:textId="77777777" w:rsidR="00A01A77" w:rsidRDefault="00000000">
            <w:pPr>
              <w:jc w:val="center"/>
            </w:pPr>
            <w:r>
              <w:t>.14</w:t>
            </w:r>
          </w:p>
        </w:tc>
        <w:tc>
          <w:tcPr>
            <w:tcW w:w="1134" w:type="dxa"/>
            <w:tcMar>
              <w:top w:w="70" w:type="dxa"/>
              <w:left w:w="70" w:type="dxa"/>
              <w:bottom w:w="70" w:type="dxa"/>
              <w:right w:w="70" w:type="dxa"/>
            </w:tcMar>
            <w:vAlign w:val="center"/>
          </w:tcPr>
          <w:p w14:paraId="67ACD063" w14:textId="77777777" w:rsidR="00A01A77" w:rsidRDefault="00000000">
            <w:pPr>
              <w:jc w:val="center"/>
            </w:pPr>
            <w:r>
              <w:t>&lt; .01</w:t>
            </w:r>
          </w:p>
        </w:tc>
      </w:tr>
    </w:tbl>
    <w:p w14:paraId="400B6A20" w14:textId="77777777" w:rsidR="00A01A77" w:rsidRDefault="00000000">
      <w:pPr>
        <w:spacing w:after="120"/>
      </w:pPr>
      <w:r>
        <w:rPr>
          <w:i/>
          <w:sz w:val="20"/>
        </w:rPr>
        <w:lastRenderedPageBreak/>
        <w:t xml:space="preserve">Note. </w:t>
      </w:r>
      <w:r>
        <w:rPr>
          <w:sz w:val="20"/>
        </w:rPr>
        <w:t>β = standardized regression coefficient.</w:t>
      </w:r>
    </w:p>
    <w:p w14:paraId="10F318C8" w14:textId="77777777" w:rsidR="00A01A77" w:rsidRDefault="00000000">
      <w:pPr>
        <w:keepNext/>
        <w:spacing w:before="240" w:after="60"/>
      </w:pPr>
      <w:r>
        <w:rPr>
          <w:b/>
        </w:rPr>
        <w:t>DISCUSSION</w:t>
      </w:r>
    </w:p>
    <w:p w14:paraId="590A6B40" w14:textId="77777777" w:rsidR="00A01A77" w:rsidRDefault="00000000">
      <w:pPr>
        <w:jc w:val="both"/>
      </w:pPr>
      <w:r>
        <w:t>MEPISHA was associated with greater improvement in parent-reported sleep and emotional-problem scores than the control condition. The intervention group achieved a posttest mean CSHQ score below the clinical threshold, whereas the control group remained above it. This pattern is consistent with evidence linking sleep problems in children with ASD to emotional and behavioral concerns (Kim et al., 2024; Mazurek &amp; Sohl, 2016; Whelan et al., 2022).</w:t>
      </w:r>
    </w:p>
    <w:p w14:paraId="7FC151BC" w14:textId="77777777" w:rsidR="00A01A77" w:rsidRDefault="00000000">
      <w:pPr>
        <w:jc w:val="both"/>
      </w:pPr>
      <w:r>
        <w:t>The findings should be interpreted as outcomes of a multicomponent intervention rather than as effects of Swedish massage, acupressure, or sleep hygiene education in isolation. Massage and acupressure may support relaxation and sleep in pediatric or other clinical populations, while sleep hygiene education and the sleep diary may reinforce consistent routines and parental engagement at home (Field, 2019; Waits et al., 2018). Physiological mechanisms, including autonomic activity and melatonin pathways, were not measured in this study; therefore, mechanistic explanations remain tentative.</w:t>
      </w:r>
    </w:p>
    <w:p w14:paraId="3669912F" w14:textId="77777777" w:rsidR="00A01A77" w:rsidRDefault="00000000">
      <w:pPr>
        <w:jc w:val="both"/>
      </w:pPr>
      <w:r>
        <w:t>The parental sleep-hygiene component is clinically important because caregivers influence bedtime routines, sleep environments, and adherence to behavioral strategies. Previous Indonesian nursing research has shown that sleep-hygiene education can improve sleep problems in preschool children (Wahyuningrum et al., 2018). Combining parental education with a nurse-delivered relaxation component may be particularly helpful for families of children with ASD who need structured, feasible routines.</w:t>
      </w:r>
    </w:p>
    <w:p w14:paraId="0AF38388" w14:textId="77777777" w:rsidR="00A01A77" w:rsidRDefault="00000000">
      <w:pPr>
        <w:jc w:val="both"/>
      </w:pPr>
      <w:r>
        <w:t>The findings may also be interpreted through Kolcaba’s Comfort Theory. Swedish massage and acupressure may provide physical relief by reducing bodily tension, while a predictable sleep routine may promote ease through psychospiritual and environmental comfort. Parental involvement may strengthen sociocultural comfort and support children in adapting to ongoing challenges associated with ASD (Kolcaba, 2003).</w:t>
      </w:r>
    </w:p>
    <w:p w14:paraId="3B09A883" w14:textId="77777777" w:rsidR="00A01A77" w:rsidRDefault="00000000">
      <w:pPr>
        <w:jc w:val="both"/>
      </w:pPr>
      <w:r>
        <w:t>For nursing practice, MEPISHA may be considered as a complementary, nurse-delivered approach in pediatric and community settings when staff are trained and parental participation is feasible. The protocol’s wait-list design also offers a practical way to provide delayed access to the intervention for comparison participants.</w:t>
      </w:r>
    </w:p>
    <w:p w14:paraId="7C927497" w14:textId="77777777" w:rsidR="00A01A77" w:rsidRDefault="00000000">
      <w:pPr>
        <w:jc w:val="both"/>
      </w:pPr>
      <w:r>
        <w:t>Several limitations should be considered. The nonrandomized allocation, relatively short intervention period, modest sample size, and single geographic setting limit causal inference and generalizability. Parent-reported outcomes may also be vulnerable to reporting bias, although objective sleep assessment was included. Future research should use larger multisite randomized designs, report complete actigraphy parameters, and examine whether benefits are sustained over longer follow-up periods.</w:t>
      </w:r>
    </w:p>
    <w:p w14:paraId="198FBE3E" w14:textId="77777777" w:rsidR="00A01A77" w:rsidRDefault="00000000">
      <w:pPr>
        <w:keepNext/>
        <w:spacing w:before="240" w:after="60"/>
      </w:pPr>
      <w:r>
        <w:rPr>
          <w:b/>
        </w:rPr>
        <w:t>CONCLUSION</w:t>
      </w:r>
    </w:p>
    <w:p w14:paraId="3A820DE4" w14:textId="77777777" w:rsidR="00A01A77" w:rsidRDefault="00000000">
      <w:pPr>
        <w:jc w:val="both"/>
      </w:pPr>
      <w:r>
        <w:t>MEPISHA, which combines Swedish massage, acupressure, and sleep hygiene education, was associated with improved sleep and lower emotional-problem scores among children with ASD. The intervention may offer a feasible complementary nursing option when delivered by trained nurses and supported by parents. Larger, randomized, multisite studies with longer follow-up are needed before broader implementation.</w:t>
      </w:r>
    </w:p>
    <w:p w14:paraId="2A5BB49A" w14:textId="77777777" w:rsidR="00A01A77" w:rsidRDefault="00000000">
      <w:pPr>
        <w:keepNext/>
        <w:spacing w:before="240" w:after="60"/>
      </w:pPr>
      <w:r>
        <w:rPr>
          <w:b/>
        </w:rPr>
        <w:t>ACKNOWLEDGMENTS</w:t>
      </w:r>
    </w:p>
    <w:p w14:paraId="1B2C4A72" w14:textId="77777777" w:rsidR="00A01A77" w:rsidRDefault="00000000">
      <w:pPr>
        <w:jc w:val="both"/>
      </w:pPr>
      <w:r>
        <w:t xml:space="preserve">The authors thank Universitas Gadjah Mada and Universitas </w:t>
      </w:r>
      <w:proofErr w:type="spellStart"/>
      <w:r>
        <w:t>Jenderal</w:t>
      </w:r>
      <w:proofErr w:type="spellEnd"/>
      <w:r>
        <w:t xml:space="preserve"> Achmad Yani for academic and institutional support. The authors also thank the participating schools, nursing staff, parents, and children who contributed to this study, as well as the Holistic Nursing Association (HPHI) for professional consultation during development of the MEPISHA intervention.</w:t>
      </w:r>
    </w:p>
    <w:p w14:paraId="0D30AA5E" w14:textId="77777777" w:rsidR="00A01A77" w:rsidRDefault="00000000">
      <w:pPr>
        <w:keepNext/>
        <w:spacing w:before="240" w:after="60"/>
      </w:pPr>
      <w:r>
        <w:rPr>
          <w:b/>
        </w:rPr>
        <w:lastRenderedPageBreak/>
        <w:t>CONFLICTS OF INTEREST</w:t>
      </w:r>
    </w:p>
    <w:p w14:paraId="1F049F68" w14:textId="77777777" w:rsidR="00A01A77" w:rsidRDefault="00000000">
      <w:pPr>
        <w:jc w:val="both"/>
      </w:pPr>
      <w:r>
        <w:t>The authors declare no conflicts of interest.</w:t>
      </w:r>
    </w:p>
    <w:p w14:paraId="0F6428A8" w14:textId="77777777" w:rsidR="00A01A77" w:rsidRDefault="00000000">
      <w:pPr>
        <w:keepNext/>
        <w:spacing w:before="240" w:after="60"/>
      </w:pPr>
      <w:r>
        <w:rPr>
          <w:b/>
        </w:rPr>
        <w:t>REFERENCES</w:t>
      </w:r>
    </w:p>
    <w:p w14:paraId="107880A3" w14:textId="77777777" w:rsidR="0026259D" w:rsidRDefault="00000000" w:rsidP="00157339">
      <w:pPr>
        <w:ind w:left="720" w:hanging="720"/>
        <w:jc w:val="both"/>
      </w:pPr>
      <w:r>
        <w:t xml:space="preserve">American Psychiatric Association. (2013). </w:t>
      </w:r>
      <w:r>
        <w:rPr>
          <w:i/>
        </w:rPr>
        <w:t>Diagnostic and statistical manual of mental disorders</w:t>
      </w:r>
      <w:r>
        <w:t xml:space="preserve"> (5th ed.). Arlington, VA: American Psychiatric Publishing.</w:t>
      </w:r>
    </w:p>
    <w:p w14:paraId="79EBAB41" w14:textId="77777777" w:rsidR="0026259D" w:rsidRDefault="00000000" w:rsidP="00157339">
      <w:pPr>
        <w:ind w:left="720" w:hanging="720"/>
        <w:jc w:val="both"/>
      </w:pPr>
      <w:r>
        <w:t xml:space="preserve">Corkum, P., Davidson, F., &amp; MacPherson, M. (2018). A framework for the assessment and treatment of sleep problems in children with autism spectrum disorders. </w:t>
      </w:r>
      <w:r>
        <w:rPr>
          <w:i/>
        </w:rPr>
        <w:t>Pediatric Clinics of North America, 65</w:t>
      </w:r>
      <w:r>
        <w:t>(1), 213–229. doi:10.1016/j.pcl.2017.08.008</w:t>
      </w:r>
    </w:p>
    <w:p w14:paraId="6115C5BC" w14:textId="77777777" w:rsidR="0026259D" w:rsidRDefault="00000000" w:rsidP="00157339">
      <w:pPr>
        <w:ind w:left="720" w:hanging="720"/>
        <w:jc w:val="both"/>
      </w:pPr>
      <w:r>
        <w:t xml:space="preserve">Cortese, S., Wang, F., Angriman, M., Masi, G., &amp; Bruni, O. (2020). Sleep disorders in children and adolescents with autism spectrum disorder: Diagnosis, epidemiology, and management. </w:t>
      </w:r>
      <w:r>
        <w:rPr>
          <w:i/>
        </w:rPr>
        <w:t>CNS Drugs, 34</w:t>
      </w:r>
      <w:r>
        <w:t>(4), 415–423. doi:10.1007/s40263-020-00710-y</w:t>
      </w:r>
    </w:p>
    <w:p w14:paraId="1B4FB782" w14:textId="77777777" w:rsidR="0026259D" w:rsidRDefault="00000000" w:rsidP="00157339">
      <w:pPr>
        <w:ind w:left="720" w:hanging="720"/>
        <w:jc w:val="both"/>
      </w:pPr>
      <w:r>
        <w:t xml:space="preserve">Field, T. (2019). Pediatric massage therapy research: A narrative review. </w:t>
      </w:r>
      <w:r>
        <w:rPr>
          <w:i/>
        </w:rPr>
        <w:t>Children, 6</w:t>
      </w:r>
      <w:r>
        <w:t>(6), 78. doi:10.3390/children6060078</w:t>
      </w:r>
    </w:p>
    <w:p w14:paraId="5C3FB384" w14:textId="77777777" w:rsidR="0026259D" w:rsidRDefault="00000000" w:rsidP="00157339">
      <w:pPr>
        <w:ind w:left="720" w:hanging="720"/>
        <w:jc w:val="both"/>
      </w:pPr>
      <w:r>
        <w:t xml:space="preserve">Hartini, S., Hapsara, S., Herini, E. S., &amp; Takada, S. (2015). Verifying the Indonesian version of the Child Behavior Checklist. </w:t>
      </w:r>
      <w:r>
        <w:rPr>
          <w:i/>
        </w:rPr>
        <w:t>Pediatrics International, 57</w:t>
      </w:r>
      <w:r>
        <w:t>(5), 936–941. doi:10.1111/ped.12669</w:t>
      </w:r>
    </w:p>
    <w:p w14:paraId="12D6BF20" w14:textId="77777777" w:rsidR="0026259D" w:rsidRDefault="00000000" w:rsidP="00157339">
      <w:pPr>
        <w:ind w:left="720" w:hanging="720"/>
        <w:jc w:val="both"/>
      </w:pPr>
      <w:r>
        <w:t xml:space="preserve">Hartini, S., Sunartini, S., Herini, E. S., &amp; Takada, S. (2017). Item analysis and internal consistency of Children’s Sleep Habit Questionnaire (CSHQ) in Indonesian version. </w:t>
      </w:r>
      <w:r>
        <w:rPr>
          <w:i/>
        </w:rPr>
        <w:t>Belitung Nursing Journal, 3</w:t>
      </w:r>
      <w:r>
        <w:t>(6), 645–655. doi:10.33546/bnj.184</w:t>
      </w:r>
    </w:p>
    <w:p w14:paraId="536EDEE1" w14:textId="77777777" w:rsidR="0026259D" w:rsidRDefault="00000000" w:rsidP="00157339">
      <w:pPr>
        <w:ind w:left="720" w:hanging="720"/>
        <w:jc w:val="both"/>
      </w:pPr>
      <w:r>
        <w:t xml:space="preserve">Inthikoot, N., &amp; Chonchaiya, W. (2021). Sleep problems in children with autism spectrum disorder and typical development. </w:t>
      </w:r>
      <w:r>
        <w:rPr>
          <w:i/>
        </w:rPr>
        <w:t>Pediatrics International, 63</w:t>
      </w:r>
      <w:r>
        <w:t>(6), 649–657. doi:10.1111/ped.14496</w:t>
      </w:r>
    </w:p>
    <w:p w14:paraId="5F6936AD" w14:textId="77777777" w:rsidR="0026259D" w:rsidRDefault="00000000" w:rsidP="00157339">
      <w:pPr>
        <w:ind w:left="720" w:hanging="720"/>
        <w:jc w:val="both"/>
      </w:pPr>
      <w:r>
        <w:t xml:space="preserve">Kim, H., Kim, J. H., Yi, J. H., Kim, J. Y., Solmi, M., Cortese, S., ... Fusar-Poli, P. (2024). Correlations between sleep problems, core symptoms, and behavioral problems in children and adolescents with autism spectrum disorder: A systematic review and meta-analysis. </w:t>
      </w:r>
      <w:r>
        <w:rPr>
          <w:i/>
        </w:rPr>
        <w:t>European Child &amp; Adolescent Psychiatry, 33</w:t>
      </w:r>
      <w:r>
        <w:t>(5), 1539–1549. doi:10.1007/s00787-023-02253-1</w:t>
      </w:r>
    </w:p>
    <w:p w14:paraId="62637BFD" w14:textId="77777777" w:rsidR="0026259D" w:rsidRDefault="00000000" w:rsidP="00157339">
      <w:pPr>
        <w:ind w:left="720" w:hanging="720"/>
        <w:jc w:val="both"/>
      </w:pPr>
      <w:r>
        <w:t xml:space="preserve">Kolcaba, K. (2003). </w:t>
      </w:r>
      <w:r>
        <w:rPr>
          <w:i/>
        </w:rPr>
        <w:t>Comfort theory and practice: A vision for holistic health care and research</w:t>
      </w:r>
      <w:r>
        <w:t>. New York, NY: Springer Publishing Company.</w:t>
      </w:r>
    </w:p>
    <w:p w14:paraId="1D987D64" w14:textId="77777777" w:rsidR="0026259D" w:rsidRDefault="00000000" w:rsidP="00157339">
      <w:pPr>
        <w:ind w:left="720" w:hanging="720"/>
        <w:jc w:val="both"/>
      </w:pPr>
      <w:r>
        <w:t xml:space="preserve">Mazurek, M. O., &amp; Sohl, K. (2016). Sleep and behavioral problems in children with autism spectrum disorder. </w:t>
      </w:r>
      <w:r>
        <w:rPr>
          <w:i/>
        </w:rPr>
        <w:t>Journal of Autism and Developmental Disorders, 46</w:t>
      </w:r>
      <w:r>
        <w:t>(6), 1906–1915. doi:10.1007/s10803-016-2723-7</w:t>
      </w:r>
    </w:p>
    <w:p w14:paraId="7E0F2F0E" w14:textId="77777777" w:rsidR="0026259D" w:rsidRDefault="00000000" w:rsidP="00157339">
      <w:pPr>
        <w:ind w:left="720" w:hanging="720"/>
        <w:jc w:val="both"/>
      </w:pPr>
      <w:r>
        <w:t xml:space="preserve">Schopler, E., Van Bourgondien, M. E., Wellman, G. J., &amp; Love, S. R. (2010). </w:t>
      </w:r>
      <w:r>
        <w:rPr>
          <w:i/>
        </w:rPr>
        <w:t>Childhood Autism Rating Scale</w:t>
      </w:r>
      <w:r>
        <w:t xml:space="preserve"> (2nd ed.). Los Angeles, CA: Western Psychological Services.</w:t>
      </w:r>
    </w:p>
    <w:p w14:paraId="278D221A" w14:textId="77777777" w:rsidR="0026259D" w:rsidRDefault="00000000" w:rsidP="00157339">
      <w:pPr>
        <w:ind w:left="720" w:hanging="720"/>
        <w:jc w:val="both"/>
      </w:pPr>
      <w:r>
        <w:t xml:space="preserve">Tyagi, V., Juneja, M., &amp; Jain, R. (2019). Sleep problems and their correlates in children with autism spectrum disorder: An Indian study. </w:t>
      </w:r>
      <w:r>
        <w:rPr>
          <w:i/>
        </w:rPr>
        <w:t>Journal of Autism and Developmental Disorders, 49</w:t>
      </w:r>
      <w:r>
        <w:t>(3), 1169–1181. doi:10.1007/s10803-018-3820-6</w:t>
      </w:r>
    </w:p>
    <w:p w14:paraId="6C61F637" w14:textId="77777777" w:rsidR="0026259D" w:rsidRDefault="00000000" w:rsidP="00157339">
      <w:pPr>
        <w:ind w:left="720" w:hanging="720"/>
        <w:jc w:val="both"/>
      </w:pPr>
      <w:r>
        <w:t xml:space="preserve">Wahyuningrum, E., Hartini, S., &amp; Rahmat, I. (2018). Effect of health education of sleep hygiene on sleep problems in preschoolers. </w:t>
      </w:r>
      <w:r>
        <w:rPr>
          <w:i/>
        </w:rPr>
        <w:t>Belitung Nursing Journal, 4</w:t>
      </w:r>
      <w:r>
        <w:t>(1), 68–75. doi:10.33546/bnj.208</w:t>
      </w:r>
    </w:p>
    <w:p w14:paraId="052F93B8" w14:textId="77777777" w:rsidR="0026259D" w:rsidRDefault="00000000" w:rsidP="00157339">
      <w:pPr>
        <w:ind w:left="720" w:hanging="720"/>
        <w:jc w:val="both"/>
      </w:pPr>
      <w:r>
        <w:t xml:space="preserve">Waits, A., Tang, Y.-R., Cheng, H.-M., Tai, C.-J., &amp; Chien, L.-Y. (2018). Acupressure effect on sleep quality: A systematic review and meta-analysis. </w:t>
      </w:r>
      <w:r>
        <w:rPr>
          <w:i/>
        </w:rPr>
        <w:t>Sleep Medicine Reviews, 37</w:t>
      </w:r>
      <w:r>
        <w:t>, 24–34. doi:10.1016/j.smrv.2016.12.004</w:t>
      </w:r>
    </w:p>
    <w:p w14:paraId="0D42B783" w14:textId="77777777" w:rsidR="0026259D" w:rsidRDefault="00000000" w:rsidP="00157339">
      <w:pPr>
        <w:ind w:left="720" w:hanging="720"/>
        <w:jc w:val="both"/>
      </w:pPr>
      <w:r>
        <w:t xml:space="preserve">Whelan, S., Mannion, A., Madden, A., Berger, F., Costello, R., Ghadiri, S., &amp; Leader, G. (2022). Examining the relationship between sleep quality, social functioning, and behavior problems in children with autism spectrum disorder: A systematic review. </w:t>
      </w:r>
      <w:r>
        <w:rPr>
          <w:i/>
        </w:rPr>
        <w:t>Nature and Science of Sleep, 14</w:t>
      </w:r>
      <w:r>
        <w:t>, 675–695. doi:10.2147/NSS.S239622</w:t>
      </w:r>
    </w:p>
    <w:p w14:paraId="5386E2DF" w14:textId="77777777" w:rsidR="0026259D" w:rsidRDefault="00000000" w:rsidP="00157339">
      <w:pPr>
        <w:ind w:left="720" w:hanging="720"/>
        <w:jc w:val="both"/>
      </w:pPr>
      <w:r>
        <w:t xml:space="preserve">Williams Buckley, A., Hirtz, D., Oskoui, M., Armstrong, M. J., Batra, A., Bridgemohan, C., ... Ashwal, S. (2020). Practice guideline: Treatment for insomnia and disrupted sleep </w:t>
      </w:r>
      <w:r>
        <w:lastRenderedPageBreak/>
        <w:t xml:space="preserve">behavior in children and adolescents with autism spectrum disorder: Report of the Guideline Development, Dissemination, and Implementation Subcommittee of the American Academy of Neurology. </w:t>
      </w:r>
      <w:r>
        <w:rPr>
          <w:i/>
        </w:rPr>
        <w:t>Neurology, 94</w:t>
      </w:r>
      <w:r>
        <w:t>(9), 392–404. doi:10.1212/WNL.0000000000009033</w:t>
      </w:r>
    </w:p>
    <w:p w14:paraId="78BA6D62" w14:textId="77777777" w:rsidR="0026259D" w:rsidRDefault="00000000" w:rsidP="00157339">
      <w:pPr>
        <w:ind w:left="720" w:hanging="720"/>
        <w:jc w:val="both"/>
      </w:pPr>
      <w:r>
        <w:t xml:space="preserve">Yavuz-Kodat, E., Reynaud, E., Geoffray, M.-M., Limousin, N., Franco, P., Bourgin, P., &amp; Schroder, C. M. (2019). Validity of actigraphy compared to polysomnography for sleep assessment in children with autism spectrum disorder. </w:t>
      </w:r>
      <w:r>
        <w:rPr>
          <w:i/>
        </w:rPr>
        <w:t>Frontiers in Psychiatry, 10</w:t>
      </w:r>
      <w:r>
        <w:t>, 551. doi:10.3389/fpsyt.2019.00551</w:t>
      </w:r>
    </w:p>
    <w:sectPr w:rsidR="0026259D">
      <w:pgSz w:w="11907" w:h="16839"/>
      <w:pgMar w:top="1417" w:right="1417" w:bottom="1417"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0D4A" w14:textId="77777777" w:rsidR="00482AB7" w:rsidRDefault="00482AB7">
      <w:r>
        <w:separator/>
      </w:r>
    </w:p>
  </w:endnote>
  <w:endnote w:type="continuationSeparator" w:id="0">
    <w:p w14:paraId="1DF8892C" w14:textId="77777777" w:rsidR="00482AB7" w:rsidRDefault="00482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AC7B732-14B9-40C7-96AE-535D6DCD81DE}"/>
    <w:embedBold r:id="rId2" w:fontKey="{CE5ADD93-7FCD-4BA5-8564-6E4E65057A16}"/>
    <w:embedItalic r:id="rId3" w:fontKey="{AD29C376-5930-4DEA-B5F5-1E0DA0D9FDE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BD106DE-EEBF-46F8-B96E-41DC16F89991}"/>
    <w:embedBold r:id="rId5" w:fontKey="{1BCB8903-CC0E-4374-B4F1-D3A6BA539F79}"/>
  </w:font>
  <w:font w:name="Georgia">
    <w:panose1 w:val="02040502050405020303"/>
    <w:charset w:val="00"/>
    <w:family w:val="roman"/>
    <w:pitch w:val="variable"/>
    <w:sig w:usb0="00000287" w:usb1="00000000" w:usb2="00000000" w:usb3="00000000" w:csb0="0000009F" w:csb1="00000000"/>
    <w:embedItalic r:id="rId6" w:fontKey="{5DB5B572-FC77-4B46-B6B5-3CF0C345F1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A71E" w14:textId="77777777" w:rsidR="00A01A77" w:rsidRDefault="00A01A77">
    <w:pPr>
      <w:pBdr>
        <w:top w:val="nil"/>
        <w:left w:val="nil"/>
        <w:bottom w:val="nil"/>
        <w:right w:val="nil"/>
        <w:between w:val="nil"/>
      </w:pBdr>
      <w:tabs>
        <w:tab w:val="center" w:pos="4513"/>
        <w:tab w:val="right" w:pos="9026"/>
      </w:tabs>
      <w:spacing w:after="200" w:line="276" w:lineRule="auto"/>
      <w:rPr>
        <w:rFonts w:ascii="Calibri" w:hAnsi="Calibri" w:cs="Calibri"/>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98BF" w14:textId="77777777" w:rsidR="00A01A77" w:rsidRDefault="00000000">
    <w:pPr>
      <w:pBdr>
        <w:top w:val="nil"/>
        <w:left w:val="nil"/>
        <w:bottom w:val="nil"/>
        <w:right w:val="nil"/>
        <w:between w:val="nil"/>
      </w:pBdr>
      <w:tabs>
        <w:tab w:val="center" w:pos="4513"/>
        <w:tab w:val="right" w:pos="9026"/>
      </w:tabs>
      <w:jc w:val="center"/>
      <w:rPr>
        <w:rFonts w:eastAsia="Times New Roman"/>
        <w:color w:val="000000"/>
        <w:sz w:val="18"/>
        <w:szCs w:val="18"/>
      </w:rPr>
    </w:pPr>
    <w:r>
      <w:rPr>
        <w:sz w:val="20"/>
      </w:rPr>
      <w:fldChar w:fldCharType="begin"/>
    </w:r>
    <w:r>
      <w:rPr>
        <w:sz w:val="20"/>
      </w:rPr>
      <w:instrText>PAGE</w:instrText>
    </w:r>
    <w:r>
      <w:rPr>
        <w:sz w:val="20"/>
      </w:rPr>
      <w:fldChar w:fldCharType="separate"/>
    </w:r>
    <w:r>
      <w:rPr>
        <w:sz w:val="20"/>
      </w:rPr>
      <w:t>1</w:t>
    </w:r>
    <w:r>
      <w:rPr>
        <w:sz w:val="20"/>
      </w:rPr>
      <w:fldChar w:fldCharType="end"/>
    </w:r>
  </w:p>
  <w:p w14:paraId="69DBBFD6" w14:textId="77777777" w:rsidR="00A01A77" w:rsidRDefault="00A01A77">
    <w:pPr>
      <w:pBdr>
        <w:top w:val="nil"/>
        <w:left w:val="nil"/>
        <w:bottom w:val="nil"/>
        <w:right w:val="nil"/>
        <w:between w:val="nil"/>
      </w:pBdr>
      <w:tabs>
        <w:tab w:val="center" w:pos="4513"/>
        <w:tab w:val="right" w:pos="9026"/>
      </w:tabs>
      <w:spacing w:after="200" w:line="276" w:lineRule="auto"/>
      <w:rPr>
        <w:rFonts w:ascii="Calibri" w:hAnsi="Calibri" w:cs="Calibri"/>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6202" w14:textId="77777777" w:rsidR="00A01A77" w:rsidRDefault="00A01A77">
    <w:pPr>
      <w:pBdr>
        <w:top w:val="nil"/>
        <w:left w:val="nil"/>
        <w:bottom w:val="nil"/>
        <w:right w:val="nil"/>
        <w:between w:val="nil"/>
      </w:pBdr>
      <w:tabs>
        <w:tab w:val="center" w:pos="4513"/>
        <w:tab w:val="right" w:pos="9026"/>
      </w:tabs>
      <w:spacing w:after="200" w:line="276" w:lineRule="auto"/>
      <w:rPr>
        <w:rFonts w:eastAsia="Times New Roman"/>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95FD" w14:textId="77777777" w:rsidR="00482AB7" w:rsidRDefault="00482AB7">
      <w:r>
        <w:separator/>
      </w:r>
    </w:p>
  </w:footnote>
  <w:footnote w:type="continuationSeparator" w:id="0">
    <w:p w14:paraId="1B4A4516" w14:textId="77777777" w:rsidR="00482AB7" w:rsidRDefault="00482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7364" w14:textId="77777777" w:rsidR="00A01A77" w:rsidRDefault="00A01A77">
    <w:pPr>
      <w:pBdr>
        <w:top w:val="nil"/>
        <w:left w:val="nil"/>
        <w:bottom w:val="nil"/>
        <w:right w:val="nil"/>
        <w:between w:val="nil"/>
      </w:pBdr>
      <w:tabs>
        <w:tab w:val="center" w:pos="4513"/>
        <w:tab w:val="right" w:pos="9026"/>
      </w:tabs>
      <w:spacing w:line="276" w:lineRule="auto"/>
      <w:jc w:val="center"/>
      <w:rPr>
        <w:rFonts w:ascii="Calibri" w:hAnsi="Calibri" w:cs="Calibri"/>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DE57" w14:textId="77777777" w:rsidR="00A01A77" w:rsidRDefault="00A01A77">
    <w:pPr>
      <w:pStyle w:val="Title"/>
      <w:spacing w:after="0"/>
      <w:jc w:val="center"/>
      <w:rPr>
        <w:color w:val="4F81B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2E19" w14:textId="77777777" w:rsidR="00A01A77" w:rsidRDefault="00A01A77">
    <w:pPr>
      <w:pStyle w:val="Title"/>
      <w:pBdr>
        <w:bottom w:val="single" w:sz="12" w:space="9" w:color="39A5B7"/>
      </w:pBdr>
      <w:spacing w:after="0"/>
      <w:jc w:val="center"/>
      <w:rPr>
        <w:color w:val="4F81BD"/>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77"/>
    <w:rsid w:val="00157339"/>
    <w:rsid w:val="001A6D12"/>
    <w:rsid w:val="0026259D"/>
    <w:rsid w:val="00470E71"/>
    <w:rsid w:val="00482AB7"/>
    <w:rsid w:val="006462DB"/>
    <w:rsid w:val="006F0D82"/>
    <w:rsid w:val="007F37FB"/>
    <w:rsid w:val="0087259C"/>
    <w:rsid w:val="00A01A77"/>
    <w:rsid w:val="00A04D76"/>
    <w:rsid w:val="00F864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2381"/>
  <w15:docId w15:val="{072F9F06-07DB-4A17-BDB1-E7DA47D2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4"/>
    </w:rPr>
  </w:style>
  <w:style w:type="paragraph" w:styleId="Heading1">
    <w:name w:val="heading 1"/>
    <w:basedOn w:val="Normal"/>
    <w:next w:val="Normal"/>
    <w:uiPriority w:val="9"/>
    <w:qFormat/>
    <w:pPr>
      <w:spacing w:before="100" w:after="100"/>
      <w:outlineLvl w:val="0"/>
    </w:pPr>
    <w:rPr>
      <w:rFonts w:eastAsia="Times New Roman"/>
      <w:b/>
      <w:bCs/>
      <w:sz w:val="48"/>
      <w:szCs w:val="48"/>
    </w:rPr>
  </w:style>
  <w:style w:type="paragraph" w:styleId="Heading2">
    <w:name w:val="heading 2"/>
    <w:basedOn w:val="Normal"/>
    <w:next w:val="Normal"/>
    <w:uiPriority w:val="9"/>
    <w:semiHidden/>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12" w:space="4" w:color="39A5B7"/>
      </w:pBdr>
      <w:spacing w:after="120"/>
    </w:pPr>
    <w:rPr>
      <w:rFonts w:ascii="Cambria" w:eastAsia="Cambria" w:hAnsi="Cambria" w:cs="Cambria"/>
      <w:color w:val="39A5B7"/>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7</Pages>
  <Words>2779</Words>
  <Characters>15844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Effect of a MEPISHA Integrative Nursing Intervention on Sleep and Emotional Problems in Children With Autism Spectrum Disorder</vt:lpstr>
    </vt:vector>
  </TitlesOfParts>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a MEPISHA Integrative Nursing Intervention on Sleep and Emotional Problems in Children With Autism Spectrum Disorder</dc:title>
  <dc:subject>Revised for Journal of Nursing Practice</dc:subject>
  <dc:creator>Dewi Umu Kulsum; Intansari Nurjannah; Sri Hartini; Elisabeth Siti Herini</dc:creator>
  <cp:keywords>autism spectrum disorder; sleep disturbance; pediatric nursing; complementary therapy</cp:keywords>
  <dc:description/>
  <cp:lastModifiedBy>PT. ANOA SEJAHTERA MANDIRI 06</cp:lastModifiedBy>
  <cp:revision>5</cp:revision>
  <dcterms:created xsi:type="dcterms:W3CDTF">2026-06-25T01:36:00Z</dcterms:created>
  <dcterms:modified xsi:type="dcterms:W3CDTF">2026-06-27T02:37:00Z</dcterms:modified>
</cp:coreProperties>
</file>