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703B" w14:textId="3FC1F458" w:rsidR="009F2AF7" w:rsidRPr="00C30B65" w:rsidRDefault="005D2F7A" w:rsidP="005D2F7A">
      <w:pPr>
        <w:ind w:left="284" w:right="284" w:firstLine="0"/>
        <w:jc w:val="center"/>
        <w:rPr>
          <w:b/>
          <w:bCs/>
          <w:sz w:val="28"/>
          <w:szCs w:val="28"/>
        </w:rPr>
      </w:pPr>
      <w:r w:rsidRPr="005D2F7A">
        <w:rPr>
          <w:b/>
          <w:bCs/>
          <w:sz w:val="28"/>
          <w:szCs w:val="28"/>
        </w:rPr>
        <w:t>From Power Relations to a Culture of Silence: Mechanisms of Sexual Violence and the Need for PPKS Education at Three Indonesian Universities</w:t>
      </w:r>
    </w:p>
    <w:p w14:paraId="01F5C43B" w14:textId="77777777" w:rsidR="00B13585" w:rsidRDefault="00B13585" w:rsidP="005F733E">
      <w:pPr>
        <w:spacing w:line="240" w:lineRule="auto"/>
        <w:ind w:firstLine="0"/>
      </w:pPr>
    </w:p>
    <w:p w14:paraId="0F64C440" w14:textId="1D64C88D" w:rsidR="005F733E" w:rsidRPr="005F733E" w:rsidRDefault="00BB58A7" w:rsidP="005F733E">
      <w:pPr>
        <w:spacing w:line="240" w:lineRule="auto"/>
        <w:ind w:firstLine="0"/>
        <w:jc w:val="center"/>
        <w:rPr>
          <w:sz w:val="22"/>
          <w:szCs w:val="22"/>
          <w:vertAlign w:val="superscript"/>
        </w:rPr>
      </w:pPr>
      <w:r>
        <w:rPr>
          <w:sz w:val="22"/>
          <w:szCs w:val="22"/>
        </w:rPr>
        <w:t>Author</w:t>
      </w:r>
      <w:r w:rsidR="005F733E" w:rsidRPr="005F733E">
        <w:rPr>
          <w:sz w:val="22"/>
          <w:szCs w:val="22"/>
          <w:vertAlign w:val="superscript"/>
        </w:rPr>
        <w:t>1</w:t>
      </w:r>
      <w:r w:rsidR="005F733E" w:rsidRPr="005F733E">
        <w:rPr>
          <w:sz w:val="22"/>
          <w:szCs w:val="22"/>
        </w:rPr>
        <w:t>, Author</w:t>
      </w:r>
      <w:r w:rsidR="005F733E" w:rsidRPr="005F733E">
        <w:rPr>
          <w:sz w:val="22"/>
          <w:szCs w:val="22"/>
          <w:vertAlign w:val="superscript"/>
        </w:rPr>
        <w:t>2</w:t>
      </w:r>
    </w:p>
    <w:p w14:paraId="454651FB" w14:textId="7EE17126" w:rsidR="005F733E" w:rsidRPr="005F733E" w:rsidRDefault="005F733E" w:rsidP="005F733E">
      <w:pPr>
        <w:spacing w:line="240" w:lineRule="auto"/>
        <w:ind w:firstLine="0"/>
        <w:jc w:val="center"/>
        <w:rPr>
          <w:sz w:val="22"/>
          <w:szCs w:val="22"/>
        </w:rPr>
      </w:pPr>
      <w:r w:rsidRPr="005F733E">
        <w:rPr>
          <w:sz w:val="22"/>
          <w:szCs w:val="22"/>
        </w:rPr>
        <w:t>Afiliasi</w:t>
      </w:r>
    </w:p>
    <w:p w14:paraId="77FE3804" w14:textId="77777777" w:rsidR="005F733E" w:rsidRDefault="005F733E" w:rsidP="005F733E">
      <w:pPr>
        <w:spacing w:line="240" w:lineRule="auto"/>
        <w:ind w:firstLine="0"/>
      </w:pPr>
    </w:p>
    <w:p w14:paraId="71A82E3D" w14:textId="576E2785" w:rsidR="00B13585" w:rsidRDefault="00B13585" w:rsidP="00B13585">
      <w:pPr>
        <w:pStyle w:val="Heading1"/>
        <w:numPr>
          <w:ilvl w:val="0"/>
          <w:numId w:val="0"/>
        </w:numPr>
        <w:ind w:left="-40"/>
        <w:jc w:val="center"/>
      </w:pPr>
      <w:r w:rsidRPr="0069261B">
        <w:t>Abstrak</w:t>
      </w:r>
    </w:p>
    <w:p w14:paraId="131B31E9" w14:textId="1B2C7347" w:rsidR="000E7F2F" w:rsidRDefault="00D60DD5" w:rsidP="00FB0D6A">
      <w:pPr>
        <w:spacing w:line="240" w:lineRule="auto"/>
        <w:ind w:firstLine="0"/>
      </w:pPr>
      <w:r w:rsidRPr="00D60DD5">
        <w:t xml:space="preserve">Kekerasan seksual di perguruan tinggi merupakan persoalan serius yang tidak hanya berkaitan dengan perilaku individu, tetapi juga dipengaruhi oleh relasi kuasa, budaya patriarki, rendahnya pemahaman warga kampus, serta belum optimalnya mekanisme pencegahan dan penanganan. </w:t>
      </w:r>
      <w:r w:rsidR="0041157D" w:rsidRPr="0041157D">
        <w:t>Penelitian ini bertujuan untuk menganalisis mekanisme terbentuknya budaya diam dalam kasus kekerasan seksual di perguruan tinggi melalui keterhubungan relasi kuasa, normalisasi tindakan seksual, literasi warga kampus, dan akses terhadap mekanisme pelaporan.</w:t>
      </w:r>
      <w:r w:rsidR="0041157D">
        <w:t xml:space="preserve"> </w:t>
      </w:r>
      <w:r w:rsidRPr="00D60DD5">
        <w:t xml:space="preserve">Penelitian dilakukan pada tiga universitas di Indonesia, yaitu Universitas Halu Oleo, Universitas Islam Indonesia, dan Universitas Syiah Kuala. Metode yang digunakan adalah pendekatan campuran melalui survei, wawancara mendalam, focus group discussion, observasi, dan telaah dokumen. </w:t>
      </w:r>
      <w:r w:rsidR="00FB0D6A" w:rsidRPr="00FB0D6A">
        <w:t>Hasil penelitian menunjukkan bahwa budaya diam terbentuk melalui ketimpangan relasi kuasa, normalisasi tindakan seksual, keterbatasan literasi, ketakutan terhadap konsekuensi akademik dan sosial, serta rendahnya kepercayaan terhadap mekanisme pelaporan kampus</w:t>
      </w:r>
      <w:r w:rsidR="00F83ED8">
        <w:t>.</w:t>
      </w:r>
      <w:r w:rsidR="00FB0D6A">
        <w:t xml:space="preserve"> </w:t>
      </w:r>
      <w:r w:rsidR="00FB0D6A" w:rsidRPr="00FB0D6A">
        <w:t>Penguatan pendidikan PPKS dan mekanisme pelaporan yang aman, rahasia, mudah diakses, dan berpihak kepada korban diperlukan untuk memutus proses normalisasi serta budaya diam di lingkungan perguruan tinggi.</w:t>
      </w:r>
    </w:p>
    <w:p w14:paraId="0D007540" w14:textId="0C0F892F" w:rsidR="000E7F2F" w:rsidRDefault="000E7F2F" w:rsidP="00A10432">
      <w:pPr>
        <w:pBdr>
          <w:bottom w:val="single" w:sz="6" w:space="1" w:color="auto"/>
        </w:pBdr>
        <w:spacing w:line="240" w:lineRule="auto"/>
        <w:ind w:left="1276" w:hanging="1276"/>
      </w:pPr>
      <w:r w:rsidRPr="000E7F2F">
        <w:rPr>
          <w:b/>
          <w:bCs/>
        </w:rPr>
        <w:t>Kata kunci:</w:t>
      </w:r>
      <w:r>
        <w:tab/>
      </w:r>
      <w:r w:rsidR="00A10432" w:rsidRPr="00A10432">
        <w:t>bahan ajar, kekerasan seksual, kurikulum, pembelajaran, perguruan tinggi</w:t>
      </w:r>
      <w:r w:rsidR="0069261B">
        <w:t>.</w:t>
      </w:r>
    </w:p>
    <w:p w14:paraId="0E142B77" w14:textId="7AC8613F" w:rsidR="00B13585" w:rsidRPr="0069261B" w:rsidRDefault="00B13585" w:rsidP="00B13585">
      <w:pPr>
        <w:pStyle w:val="Heading1"/>
        <w:numPr>
          <w:ilvl w:val="0"/>
          <w:numId w:val="0"/>
        </w:numPr>
        <w:ind w:left="-40"/>
        <w:jc w:val="center"/>
        <w:rPr>
          <w:i/>
          <w:iCs/>
        </w:rPr>
      </w:pPr>
      <w:r w:rsidRPr="0069261B">
        <w:rPr>
          <w:i/>
          <w:iCs/>
        </w:rPr>
        <w:t>Abstract</w:t>
      </w:r>
    </w:p>
    <w:p w14:paraId="72908847" w14:textId="7FA2C74A" w:rsidR="004301C4" w:rsidRPr="0069261B" w:rsidRDefault="0075254D" w:rsidP="0075254D">
      <w:pPr>
        <w:spacing w:line="240" w:lineRule="auto"/>
        <w:ind w:firstLine="0"/>
        <w:rPr>
          <w:i/>
          <w:iCs/>
        </w:rPr>
      </w:pPr>
      <w:r w:rsidRPr="0075254D">
        <w:rPr>
          <w:i/>
          <w:iCs/>
        </w:rPr>
        <w:t>Sexual violence in higher education is a serious issue that is shaped not only by individual behavior but also by power imbalances, patriarchal culture, limited awareness among campus communities, and inadequate prevention and response mechanisms. This study aims to analyze the mechanisms through which a culture of silence is formed in cases of sexual violence in higher education by examining the interconnections among power relations, the normalization of sexual misconduct, campus community literacy, and access to reporting mechanisms. The study was conducted at three Indonesian universities: Halu Oleo University, Universitas Islam Indonesia, and Syiah Kuala University. A mixed-methods approach was employed using surveys, in-depth interviews, focus group discussions, observations, and document reviews. The findings indicate that a culture of silence is shaped by unequal power relations, the normalization of sexual misconduct, limited literacy, fear of academic and social consequences, and low levels of trust in campus reporting mechanisms. Strengthening education on the prevention and response to sexual violence, along with reporting mechanisms that are safe, confidential, accessible, and survivor-centered, is necessary to disrupt the normalization of sexual violence and the culture of silence in higher education.</w:t>
      </w:r>
    </w:p>
    <w:p w14:paraId="40BF4AD8" w14:textId="680046AC" w:rsidR="004301C4" w:rsidRPr="0069261B" w:rsidRDefault="004301C4" w:rsidP="001F194C">
      <w:pPr>
        <w:pBdr>
          <w:bottom w:val="single" w:sz="6" w:space="1" w:color="auto"/>
        </w:pBdr>
        <w:spacing w:line="240" w:lineRule="auto"/>
        <w:ind w:left="1276" w:hanging="1276"/>
        <w:rPr>
          <w:i/>
          <w:iCs/>
        </w:rPr>
      </w:pPr>
      <w:r w:rsidRPr="0069261B">
        <w:rPr>
          <w:b/>
          <w:bCs/>
          <w:i/>
          <w:iCs/>
        </w:rPr>
        <w:lastRenderedPageBreak/>
        <w:t>Keywords:</w:t>
      </w:r>
      <w:r w:rsidRPr="0069261B">
        <w:rPr>
          <w:i/>
          <w:iCs/>
        </w:rPr>
        <w:tab/>
      </w:r>
      <w:r w:rsidR="001F194C" w:rsidRPr="001F194C">
        <w:rPr>
          <w:i/>
          <w:iCs/>
        </w:rPr>
        <w:t>curriculum, higher education, learning, sexual violence, teaching materials</w:t>
      </w:r>
      <w:r w:rsidRPr="0069261B">
        <w:rPr>
          <w:i/>
          <w:iCs/>
        </w:rPr>
        <w:t>.</w:t>
      </w:r>
    </w:p>
    <w:p w14:paraId="37368621" w14:textId="77777777" w:rsidR="004301C4" w:rsidRPr="004301C4" w:rsidRDefault="004301C4" w:rsidP="004301C4"/>
    <w:p w14:paraId="4C47DA88" w14:textId="34F02089" w:rsidR="00B13585" w:rsidRDefault="00B1677D" w:rsidP="00B13585">
      <w:pPr>
        <w:pStyle w:val="Heading1"/>
      </w:pPr>
      <w:r w:rsidRPr="00B1677D">
        <w:t>INTRODUCTION</w:t>
      </w:r>
    </w:p>
    <w:p w14:paraId="38A79EBC" w14:textId="78821F88" w:rsidR="008705A4" w:rsidRPr="008705A4" w:rsidRDefault="00314229" w:rsidP="008705A4">
      <w:r w:rsidRPr="00314229">
        <w:t>Sexual violence in higher education institutions remains a serious issue that requires attention from various stakeholders. Universities, which should serve as safe spaces for learning, developing personal potential, and building academic relationships, are not entirely free from sexual violence. Cases of sexual violence may occur in various campus activities, including lectures, academic supervision, research, student organizations, fieldwork, and informal interactions within the campus environment</w:t>
      </w:r>
      <w:r w:rsidR="00853CC1">
        <w:t xml:space="preserve"> </w:t>
      </w:r>
      <w:r w:rsidR="00853CC1">
        <w:fldChar w:fldCharType="begin" w:fldLock="1"/>
      </w:r>
      <w:r w:rsidR="00FC2397">
        <w:instrText>ADDIN CSL_CITATION {"citationItems":[{"id":"ITEM-1","itemData":{"author":[{"dropping-particle":"","family":"Linder","given":"Chris","non-dropping-particle":"","parse-names":false,"suffix":""}],"id":"ITEM-1","issued":{"date-parts":[["2024"]]},"publisher":"Emerald Group Publishing","title":"Sexual violence on campus: Power-conscious approaches to awareness, prevention, and response","type":"book"},"uris":["http://www.mendeley.com/documents/?uuid=a29e4772-29f1-4c92-9160-0ad98d0698bd"]}],"mendeley":{"formattedCitation":"(Linder, 2024)","plainTextFormattedCitation":"(Linder, 2024)","previouslyFormattedCitation":"(Linder, 2024)"},"properties":{"noteIndex":0},"schema":"https://github.com/citation-style-language/schema/raw/master/csl-citation.json"}</w:instrText>
      </w:r>
      <w:r w:rsidR="00853CC1">
        <w:fldChar w:fldCharType="separate"/>
      </w:r>
      <w:r w:rsidR="00853CC1" w:rsidRPr="00853CC1">
        <w:rPr>
          <w:noProof/>
        </w:rPr>
        <w:t>(Linder, 2024)</w:t>
      </w:r>
      <w:r w:rsidR="00853CC1">
        <w:fldChar w:fldCharType="end"/>
      </w:r>
      <w:r w:rsidR="008705A4" w:rsidRPr="008705A4">
        <w:t xml:space="preserve">. </w:t>
      </w:r>
      <w:r w:rsidRPr="00314229">
        <w:t>Sexual violence in higher education also demonstrates that academic spaces can become unsafe when social and institutional relations are not supported by strong protection mechanisms</w:t>
      </w:r>
      <w:r w:rsidR="00FC2397">
        <w:t xml:space="preserve"> </w:t>
      </w:r>
      <w:r w:rsidR="00FC2397">
        <w:fldChar w:fldCharType="begin" w:fldLock="1"/>
      </w:r>
      <w:r w:rsidR="00440DCC">
        <w:instrText>ADDIN CSL_CITATION {"citationItems":[{"id":"ITEM-1","itemData":{"DOI":"10.15548/jk.v11i1.379","author":[{"dropping-particle":"","family":"Marfu’ah","given":"Usfiyatul","non-dropping-particle":"","parse-names":false,"suffix":""},{"dropping-particle":"","family":"Rofi’ah","given":"Siti","non-dropping-particle":"","parse-names":false,"suffix":""},{"dropping-particle":"","family":"Maksun","given":"M","non-dropping-particle":"","parse-names":false,"suffix":""}],"container-title":"Kafa’ah: Journal of Gender Studies","id":"ITEM-1","issue":"1","issued":{"date-parts":[["2021"]]},"page":"95-106","title":"Sistem Pencegahan Dan Penanganan Kekerasan Seksual Di Kampus","type":"article-journal","volume":"11"},"uris":["http://www.mendeley.com/documents/?uuid=9839f5a0-0ffd-4bbf-ada4-0e7e2918faa2"]}],"mendeley":{"formattedCitation":"(Marfu’ah et al., 2021)","plainTextFormattedCitation":"(Marfu’ah et al., 2021)","previouslyFormattedCitation":"(Marfu’ah et al., 2021)"},"properties":{"noteIndex":0},"schema":"https://github.com/citation-style-language/schema/raw/master/csl-citation.json"}</w:instrText>
      </w:r>
      <w:r w:rsidR="00FC2397">
        <w:fldChar w:fldCharType="separate"/>
      </w:r>
      <w:r w:rsidR="00FC2397" w:rsidRPr="00FC2397">
        <w:rPr>
          <w:noProof/>
        </w:rPr>
        <w:t>(Marfu’ah et al., 2021)</w:t>
      </w:r>
      <w:r w:rsidR="00FC2397">
        <w:fldChar w:fldCharType="end"/>
      </w:r>
      <w:r w:rsidR="008705A4" w:rsidRPr="008705A4">
        <w:t>.</w:t>
      </w:r>
    </w:p>
    <w:p w14:paraId="037D023D" w14:textId="77777777" w:rsidR="00C9113C" w:rsidRPr="00C9113C" w:rsidRDefault="00153C13" w:rsidP="00C9113C">
      <w:r w:rsidRPr="00153C13">
        <w:t>Cases of sexual violence in higher education are often described as an iceberg phenomenon because only a small proportion of cases become publicly known. Many survivors choose to remain silent because they feel ashamed, fear stigmatization, or are concerned that they will not receive adequate protection from their institutions</w:t>
      </w:r>
      <w:r w:rsidR="00440DCC">
        <w:t xml:space="preserve"> </w:t>
      </w:r>
      <w:r w:rsidR="00440DCC">
        <w:fldChar w:fldCharType="begin" w:fldLock="1"/>
      </w:r>
      <w:r w:rsidR="00D57040">
        <w:instrText>ADDIN CSL_CITATION {"citationItems":[{"id":"ITEM-1","itemData":{"DOI":"10.22373/equality.v7i2.9869","author":[{"dropping-particle":"","family":"Fitri","given":"Ainal","non-dropping-particle":"","parse-names":false,"suffix":""},{"dropping-particle":"","family":"Haekal","given":"Muhammad","non-dropping-particle":"","parse-names":false,"suffix":""},{"dropping-particle":"","family":"Almukarramah","given":"Almukarramah","non-dropping-particle":"","parse-names":false,"suffix":""},{"dropping-particle":"","family":"Sari","given":"Fitri Meliya","non-dropping-particle":"","parse-names":false,"suffix":""}],"container-title":"Gender Equality: International Journal of Child and Gender Studies","id":"ITEM-1","issue":"2","issued":{"date-parts":[["2021"]]},"page":"153-167","title":"Sexual violence in Indonesian University: On students’ critical consciousness and agency","type":"article-journal","volume":"7"},"uris":["http://www.mendeley.com/documents/?uuid=eebb44cd-8bf0-459d-9dcd-0614958d3379"]}],"mendeley":{"formattedCitation":"(Fitri et al., 2021)","plainTextFormattedCitation":"(Fitri et al., 2021)","previouslyFormattedCitation":"(Fitri et al., 2021)"},"properties":{"noteIndex":0},"schema":"https://github.com/citation-style-language/schema/raw/master/csl-citation.json"}</w:instrText>
      </w:r>
      <w:r w:rsidR="00440DCC">
        <w:fldChar w:fldCharType="separate"/>
      </w:r>
      <w:r w:rsidR="00440DCC" w:rsidRPr="00440DCC">
        <w:rPr>
          <w:noProof/>
        </w:rPr>
        <w:t>(Fitri et al., 2021)</w:t>
      </w:r>
      <w:r w:rsidR="00440DCC">
        <w:fldChar w:fldCharType="end"/>
      </w:r>
      <w:r w:rsidR="008705A4" w:rsidRPr="008705A4">
        <w:t xml:space="preserve">. </w:t>
      </w:r>
      <w:r w:rsidR="00C9113C" w:rsidRPr="00C9113C">
        <w:t>Survivors may also experience psychological distress that makes the reporting process even more difficult. Sexual violence has serious consequences for survivors, particularly in psychological, social, and academic aspects, as well as in their sense of safety when participating in educational activities</w:t>
      </w:r>
      <w:r w:rsidR="008705A4">
        <w:t xml:space="preserve"> </w:t>
      </w:r>
      <w:r w:rsidR="008705A4">
        <w:fldChar w:fldCharType="begin" w:fldLock="1"/>
      </w:r>
      <w:r w:rsidR="00853CC1">
        <w:instrText>ADDIN CSL_CITATION {"citationItems":[{"id":"ITEM-1","itemData":{"DOI":"10.1037/vio0000374","author":[{"dropping-particle":"","family":"Dworkin","given":"Emily R","non-dropping-particle":"","parse-names":false,"suffix":""},{"dropping-particle":"","family":"Krahé","given":"Barbara","non-dropping-particle":"","parse-names":false,"suffix":""},{"dropping-particle":"","family":"Zinzow","given":"Heidi","non-dropping-particle":"","parse-names":false,"suffix":""}],"container-title":"Psychology of violence","id":"ITEM-1","issue":"5","issued":{"date-parts":[["2021"]]},"page":"497","publisher":"Educational Publishing Foundation","title":"The global prevalence of sexual assault: A systematic review of international research since 2010.","type":"article-journal","volume":"11"},"uris":["http://www.mendeley.com/documents/?uuid=2007e292-349b-4660-b949-b796baad5561"]}],"mendeley":{"formattedCitation":"(Dworkin et al., 2021)","plainTextFormattedCitation":"(Dworkin et al., 2021)","previouslyFormattedCitation":"(Dworkin et al., 2021)"},"properties":{"noteIndex":0},"schema":"https://github.com/citation-style-language/schema/raw/master/csl-citation.json"}</w:instrText>
      </w:r>
      <w:r w:rsidR="008705A4">
        <w:fldChar w:fldCharType="separate"/>
      </w:r>
      <w:r w:rsidR="008705A4" w:rsidRPr="008705A4">
        <w:rPr>
          <w:noProof/>
        </w:rPr>
        <w:t>(Dworkin et al., 2021)</w:t>
      </w:r>
      <w:r w:rsidR="008705A4">
        <w:fldChar w:fldCharType="end"/>
      </w:r>
      <w:r w:rsidR="008705A4" w:rsidRPr="008705A4">
        <w:t xml:space="preserve">. </w:t>
      </w:r>
      <w:r w:rsidR="00C9113C" w:rsidRPr="00C9113C">
        <w:t>The low reporting rate indicates that systems for preventing and addressing sexual violence in higher education institutions still require substantial improvement.</w:t>
      </w:r>
    </w:p>
    <w:p w14:paraId="2CBC90C9" w14:textId="54B662A5" w:rsidR="008705A4" w:rsidRPr="008705A4" w:rsidRDefault="00C9113C" w:rsidP="00C9113C">
      <w:r w:rsidRPr="00C9113C">
        <w:t>Sexual violence on campus cannot be understood merely as an individual act. This issue is closely related to unequal power relations between perpetrators and survivors. Power imbalances may arise in relationships between lecturers and students, seniors and juniors, leaders and subordinates, or individuals who hold authority and those in more vulnerable positions. Unequal power relations often place survivors in a difficult position to refuse, report the incident, or obtain justice</w:t>
      </w:r>
      <w:r w:rsidR="008705A4" w:rsidRPr="008705A4">
        <w:t xml:space="preserve"> </w:t>
      </w:r>
      <w:r w:rsidR="00D57040">
        <w:fldChar w:fldCharType="begin" w:fldLock="1"/>
      </w:r>
      <w:r w:rsidR="00473AD7">
        <w:instrText>ADDIN CSL_CITATION {"citationItems":[{"id":"ITEM-1","itemData":{"DOI":"10.20414/qawwam.v14i2.2875","author":[{"dropping-particle":"","family":"Nikmatullah","given":"Nikmatullah","non-dropping-particle":"","parse-names":false,"suffix":""}],"container-title":"QAWWAM: Journal for gender mainstreaming","id":"ITEM-1","issue":"2","issued":{"date-parts":[["2020"]]},"page":"37-53","title":"Demi nama baik kampus vs perlindungan korban: kasus kekerasan seksual di kampus","type":"article-journal","volume":"14"},"uris":["http://www.mendeley.com/documents/?uuid=a5f12a28-dcd6-4d5e-9b63-5c2d9d40d108"]}],"mendeley":{"formattedCitation":"(Nikmatullah, 2020)","plainTextFormattedCitation":"(Nikmatullah, 2020)","previouslyFormattedCitation":"(Nikmatullah, 2020)"},"properties":{"noteIndex":0},"schema":"https://github.com/citation-style-language/schema/raw/master/csl-citation.json"}</w:instrText>
      </w:r>
      <w:r w:rsidR="00D57040">
        <w:fldChar w:fldCharType="separate"/>
      </w:r>
      <w:r w:rsidR="00D57040" w:rsidRPr="00D57040">
        <w:rPr>
          <w:noProof/>
        </w:rPr>
        <w:t>(Nikmatullah, 2020)</w:t>
      </w:r>
      <w:r w:rsidR="00D57040">
        <w:fldChar w:fldCharType="end"/>
      </w:r>
      <w:r w:rsidR="008705A4" w:rsidRPr="008705A4">
        <w:t xml:space="preserve">. </w:t>
      </w:r>
      <w:r w:rsidRPr="00C9113C">
        <w:t>Patriarchal culture also increases survivors’ vulnerability because women are often placed in unequal positions within social and academic relationships</w:t>
      </w:r>
      <w:r w:rsidR="008705A4" w:rsidRPr="008705A4">
        <w:t xml:space="preserve"> </w:t>
      </w:r>
      <w:r w:rsidR="00473AD7">
        <w:fldChar w:fldCharType="begin" w:fldLock="1"/>
      </w:r>
      <w:r w:rsidR="00473AD7">
        <w:instrText>ADDIN CSL_CITATION {"citationItems":[{"id":"ITEM-1","itemData":{"DOI":"10.36080/djk.1311","author":[{"dropping-particle":"","family":"Soejoeti","given":"Ariani Hasanah","non-dropping-particle":"","parse-names":false,"suffix":""},{"dropping-particle":"","family":"Susanti","given":"Vinita","non-dropping-particle":"","parse-names":false,"suffix":""}],"container-title":"Deviance Jurnal kriminologi","id":"ITEM-1","issue":"1","issued":{"date-parts":[["2020"]]},"page":"67-83","title":"Diskusi Keadilan Restoratif dalam Konteks Kekerasan Seksual di Kampus","type":"article-journal","volume":"4"},"uris":["http://www.mendeley.com/documents/?uuid=3bb87e1c-d46f-4b2d-b69b-a001b24ff80f"]}],"mendeley":{"formattedCitation":"(Soejoeti &amp; Susanti, 2020)","plainTextFormattedCitation":"(Soejoeti &amp; Susanti, 2020)","previouslyFormattedCitation":"(Soejoeti &amp; Susanti, 2020)"},"properties":{"noteIndex":0},"schema":"https://github.com/citation-style-language/schema/raw/master/csl-citation.json"}</w:instrText>
      </w:r>
      <w:r w:rsidR="00473AD7">
        <w:fldChar w:fldCharType="separate"/>
      </w:r>
      <w:r w:rsidR="00473AD7" w:rsidRPr="00473AD7">
        <w:rPr>
          <w:noProof/>
        </w:rPr>
        <w:t>(Soejoeti &amp; Susanti, 2020)</w:t>
      </w:r>
      <w:r w:rsidR="00473AD7">
        <w:fldChar w:fldCharType="end"/>
      </w:r>
      <w:r w:rsidR="008705A4" w:rsidRPr="008705A4">
        <w:t>.</w:t>
      </w:r>
    </w:p>
    <w:p w14:paraId="7D53A801" w14:textId="101C3152" w:rsidR="00916235" w:rsidRDefault="002845EC" w:rsidP="002845EC">
      <w:r w:rsidRPr="002845EC">
        <w:t xml:space="preserve">The Indonesian government responded to this issue by issuing Regulation of the Minister of Education, Culture, Research, and Technology Number 30 of 2021 concerning the Prevention and Handling of Sexual Violence in Higher Education Institutions. This regulation provides an important foundation for universities to establish systems for preventing, reporting, assisting, and handling cases of sexual violence. From a legal perspective, Ministerial Regulation Number 30 of 2021 provides regulatory guidance for higher education institutions in </w:t>
      </w:r>
      <w:r w:rsidRPr="002845EC">
        <w:lastRenderedPageBreak/>
        <w:t>developing systems for preventing and addressing sexual violence on campus</w:t>
      </w:r>
      <w:r w:rsidR="00095E91">
        <w:t xml:space="preserve"> </w:t>
      </w:r>
      <w:r w:rsidR="00095E91">
        <w:fldChar w:fldCharType="begin" w:fldLock="1"/>
      </w:r>
      <w:r w:rsidR="00095E91">
        <w:instrText>ADDIN CSL_CITATION {"citationItems":[{"id":"ITEM-1","itemData":{"DOI":"10.35194/jhmj.v8i1.2464","author":[{"dropping-particle":"","family":"Saraswati","given":"Nadhira Diva","non-dropping-particle":"","parse-names":false,"suffix":""},{"dropping-particle":"","family":"Sewu","given":"Pan Lindawaty Suherman","non-dropping-particle":"","parse-names":false,"suffix":""}],"container-title":"Jurnal Hukum Mimbar Justitia","id":"ITEM-1","issue":"1","issued":{"date-parts":[["2022"]]},"page":"115-137","title":"Arah pengaturan hukum pencegahan dan penanganan kekerasan seksual di kampus menurut peraturan menteri pendidikan, kebudayaan, riset, dan teknologi nomor 30 tahun 2021 tentang pencegahan dan penanganan kekerasan seksual di lingkungan perguruan tinggi","type":"article-journal","volume":"8"},"uris":["http://www.mendeley.com/documents/?uuid=e0d5448f-bb2f-4f63-8fd8-bc6065d59b41"]}],"mendeley":{"formattedCitation":"(Saraswati &amp; Sewu, 2022)","plainTextFormattedCitation":"(Saraswati &amp; Sewu, 2022)"},"properties":{"noteIndex":0},"schema":"https://github.com/citation-style-language/schema/raw/master/csl-citation.json"}</w:instrText>
      </w:r>
      <w:r w:rsidR="00095E91">
        <w:fldChar w:fldCharType="separate"/>
      </w:r>
      <w:r w:rsidR="00095E91" w:rsidRPr="00095E91">
        <w:rPr>
          <w:noProof/>
        </w:rPr>
        <w:t>(Saraswati &amp; Sewu, 2022)</w:t>
      </w:r>
      <w:r w:rsidR="00095E91">
        <w:fldChar w:fldCharType="end"/>
      </w:r>
      <w:r w:rsidR="00095E91">
        <w:t xml:space="preserve">. </w:t>
      </w:r>
    </w:p>
    <w:p w14:paraId="590B3B12" w14:textId="6F65F790" w:rsidR="008705A4" w:rsidRPr="008705A4" w:rsidRDefault="002845EC" w:rsidP="002845EC">
      <w:r w:rsidRPr="002845EC">
        <w:t>The regulation demonstrates that sexual violence in higher education can no longer be regarded as a private matter but must be treated as an institutional problem requiring systematic intervention. Sexual violence has also received increasing public attention because media coverage contributes to shaping public understanding of the urgency of regulations aimed at protecting survivors</w:t>
      </w:r>
      <w:r w:rsidR="006C7C4E">
        <w:t xml:space="preserve"> </w:t>
      </w:r>
      <w:r w:rsidR="006C7C4E">
        <w:fldChar w:fldCharType="begin" w:fldLock="1"/>
      </w:r>
      <w:r w:rsidR="00305C0F">
        <w:instrText>ADDIN CSL_CITATION {"citationItems":[{"id":"ITEM-1","itemData":{"DOI":"10.14710/interaksi.10.2.138-149","author":[{"dropping-particle":"","family":"Akbar","given":"Adrial","non-dropping-particle":"","parse-names":false,"suffix":""}],"container-title":"Interaksi: Jurnal Ilmu Komunikasi","id":"ITEM-1","issue":"2","issued":{"date-parts":[["2021"]]},"page":"138-149","publisher":"Master of Communication Science Program, Universitas Diponegoro","title":"Framing Pemberitaan Rancangan Undang-Undang Penghapusan Kekerasan Seksual Pada Media Tirto Id Dan Republika Co Id","type":"article-journal","volume":"10"},"uris":["http://www.mendeley.com/documents/?uuid=bd96da20-1c8d-4060-84ac-a855f91f40d0"]}],"mendeley":{"formattedCitation":"(Akbar, 2021)","plainTextFormattedCitation":"(Akbar, 2021)","previouslyFormattedCitation":"(Akbar, 2021)"},"properties":{"noteIndex":0},"schema":"https://github.com/citation-style-language/schema/raw/master/csl-citation.json"}</w:instrText>
      </w:r>
      <w:r w:rsidR="006C7C4E">
        <w:fldChar w:fldCharType="separate"/>
      </w:r>
      <w:r w:rsidR="006C7C4E" w:rsidRPr="006C7C4E">
        <w:rPr>
          <w:noProof/>
        </w:rPr>
        <w:t>(Akbar, 2021)</w:t>
      </w:r>
      <w:r w:rsidR="006C7C4E">
        <w:fldChar w:fldCharType="end"/>
      </w:r>
      <w:r w:rsidR="006C7C4E">
        <w:t xml:space="preserve">. </w:t>
      </w:r>
      <w:r w:rsidRPr="002845EC">
        <w:t>The implementation of the policy on the Prevention and Handling of Sexual Violence, hereafter referred to as PPKS, requires the support of internal policies, adequate resources, task forces, and the commitment of university leaders</w:t>
      </w:r>
      <w:r w:rsidR="008705A4" w:rsidRPr="008705A4">
        <w:t xml:space="preserve"> </w:t>
      </w:r>
      <w:r w:rsidR="00473AD7">
        <w:fldChar w:fldCharType="begin" w:fldLock="1"/>
      </w:r>
      <w:r w:rsidR="00116A22">
        <w:instrText>ADDIN CSL_CITATION {"citationItems":[{"id":"ITEM-1","itemData":{"DOI":"10.53515/qodiri.2022.19.3.781-796","author":[{"dropping-particle":"","family":"Adawiyah","given":"Robiatul","non-dropping-particle":"","parse-names":false,"suffix":""},{"dropping-particle":"","family":"Luayyin","given":"Reza Hilmy","non-dropping-particle":"","parse-names":false,"suffix":""},{"dropping-particle":"","family":"Ardli","given":"M Nabat","non-dropping-particle":"","parse-names":false,"suffix":""}],"container-title":"Al Qodiri: Jurnal Pendidikan, Sosial dan Keagamaan","id":"ITEM-1","issue":"3","issued":{"date-parts":[["2021"]]},"page":"781-796","title":"Analisis Permendikbud Ristek No 30 Tahun 2021 dan konstruksi sosial kekerasan seksual di perguruan tinggi perspektif sosiologis","type":"article-journal","volume":"19"},"uris":["http://www.mendeley.com/documents/?uuid=b87980b0-39b7-4623-b4b9-2eb3fc9abeb8"]}],"mendeley":{"formattedCitation":"(Adawiyah et al., 2021)","plainTextFormattedCitation":"(Adawiyah et al., 2021)","previouslyFormattedCitation":"(Adawiyah et al., 2021)"},"properties":{"noteIndex":0},"schema":"https://github.com/citation-style-language/schema/raw/master/csl-citation.json"}</w:instrText>
      </w:r>
      <w:r w:rsidR="00473AD7">
        <w:fldChar w:fldCharType="separate"/>
      </w:r>
      <w:r w:rsidR="00473AD7" w:rsidRPr="00473AD7">
        <w:rPr>
          <w:noProof/>
        </w:rPr>
        <w:t>(Adawiyah et al., 2021)</w:t>
      </w:r>
      <w:r w:rsidR="00473AD7">
        <w:fldChar w:fldCharType="end"/>
      </w:r>
      <w:r w:rsidR="008705A4" w:rsidRPr="008705A4">
        <w:t>.</w:t>
      </w:r>
    </w:p>
    <w:p w14:paraId="7CEC7161" w14:textId="77777777" w:rsidR="00531947" w:rsidRPr="00531947" w:rsidRDefault="00531947" w:rsidP="00531947">
      <w:r w:rsidRPr="00531947">
        <w:t>The implementation of PPKS policies in higher education institutions continues to face various challenges. Several universities have established task forces or service units, but prevention efforts are often limited to awareness-raising activities and case handling after incidents have occurred. Understanding among campus communities regarding forms of sexual violence, reporting mechanisms, consent, survivor protection, and institutional responsibility remains uneven. Students need adequate knowledge to identify different forms of sexual violence and understand the reporting procedures available within their institutions</w:t>
      </w:r>
      <w:r w:rsidR="008705A4" w:rsidRPr="008705A4">
        <w:t xml:space="preserve"> </w:t>
      </w:r>
      <w:r w:rsidR="00116A22">
        <w:fldChar w:fldCharType="begin" w:fldLock="1"/>
      </w:r>
      <w:r w:rsidR="00096F21">
        <w:instrText>ADDIN CSL_CITATION {"citationItems":[{"id":"ITEM-1","itemData":{"DOI":"10.24014/marwah.v20i1.10487","author":[{"dropping-particle":"","family":"Khafsoh","given":"Nur Afni","non-dropping-particle":"","parse-names":false,"suffix":""},{"dropping-particle":"","family":"Suhairi","given":"Suhairi","non-dropping-particle":"","parse-names":false,"suffix":""}],"container-title":"Marwah: Jurnal Perempuan, Agama Dan Jender","id":"ITEM-1","issue":"1","issued":{"date-parts":[["2021"]]},"page":"61-75","publisher":"UIN Sultan Arif Kasim Riau","title":"Pemahaman mahasiswa terhadap bentuk, proses, dan pandangan penanganan kekerasan seksual di kampus","type":"article-journal","volume":"20"},"uris":["http://www.mendeley.com/documents/?uuid=cf8f6dd8-779a-4ba8-87e1-440880f2c4e4"]}],"mendeley":{"formattedCitation":"(Khafsoh &amp; Suhairi, 2021)","plainTextFormattedCitation":"(Khafsoh &amp; Suhairi, 2021)","previouslyFormattedCitation":"(Khafsoh &amp; Suhairi, 2021)"},"properties":{"noteIndex":0},"schema":"https://github.com/citation-style-language/schema/raw/master/csl-citation.json"}</w:instrText>
      </w:r>
      <w:r w:rsidR="00116A22">
        <w:fldChar w:fldCharType="separate"/>
      </w:r>
      <w:r w:rsidR="00116A22" w:rsidRPr="00116A22">
        <w:rPr>
          <w:noProof/>
        </w:rPr>
        <w:t>(Khafsoh &amp; Suhairi, 2021)</w:t>
      </w:r>
      <w:r w:rsidR="00116A22">
        <w:fldChar w:fldCharType="end"/>
      </w:r>
      <w:r w:rsidR="008705A4" w:rsidRPr="008705A4">
        <w:t xml:space="preserve">. </w:t>
      </w:r>
      <w:r w:rsidRPr="00531947">
        <w:t>Limited understanding may cause sexual violence to be normalized, remain unreported, or be handled inappropriately. When sexual acts are not recognized as violence and survivors do not trust the reporting system, their experiences tend to be concealed or shared only with close acquaintances. This condition creates a culture of silence that makes cases difficult to detect and allows violence to recur.</w:t>
      </w:r>
    </w:p>
    <w:p w14:paraId="7A0311B9" w14:textId="296F1F72" w:rsidR="008705A4" w:rsidRPr="008705A4" w:rsidRDefault="00531947" w:rsidP="00531947">
      <w:r w:rsidRPr="00531947">
        <w:t>The culture of silence surrounding sexual violence is not solely influenced by survivors’ personal decisions but is also shaped by the conditions of the campus environment. Unequal power relations may cause survivors to fear losing grades, academic opportunities, organizational positions, or social relationships. At the same time, limited literacy regarding consent and forms of sexual violence may lead certain acts to be regarded as jokes or socially acceptable behavior. Education on sexual violence is necessary to increase students’ awareness, improve their understanding of survivors’ experiences, and develop their ability to identify and respond appropriately to acts of sexual violence</w:t>
      </w:r>
      <w:r w:rsidR="008705A4" w:rsidRPr="008705A4">
        <w:t xml:space="preserve"> </w:t>
      </w:r>
      <w:r w:rsidR="00096F21">
        <w:fldChar w:fldCharType="begin" w:fldLock="1"/>
      </w:r>
      <w:r w:rsidR="00CE067F">
        <w:instrText>ADDIN CSL_CITATION {"citationItems":[{"id":"ITEM-1","itemData":{"DOI":"10.1177/1524838018772855","author":[{"dropping-particle":"","family":"Schneider","given":"Madeline","non-dropping-particle":"","parse-names":false,"suffix":""},{"dropping-particle":"","family":"Hirsch","given":"Jennifer S","non-dropping-particle":"","parse-names":false,"suffix":""}],"container-title":"Trauma, Violence, &amp; Abuse","id":"ITEM-1","issue":"3","issued":{"date-parts":[["2020"]]},"page":"439-455","publisher":"Sage Publications Sage CA: Los Angeles, CA","title":"Comprehensive sexuality education as a primary prevention strategy for sexual violence perpetration","type":"article-journal","volume":"21"},"uris":["http://www.mendeley.com/documents/?uuid=537f0eef-6b6c-4619-9780-0ae41d69faba"]}],"mendeley":{"formattedCitation":"(Schneider &amp; Hirsch, 2020)","plainTextFormattedCitation":"(Schneider &amp; Hirsch, 2020)","previouslyFormattedCitation":"(Schneider &amp; Hirsch, 2020)"},"properties":{"noteIndex":0},"schema":"https://github.com/citation-style-language/schema/raw/master/csl-citation.json"}</w:instrText>
      </w:r>
      <w:r w:rsidR="00096F21">
        <w:fldChar w:fldCharType="separate"/>
      </w:r>
      <w:r w:rsidR="00096F21" w:rsidRPr="00096F21">
        <w:rPr>
          <w:noProof/>
        </w:rPr>
        <w:t>(Schneider &amp; Hirsch, 2020)</w:t>
      </w:r>
      <w:r w:rsidR="00096F21">
        <w:fldChar w:fldCharType="end"/>
      </w:r>
      <w:r w:rsidR="008705A4" w:rsidRPr="008705A4">
        <w:t xml:space="preserve">. </w:t>
      </w:r>
      <w:r w:rsidRPr="00531947">
        <w:t>This condition becomes more entrenched when reporting mechanisms are not widely known, are difficult to access, or are not trusted to provide adequate protection for survivors. PPKS education must therefore be positioned as an institutional intervention through curricula, teaching materials, and learning processes to strengthen literacy concerning power relations, consent, survivors’ rights, and reporting mechanisms</w:t>
      </w:r>
      <w:r w:rsidR="008705A4" w:rsidRPr="008705A4">
        <w:t xml:space="preserve"> </w:t>
      </w:r>
      <w:r w:rsidR="00CE067F">
        <w:fldChar w:fldCharType="begin" w:fldLock="1"/>
      </w:r>
      <w:r w:rsidR="00F173EE">
        <w:instrText>ADDIN CSL_CITATION {"citationItems":[{"id":"ITEM-1","itemData":{"DOI":"10.15294/ujph.v11i1.50666","author":[{"dropping-particle":"","family":"Yusran","given":"Sartiah","non-dropping-particle":"","parse-names":false,"suffix":""},{"dropping-particle":"","family":"Astina","given":"Astina","non-dropping-particle":"","parse-names":false,"suffix":""},{"dropping-particle":"","family":"Sabilu","given":"Yusuf","non-dropping-particle":"","parse-names":false,"suffix":""},{"dropping-particle":"","family":"Sety","given":"La Ode Muhammad","non-dropping-particle":"","parse-names":false,"suffix":""},{"dropping-particle":"","family":"Akifah","given":"Akifah","non-dropping-particle":"","parse-names":false,"suffix":""},{"dropping-particle":"","family":"Rezal","given":"Farit","non-dropping-particle":"","parse-names":false,"suffix":""}],"container-title":"Unnes journal of public health","id":"ITEM-1","issue":"1","issued":{"date-parts":[["2022"]]},"page":"65-74","title":"Premarital sexual behaviour among urban-rural school teenagers in Southeast Sulawesi, Indonesia: comparative study","type":"article-journal","volume":"11"},"uris":["http://www.mendeley.com/documents/?uuid=75b690a0-bc53-40fe-bda7-aca041918c76"]}],"mendeley":{"formattedCitation":"(Yusran et al., 2022)","plainTextFormattedCitation":"(Yusran et al., 2022)","previouslyFormattedCitation":"(Yusran et al., 2022)"},"properties":{"noteIndex":0},"schema":"https://github.com/citation-style-language/schema/raw/master/csl-citation.json"}</w:instrText>
      </w:r>
      <w:r w:rsidR="00CE067F">
        <w:fldChar w:fldCharType="separate"/>
      </w:r>
      <w:r w:rsidR="00CE067F" w:rsidRPr="00CE067F">
        <w:rPr>
          <w:noProof/>
        </w:rPr>
        <w:t>(Yusran et al., 2022)</w:t>
      </w:r>
      <w:r w:rsidR="00CE067F">
        <w:fldChar w:fldCharType="end"/>
      </w:r>
      <w:r w:rsidR="008705A4" w:rsidRPr="008705A4">
        <w:t>.</w:t>
      </w:r>
    </w:p>
    <w:p w14:paraId="62CBE296" w14:textId="6BF66311" w:rsidR="008705A4" w:rsidRPr="008705A4" w:rsidRDefault="0081606C" w:rsidP="0081606C">
      <w:r w:rsidRPr="0081606C">
        <w:t xml:space="preserve">Based on the preceding discussion, this study addresses the following question: how do power relations, the normalization of violence, and weaknesses </w:t>
      </w:r>
      <w:r w:rsidRPr="0081606C">
        <w:lastRenderedPageBreak/>
        <w:t>in reporting systems contribute to the formation of a culture of silence in cases of sexual violence at three higher education institutions? This study aims to analyze the mechanisms through which a culture of silence is formed by examining the relationships among power relations, the normalization of sexual acts, campus community literacy, and access to reporting mechanisms. The study was conducted at Halu Oleo University, the Islamic University of Indonesia, and Syiah Kuala University. The findings are expected to provide a foundation for strengthening PPKS education and developing reporting mechanisms that are safe, accessible, confidential, and survivor-centered.</w:t>
      </w:r>
    </w:p>
    <w:p w14:paraId="37FC530E" w14:textId="2E941F94" w:rsidR="00B13585" w:rsidRDefault="003C607C" w:rsidP="003C607C">
      <w:pPr>
        <w:pStyle w:val="Heading1"/>
      </w:pPr>
      <w:r w:rsidRPr="003C607C">
        <w:t>LITERATURE REVIEW</w:t>
      </w:r>
    </w:p>
    <w:p w14:paraId="74090B4B" w14:textId="1BDA6213" w:rsidR="00ED4AC3" w:rsidRDefault="003C607C" w:rsidP="003C607C">
      <w:pPr>
        <w:pStyle w:val="Heading2"/>
      </w:pPr>
      <w:r w:rsidRPr="003C607C">
        <w:t>Sexual Violence in Higher Education</w:t>
      </w:r>
    </w:p>
    <w:p w14:paraId="531F1CB4" w14:textId="77777777" w:rsidR="00A17F1D" w:rsidRPr="00A17F1D" w:rsidRDefault="003C607C" w:rsidP="00A17F1D">
      <w:r w:rsidRPr="003C607C">
        <w:t>Sexual violence in higher education refers to acts of violence that occur in academic and non-academic settings and may involve students, lecturers, educational staff, or other individuals who interact within the campus environment. Sexual violence is not limited to forced sexual intercourse but also includes verbal, nonverbal, physical, digital, and symbolic acts that degrade a person’s dignity, body, or reproductive functions. In higher education, sexual violence may occur during lectures, academic supervision, research activities, community service programs, student organization activities, fieldwork, and informal interactions among members of the academic community</w:t>
      </w:r>
      <w:r w:rsidR="00FE203C" w:rsidRPr="00FE203C">
        <w:t xml:space="preserve"> </w:t>
      </w:r>
      <w:r w:rsidR="00F173EE">
        <w:fldChar w:fldCharType="begin" w:fldLock="1"/>
      </w:r>
      <w:r w:rsidR="00F173EE">
        <w:instrText>ADDIN CSL_CITATION {"citationItems":[{"id":"ITEM-1","itemData":{"author":[{"dropping-particle":"","family":"Linder","given":"Chris","non-dropping-particle":"","parse-names":false,"suffix":""}],"id":"ITEM-1","issued":{"date-parts":[["2024"]]},"publisher":"Emerald Group Publishing","title":"Sexual violence on campus: Power-conscious approaches to awareness, prevention, and response","type":"book"},"uris":["http://www.mendeley.com/documents/?uuid=a29e4772-29f1-4c92-9160-0ad98d0698bd"]}],"mendeley":{"formattedCitation":"(Linder, 2024)","plainTextFormattedCitation":"(Linder, 2024)","previouslyFormattedCitation":"(Linder, 2024)"},"properties":{"noteIndex":0},"schema":"https://github.com/citation-style-language/schema/raw/master/csl-citation.json"}</w:instrText>
      </w:r>
      <w:r w:rsidR="00F173EE">
        <w:fldChar w:fldCharType="separate"/>
      </w:r>
      <w:r w:rsidR="00F173EE" w:rsidRPr="00F173EE">
        <w:rPr>
          <w:noProof/>
        </w:rPr>
        <w:t>(Linder, 2024)</w:t>
      </w:r>
      <w:r w:rsidR="00F173EE">
        <w:fldChar w:fldCharType="end"/>
      </w:r>
      <w:r w:rsidR="00FE203C" w:rsidRPr="00FE203C">
        <w:t xml:space="preserve">. </w:t>
      </w:r>
      <w:r w:rsidR="00A17F1D" w:rsidRPr="00A17F1D">
        <w:t>The diverse settings in which sexual violence may occur indicate that universities require prevention and response systems that are not merely administrative but also address the broader academic culture.</w:t>
      </w:r>
    </w:p>
    <w:p w14:paraId="60FE0A67" w14:textId="4D741E62" w:rsidR="00FE203C" w:rsidRDefault="00A17F1D" w:rsidP="00A17F1D">
      <w:r w:rsidRPr="00A17F1D">
        <w:t>Sexual violence on campus is often difficult to disclose because victims may experience fear, shame, threats, social pressure, and concerns about the institution’s response. Many victims choose to remain silent because they fear being blamed, disbelieved, or subjected to academic and social consequences after reporting the incident</w:t>
      </w:r>
      <w:r w:rsidR="009059C8" w:rsidRPr="009059C8">
        <w:t xml:space="preserve"> </w:t>
      </w:r>
      <w:r w:rsidR="00F173EE">
        <w:fldChar w:fldCharType="begin" w:fldLock="1"/>
      </w:r>
      <w:r w:rsidR="00F173EE">
        <w:instrText>ADDIN CSL_CITATION {"citationItems":[{"id":"ITEM-1","itemData":{"DOI":"10.22373/equality.v7i2.9869","author":[{"dropping-particle":"","family":"Fitri","given":"Ainal","non-dropping-particle":"","parse-names":false,"suffix":""},{"dropping-particle":"","family":"Haekal","given":"Muhammad","non-dropping-particle":"","parse-names":false,"suffix":""},{"dropping-particle":"","family":"Almukarramah","given":"Almukarramah","non-dropping-particle":"","parse-names":false,"suffix":""},{"dropping-particle":"","family":"Sari","given":"Fitri Meliya","non-dropping-particle":"","parse-names":false,"suffix":""}],"container-title":"Gender Equality: International Journal of Child and Gender Studies","id":"ITEM-1","issue":"2","issued":{"date-parts":[["2021"]]},"page":"153-167","title":"Sexual violence in Indonesian University: On students’ critical consciousness and agency","type":"article-journal","volume":"7"},"uris":["http://www.mendeley.com/documents/?uuid=eebb44cd-8bf0-459d-9dcd-0614958d3379"]}],"mendeley":{"formattedCitation":"(Fitri et al., 2021)","plainTextFormattedCitation":"(Fitri et al., 2021)","previouslyFormattedCitation":"(Fitri et al., 2021)"},"properties":{"noteIndex":0},"schema":"https://github.com/citation-style-language/schema/raw/master/csl-citation.json"}</w:instrText>
      </w:r>
      <w:r w:rsidR="00F173EE">
        <w:fldChar w:fldCharType="separate"/>
      </w:r>
      <w:r w:rsidR="00F173EE" w:rsidRPr="00F173EE">
        <w:rPr>
          <w:noProof/>
        </w:rPr>
        <w:t>(Fitri et al., 2021)</w:t>
      </w:r>
      <w:r w:rsidR="00F173EE">
        <w:fldChar w:fldCharType="end"/>
      </w:r>
      <w:r w:rsidR="009059C8" w:rsidRPr="009059C8">
        <w:t xml:space="preserve">. </w:t>
      </w:r>
      <w:r w:rsidRPr="00A17F1D">
        <w:t>Sexual violence may also cause physical, psychological, social, and academic consequences for victims. Experiences of sexual violence can seriously affect victims’ mental health and the continuity of their social lives</w:t>
      </w:r>
      <w:r w:rsidR="009059C8" w:rsidRPr="009059C8">
        <w:t xml:space="preserve"> </w:t>
      </w:r>
      <w:r w:rsidR="00F173EE">
        <w:fldChar w:fldCharType="begin" w:fldLock="1"/>
      </w:r>
      <w:r w:rsidR="00F173EE">
        <w:instrText>ADDIN CSL_CITATION {"citationItems":[{"id":"ITEM-1","itemData":{"DOI":"10.1037/vio0000374","author":[{"dropping-particle":"","family":"Dworkin","given":"Emily R","non-dropping-particle":"","parse-names":false,"suffix":""},{"dropping-particle":"","family":"Krahé","given":"Barbara","non-dropping-particle":"","parse-names":false,"suffix":""},{"dropping-particle":"","family":"Zinzow","given":"Heidi","non-dropping-particle":"","parse-names":false,"suffix":""}],"container-title":"Psychology of violence","id":"ITEM-1","issue":"5","issued":{"date-parts":[["2021"]]},"page":"497","publisher":"Educational Publishing Foundation","title":"The global prevalence of sexual assault: A systematic review of international research since 2010.","type":"article-journal","volume":"11"},"uris":["http://www.mendeley.com/documents/?uuid=2007e292-349b-4660-b949-b796baad5561"]}],"mendeley":{"formattedCitation":"(Dworkin et al., 2021)","plainTextFormattedCitation":"(Dworkin et al., 2021)","previouslyFormattedCitation":"(Dworkin et al., 2021)"},"properties":{"noteIndex":0},"schema":"https://github.com/citation-style-language/schema/raw/master/csl-citation.json"}</w:instrText>
      </w:r>
      <w:r w:rsidR="00F173EE">
        <w:fldChar w:fldCharType="separate"/>
      </w:r>
      <w:r w:rsidR="00F173EE" w:rsidRPr="00F173EE">
        <w:rPr>
          <w:noProof/>
        </w:rPr>
        <w:t>(Dworkin et al., 2021)</w:t>
      </w:r>
      <w:r w:rsidR="00F173EE">
        <w:fldChar w:fldCharType="end"/>
      </w:r>
      <w:r w:rsidR="009059C8" w:rsidRPr="009059C8">
        <w:t xml:space="preserve">. </w:t>
      </w:r>
      <w:r w:rsidRPr="00A17F1D">
        <w:t>Prevention and response to sexual violence must therefore be positioned as an institutional agenda involving policies, education, reporting mechanisms, assistance, and victim recovery. An analysis of sexual violence prevention and response policies indicates that higher education institutions need to translate regulations into clear internal policies and operational mechanisms</w:t>
      </w:r>
      <w:r w:rsidR="009059C8" w:rsidRPr="009059C8">
        <w:t xml:space="preserve"> </w:t>
      </w:r>
      <w:r w:rsidR="00F173EE">
        <w:fldChar w:fldCharType="begin" w:fldLock="1"/>
      </w:r>
      <w:r w:rsidR="00F173EE">
        <w:instrText>ADDIN CSL_CITATION {"citationItems":[{"id":"ITEM-1","itemData":{"DOI":"10.53515/qodiri.2022.19.3.781-796","author":[{"dropping-particle":"","family":"Adawiyah","given":"Robiatul","non-dropping-particle":"","parse-names":false,"suffix":""},{"dropping-particle":"","family":"Luayyin","given":"Reza Hilmy","non-dropping-particle":"","parse-names":false,"suffix":""},{"dropping-particle":"","family":"Ardli","given":"M Nabat","non-dropping-particle":"","parse-names":false,"suffix":""}],"container-title":"Al Qodiri: Jurnal Pendidikan, Sosial dan Keagamaan","id":"ITEM-1","issue":"3","issued":{"date-parts":[["2021"]]},"page":"781-796","title":"Analisis Permendikbud Ristek No 30 Tahun 2021 dan konstruksi sosial kekerasan seksual di perguruan tinggi perspektif sosiologis","type":"article-journal","volume":"19"},"uris":["http://www.mendeley.com/documents/?uuid=b87980b0-39b7-4623-b4b9-2eb3fc9abeb8"]}],"mendeley":{"formattedCitation":"(Adawiyah et al., 2021)","plainTextFormattedCitation":"(Adawiyah et al., 2021)","previouslyFormattedCitation":"(Adawiyah et al., 2021)"},"properties":{"noteIndex":0},"schema":"https://github.com/citation-style-language/schema/raw/master/csl-citation.json"}</w:instrText>
      </w:r>
      <w:r w:rsidR="00F173EE">
        <w:fldChar w:fldCharType="separate"/>
      </w:r>
      <w:r w:rsidR="00F173EE" w:rsidRPr="00F173EE">
        <w:rPr>
          <w:noProof/>
        </w:rPr>
        <w:t>(Adawiyah et al., 2021)</w:t>
      </w:r>
      <w:r w:rsidR="00F173EE">
        <w:fldChar w:fldCharType="end"/>
      </w:r>
      <w:r w:rsidR="009059C8" w:rsidRPr="009059C8">
        <w:t>.</w:t>
      </w:r>
    </w:p>
    <w:p w14:paraId="0AF238E7" w14:textId="47F8AE35" w:rsidR="009059C8" w:rsidRDefault="00314E60" w:rsidP="00314E60">
      <w:pPr>
        <w:pStyle w:val="Heading2"/>
      </w:pPr>
      <w:r w:rsidRPr="00314E60">
        <w:t>Power Relations, Gender, and Victim Vulnerability</w:t>
      </w:r>
    </w:p>
    <w:p w14:paraId="3D549BD3" w14:textId="66D0E52C" w:rsidR="009059C8" w:rsidRPr="009059C8" w:rsidRDefault="00314E60" w:rsidP="00314E60">
      <w:r w:rsidRPr="00314E60">
        <w:t xml:space="preserve">Sexual violence in higher education is closely related to unequal power relations. Power relations may be formed through position, age, academic status, seniority, organizational influence, dependence on grades, or access to campus </w:t>
      </w:r>
      <w:r w:rsidRPr="00314E60">
        <w:lastRenderedPageBreak/>
        <w:t>resources. Such inequalities place victims in a difficult position when attempting to refuse, resist, or report acts of sexual violence. In lecturer–student relationships, the lecturer’s position as an evaluator, academic supervisor, or holder of academic authority may create vulnerability among students. Studies of sexual violence on campus have shown that power relations often prevent victims from having the courage to report their experiences</w:t>
      </w:r>
      <w:r w:rsidR="009059C8" w:rsidRPr="009059C8">
        <w:t xml:space="preserve"> </w:t>
      </w:r>
      <w:r w:rsidR="00F173EE">
        <w:fldChar w:fldCharType="begin" w:fldLock="1"/>
      </w:r>
      <w:r w:rsidR="00F173EE">
        <w:instrText>ADDIN CSL_CITATION {"citationItems":[{"id":"ITEM-1","itemData":{"DOI":"10.20414/qawwam.v14i2.2875","author":[{"dropping-particle":"","family":"Nikmatullah","given":"Nikmatullah","non-dropping-particle":"","parse-names":false,"suffix":""}],"container-title":"QAWWAM: Journal for gender mainstreaming","id":"ITEM-1","issue":"2","issued":{"date-parts":[["2020"]]},"page":"37-53","title":"Demi nama baik kampus vs perlindungan korban: kasus kekerasan seksual di kampus","type":"article-journal","volume":"14"},"uris":["http://www.mendeley.com/documents/?uuid=a5f12a28-dcd6-4d5e-9b63-5c2d9d40d108"]}],"mendeley":{"formattedCitation":"(Nikmatullah, 2020)","plainTextFormattedCitation":"(Nikmatullah, 2020)","previouslyFormattedCitation":"(Nikmatullah, 2020)"},"properties":{"noteIndex":0},"schema":"https://github.com/citation-style-language/schema/raw/master/csl-citation.json"}</w:instrText>
      </w:r>
      <w:r w:rsidR="00F173EE">
        <w:fldChar w:fldCharType="separate"/>
      </w:r>
      <w:r w:rsidR="00F173EE" w:rsidRPr="00F173EE">
        <w:rPr>
          <w:noProof/>
        </w:rPr>
        <w:t>(Nikmatullah, 2020)</w:t>
      </w:r>
      <w:r w:rsidR="00F173EE">
        <w:fldChar w:fldCharType="end"/>
      </w:r>
      <w:r w:rsidR="009059C8" w:rsidRPr="009059C8">
        <w:t>.</w:t>
      </w:r>
    </w:p>
    <w:p w14:paraId="71EAB774" w14:textId="142E3C17" w:rsidR="009059C8" w:rsidRPr="009059C8" w:rsidRDefault="00314E60" w:rsidP="00FF19A5">
      <w:r w:rsidRPr="00314E60">
        <w:t>A gender perspective is important in examining sexual violence because victims are often situated in unequal social positions. Patriarchal culture may be reflected in sexist jokes, stereotypes about women, the dismissal of victims’ experiences, and victim-blaming attitudes. Research on sexual violence in educational settings shows that patriarchal culture reinforces gender inequality and increases victims’ vulnerability</w:t>
      </w:r>
      <w:r w:rsidR="009059C8" w:rsidRPr="009059C8">
        <w:t xml:space="preserve"> </w:t>
      </w:r>
      <w:r w:rsidR="00F173EE">
        <w:fldChar w:fldCharType="begin" w:fldLock="1"/>
      </w:r>
      <w:r w:rsidR="00F173EE">
        <w:instrText>ADDIN CSL_CITATION {"citationItems":[{"id":"ITEM-1","itemData":{"DOI":"10.36080/djk.1311","author":[{"dropping-particle":"","family":"Soejoeti","given":"Ariani Hasanah","non-dropping-particle":"","parse-names":false,"suffix":""},{"dropping-particle":"","family":"Susanti","given":"Vinita","non-dropping-particle":"","parse-names":false,"suffix":""}],"container-title":"Deviance Jurnal kriminologi","id":"ITEM-1","issue":"1","issued":{"date-parts":[["2020"]]},"page":"67-83","title":"Diskusi Keadilan Restoratif dalam Konteks Kekerasan Seksual di Kampus","type":"article-journal","volume":"4"},"uris":["http://www.mendeley.com/documents/?uuid=3bb87e1c-d46f-4b2d-b69b-a001b24ff80f"]}],"mendeley":{"formattedCitation":"(Soejoeti &amp; Susanti, 2020)","plainTextFormattedCitation":"(Soejoeti &amp; Susanti, 2020)","previouslyFormattedCitation":"(Soejoeti &amp; Susanti, 2020)"},"properties":{"noteIndex":0},"schema":"https://github.com/citation-style-language/schema/raw/master/csl-citation.json"}</w:instrText>
      </w:r>
      <w:r w:rsidR="00F173EE">
        <w:fldChar w:fldCharType="separate"/>
      </w:r>
      <w:r w:rsidR="00F173EE" w:rsidRPr="00F173EE">
        <w:rPr>
          <w:noProof/>
        </w:rPr>
        <w:t>(Soejoeti &amp; Susanti, 2020)</w:t>
      </w:r>
      <w:r w:rsidR="00F173EE">
        <w:fldChar w:fldCharType="end"/>
      </w:r>
      <w:r w:rsidR="009059C8" w:rsidRPr="009059C8">
        <w:t xml:space="preserve">. </w:t>
      </w:r>
      <w:r w:rsidRPr="00314E60">
        <w:t>Victim vulnerability is also reinforced by a culture of silence within the campus environment. Studies of institutional responses to sexual violence indicate that institutional support for victims is an important factor in encouraging them to report incidents</w:t>
      </w:r>
      <w:r w:rsidR="009059C8" w:rsidRPr="009059C8">
        <w:t xml:space="preserve"> </w:t>
      </w:r>
      <w:r w:rsidR="00F173EE">
        <w:fldChar w:fldCharType="begin" w:fldLock="1"/>
      </w:r>
      <w:r w:rsidR="00F173EE">
        <w:instrText>ADDIN CSL_CITATION {"citationItems":[{"id":"ITEM-1","itemData":{"DOI":"10.15548/jk.v11i1.379","author":[{"dropping-particle":"","family":"Marfu’ah","given":"Usfiyatul","non-dropping-particle":"","parse-names":false,"suffix":""},{"dropping-particle":"","family":"Rofi’ah","given":"Siti","non-dropping-particle":"","parse-names":false,"suffix":""},{"dropping-particle":"","family":"Maksun","given":"M","non-dropping-particle":"","parse-names":false,"suffix":""}],"container-title":"Kafa’ah: Journal of Gender Studies","id":"ITEM-1","issue":"1","issued":{"date-parts":[["2021"]]},"page":"95-106","title":"Sistem Pencegahan Dan Penanganan Kekerasan Seksual Di Kampus","type":"article-journal","volume":"11"},"uris":["http://www.mendeley.com/documents/?uuid=9839f5a0-0ffd-4bbf-ada4-0e7e2918faa2"]}],"mendeley":{"formattedCitation":"(Marfu’ah et al., 2021)","plainTextFormattedCitation":"(Marfu’ah et al., 2021)","previouslyFormattedCitation":"(Marfu’ah et al., 2021)"},"properties":{"noteIndex":0},"schema":"https://github.com/citation-style-language/schema/raw/master/csl-citation.json"}</w:instrText>
      </w:r>
      <w:r w:rsidR="00F173EE">
        <w:fldChar w:fldCharType="separate"/>
      </w:r>
      <w:r w:rsidR="00F173EE" w:rsidRPr="00F173EE">
        <w:rPr>
          <w:noProof/>
        </w:rPr>
        <w:t>(Marfu’ah et al., 2021)</w:t>
      </w:r>
      <w:r w:rsidR="00F173EE">
        <w:fldChar w:fldCharType="end"/>
      </w:r>
      <w:r w:rsidR="009059C8" w:rsidRPr="009059C8">
        <w:t xml:space="preserve">. </w:t>
      </w:r>
      <w:r w:rsidR="00FF19A5" w:rsidRPr="00FF19A5">
        <w:t>Feminist studies of sexual violence emphasize that victim protection cannot be separated from efforts to dismantle unequal power relations</w:t>
      </w:r>
      <w:r w:rsidR="009059C8" w:rsidRPr="009059C8">
        <w:t xml:space="preserve"> </w:t>
      </w:r>
      <w:r w:rsidR="00F173EE">
        <w:fldChar w:fldCharType="begin" w:fldLock="1"/>
      </w:r>
      <w:r w:rsidR="00F173EE">
        <w:instrText>ADDIN CSL_CITATION {"citationItems":[{"id":"ITEM-1","itemData":{"author":[{"dropping-particle":"","family":"Elindawati","given":"Rifki","non-dropping-particle":"","parse-names":false,"suffix":""}],"container-title":"AL-WARDAH: Jurnal Kajian Perempuan, Gender Dan Agama","id":"ITEM-1","issue":"2","issued":{"date-parts":[["2021"]]},"page":"181-193","title":"Perspektif feminis dalam kasus perempuan sebagai korban kekerasan seksual di Perguruan Tinggi","type":"article-journal","volume":"15"},"uris":["http://www.mendeley.com/documents/?uuid=bb727d82-d9ae-4323-9e7a-d1bc7f9175c3"]}],"mendeley":{"formattedCitation":"(Elindawati, 2021)","plainTextFormattedCitation":"(Elindawati, 2021)","previouslyFormattedCitation":"(Elindawati, 2021)"},"properties":{"noteIndex":0},"schema":"https://github.com/citation-style-language/schema/raw/master/csl-citation.json"}</w:instrText>
      </w:r>
      <w:r w:rsidR="00F173EE">
        <w:fldChar w:fldCharType="separate"/>
      </w:r>
      <w:r w:rsidR="00F173EE" w:rsidRPr="00F173EE">
        <w:rPr>
          <w:noProof/>
        </w:rPr>
        <w:t>(Elindawati, 2021)</w:t>
      </w:r>
      <w:r w:rsidR="00F173EE">
        <w:fldChar w:fldCharType="end"/>
      </w:r>
      <w:r w:rsidR="009059C8" w:rsidRPr="009059C8">
        <w:t>.</w:t>
      </w:r>
    </w:p>
    <w:p w14:paraId="2DAE8450" w14:textId="3CB44602" w:rsidR="009059C8" w:rsidRDefault="00FF19A5" w:rsidP="00FF19A5">
      <w:pPr>
        <w:pStyle w:val="Heading2"/>
      </w:pPr>
      <w:r w:rsidRPr="00FF19A5">
        <w:t>Knowledge, Attitudes, and Actions in the Prevention of Sexual Violence</w:t>
      </w:r>
    </w:p>
    <w:p w14:paraId="15CDA204" w14:textId="77777777" w:rsidR="00FF19A5" w:rsidRDefault="00FF19A5" w:rsidP="00FF19A5">
      <w:r>
        <w:t>Preventing sexual violence requires behavioral changes among members of the academic community. Behavioral change cannot be achieved solely through formal regulations but also requires knowledge, attitudes, and actions that support prevention efforts. Knowledge is necessary to enable campus members to identify different forms of sexual violence, understand victims’ rights, and recognize available reporting mechanisms. Supportive attitudes are needed so that members of the academic community stand with victims and reject all forms of sexual violence. Concrete actions are required to enable campus members to report incidents, assist victims, prevent violence, and support sexual violence prevention and response policies. Lawrence Green’s theory explains that behavior is influenced by predisposing, enabling, and reinforcing factors.</w:t>
      </w:r>
    </w:p>
    <w:p w14:paraId="3FBFDF8D" w14:textId="47ED255C" w:rsidR="008549F3" w:rsidRPr="008549F3" w:rsidRDefault="00FF19A5" w:rsidP="001A1E9F">
      <w:r>
        <w:t>Knowledge is an initial component of sexual violence prevention because it helps campus members distinguish acts of sexual violence from behavior that does not violate personal boundaries. Research on students’ understanding of sexual violence indicates that knowledge of the forms of sexual violence and reporting mechanisms remains an important need within university settings</w:t>
      </w:r>
      <w:r w:rsidR="008549F3" w:rsidRPr="008549F3">
        <w:t xml:space="preserve"> </w:t>
      </w:r>
      <w:r w:rsidR="00F173EE">
        <w:fldChar w:fldCharType="begin" w:fldLock="1"/>
      </w:r>
      <w:r w:rsidR="00F173EE">
        <w:instrText>ADDIN CSL_CITATION {"citationItems":[{"id":"ITEM-1","itemData":{"DOI":"10.24014/marwah.v20i1.10487","author":[{"dropping-particle":"","family":"Khafsoh","given":"Nur Afni","non-dropping-particle":"","parse-names":false,"suffix":""},{"dropping-particle":"","family":"Suhairi","given":"Suhairi","non-dropping-particle":"","parse-names":false,"suffix":""}],"container-title":"Marwah: Jurnal Perempuan, Agama Dan Jender","id":"ITEM-1","issue":"1","issued":{"date-parts":[["2021"]]},"page":"61-75","publisher":"UIN Sultan Arif Kasim Riau","title":"Pemahaman mahasiswa terhadap bentuk, proses, dan pandangan penanganan kekerasan seksual di kampus","type":"article-journal","volume":"20"},"uris":["http://www.mendeley.com/documents/?uuid=cf8f6dd8-779a-4ba8-87e1-440880f2c4e4"]}],"mendeley":{"formattedCitation":"(Khafsoh &amp; Suhairi, 2021)","plainTextFormattedCitation":"(Khafsoh &amp; Suhairi, 2021)","previouslyFormattedCitation":"(Khafsoh &amp; Suhairi, 2021)"},"properties":{"noteIndex":0},"schema":"https://github.com/citation-style-language/schema/raw/master/csl-citation.json"}</w:instrText>
      </w:r>
      <w:r w:rsidR="00F173EE">
        <w:fldChar w:fldCharType="separate"/>
      </w:r>
      <w:r w:rsidR="00F173EE" w:rsidRPr="00F173EE">
        <w:rPr>
          <w:noProof/>
        </w:rPr>
        <w:t>(Khafsoh &amp; Suhairi, 2021)</w:t>
      </w:r>
      <w:r w:rsidR="00F173EE">
        <w:fldChar w:fldCharType="end"/>
      </w:r>
      <w:r w:rsidR="008549F3" w:rsidRPr="008549F3">
        <w:t xml:space="preserve">. </w:t>
      </w:r>
      <w:r w:rsidR="001A1E9F" w:rsidRPr="001A1E9F">
        <w:t>The attitudes of members of the academic community determine whether victims receive support or instead experience further victimization through stigma and victim-blaming. Studies on the implementation of sexual violence prevention and response policies show that acceptance among members of the academic community is an important factor in the successful implementation of such policies</w:t>
      </w:r>
      <w:r w:rsidR="008549F3" w:rsidRPr="008549F3">
        <w:t xml:space="preserve"> </w:t>
      </w:r>
      <w:r w:rsidR="00F173EE">
        <w:fldChar w:fldCharType="begin" w:fldLock="1"/>
      </w:r>
      <w:r w:rsidR="00F173EE">
        <w:instrText>ADDIN CSL_CITATION {"citationItems":[{"id":"ITEM-1","itemData":{"author":[{"dropping-particle":"","family":"Noer","given":"Khaerul Umam","non-dropping-particle":"","parse-names":false,"suffix":""},{"dropping-particle":"","family":"Kartika","given":"Titiek","non-dropping-particle":"","parse-names":false,"suffix":""},{"dropping-particle":"","family":"others","given":"","non-dropping-particle":"","parse-names":false,"suffix":""}],"id":"ITEM-1","issued":{"date-parts":[["2022"]]},"publisher":"Yayasan Pustaka Obor Indonesia","title":"Membongkar kekerasan seksual di pendidikan tinggi: pemikiran awal","type":"book"},"uris":["http://www.mendeley.com/documents/?uuid=d8a122e1-dd84-4726-930e-89617a11657a"]}],"mendeley":{"formattedCitation":"(Noer et al., 2022)","plainTextFormattedCitation":"(Noer et al., 2022)","previouslyFormattedCitation":"(Noer et al., 2022)"},"properties":{"noteIndex":0},"schema":"https://github.com/citation-style-language/schema/raw/master/csl-citation.json"}</w:instrText>
      </w:r>
      <w:r w:rsidR="00F173EE">
        <w:fldChar w:fldCharType="separate"/>
      </w:r>
      <w:r w:rsidR="00F173EE" w:rsidRPr="00F173EE">
        <w:rPr>
          <w:noProof/>
        </w:rPr>
        <w:t>(Noer et al., 2022)</w:t>
      </w:r>
      <w:r w:rsidR="00F173EE">
        <w:fldChar w:fldCharType="end"/>
      </w:r>
      <w:r w:rsidR="008549F3" w:rsidRPr="008549F3">
        <w:t xml:space="preserve">. </w:t>
      </w:r>
      <w:r w:rsidR="001A1E9F" w:rsidRPr="001A1E9F">
        <w:t xml:space="preserve">Research on sexual violence prevention in higher education also demonstrates that educational interventions can strengthen students’ </w:t>
      </w:r>
      <w:r w:rsidR="001A1E9F" w:rsidRPr="001A1E9F">
        <w:lastRenderedPageBreak/>
        <w:t>awareness and ability to respond to issues of sexual violence</w:t>
      </w:r>
      <w:r w:rsidR="008549F3" w:rsidRPr="008549F3">
        <w:t xml:space="preserve"> </w:t>
      </w:r>
      <w:r w:rsidR="00F173EE">
        <w:fldChar w:fldCharType="begin" w:fldLock="1"/>
      </w:r>
      <w:r w:rsidR="00F173EE">
        <w:instrText>ADDIN CSL_CITATION {"citationItems":[{"id":"ITEM-1","itemData":{"DOI":"10.1177/1524838018772855","author":[{"dropping-particle":"","family":"Schneider","given":"Madeline","non-dropping-particle":"","parse-names":false,"suffix":""},{"dropping-particle":"","family":"Hirsch","given":"Jennifer S","non-dropping-particle":"","parse-names":false,"suffix":""}],"container-title":"Trauma, Violence, &amp; Abuse","id":"ITEM-1","issue":"3","issued":{"date-parts":[["2020"]]},"page":"439-455","publisher":"Sage Publications Sage CA: Los Angeles, CA","title":"Comprehensive sexuality education as a primary prevention strategy for sexual violence perpetration","type":"article-journal","volume":"21"},"uris":["http://www.mendeley.com/documents/?uuid=537f0eef-6b6c-4619-9780-0ae41d69faba"]}],"mendeley":{"formattedCitation":"(Schneider &amp; Hirsch, 2020)","plainTextFormattedCitation":"(Schneider &amp; Hirsch, 2020)","previouslyFormattedCitation":"(Schneider &amp; Hirsch, 2020)"},"properties":{"noteIndex":0},"schema":"https://github.com/citation-style-language/schema/raw/master/csl-citation.json"}</w:instrText>
      </w:r>
      <w:r w:rsidR="00F173EE">
        <w:fldChar w:fldCharType="separate"/>
      </w:r>
      <w:r w:rsidR="00F173EE" w:rsidRPr="00F173EE">
        <w:rPr>
          <w:noProof/>
        </w:rPr>
        <w:t>(Schneider &amp; Hirsch, 2020)</w:t>
      </w:r>
      <w:r w:rsidR="00F173EE">
        <w:fldChar w:fldCharType="end"/>
      </w:r>
      <w:r w:rsidR="008549F3" w:rsidRPr="008549F3">
        <w:t>.</w:t>
      </w:r>
    </w:p>
    <w:p w14:paraId="4B74AB39" w14:textId="311E09A8" w:rsidR="009059C8" w:rsidRDefault="001A1E9F" w:rsidP="001A1E9F">
      <w:pPr>
        <w:pStyle w:val="Heading2"/>
      </w:pPr>
      <w:r w:rsidRPr="001A1E9F">
        <w:t>Curriculum, Teaching Materials, and Learning as Strategies for Sexual Violence Prevention and Response</w:t>
      </w:r>
    </w:p>
    <w:p w14:paraId="7554512D" w14:textId="6ABE5104" w:rsidR="008549F3" w:rsidRPr="008549F3" w:rsidRDefault="001D0AC3" w:rsidP="001D0AC3">
      <w:r w:rsidRPr="001D0AC3">
        <w:t>The curriculum has a strategic role in preventing sexual violence in higher education. A curriculum does not merely function as a list of courses but also as an instrument for developing students’ knowledge, values, attitudes, and competencies. Through the curriculum, issues related to sexual violence can be incorporated into learning outcomes, course content, teaching methods, and assessment. Sexual violence prevention and response may be integrated explicitly through specific courses or incorporated across various interdisciplinary subjects. The concept of an integrated curriculum emphasizes that social issues can be embedded in learning activities to enable students to understand problems contextually and through a multidisciplinary perspective</w:t>
      </w:r>
      <w:r w:rsidR="008549F3" w:rsidRPr="008549F3">
        <w:t xml:space="preserve"> </w:t>
      </w:r>
      <w:r w:rsidR="00F173EE">
        <w:fldChar w:fldCharType="begin" w:fldLock="1"/>
      </w:r>
      <w:r w:rsidR="00F173EE">
        <w:instrText>ADDIN CSL_CITATION {"citationItems":[{"id":"ITEM-1","itemData":{"DOI":"10.17485/ijst/2018/v11i23/110489","author":[{"dropping-particle":"","family":"Yusran","given":"Sartiah","non-dropping-particle":"","parse-names":false,"suffix":""},{"dropping-particle":"","family":"Sabilu","given":"Yusuf","non-dropping-particle":"","parse-names":false,"suffix":""},{"dropping-particle":"","family":"Yuniar","given":"Nani","non-dropping-particle":"","parse-names":false,"suffix":""},{"dropping-particle":"","family":"Hanafi","given":"Hilaluddin","non-dropping-particle":"","parse-names":false,"suffix":""},{"dropping-particle":"","family":"Badara","given":"Haris","non-dropping-particle":"","parse-names":false,"suffix":""}],"container-title":"Indian J Sci Technol","id":"ITEM-1","issue":"23","issued":{"date-parts":[["2018"]]},"page":"1-9","title":"The needs of sexual and reproductive health education for secondary school in Kendari City, Southeast Sulawesi, Indonesia","type":"article-journal","volume":"11"},"uris":["http://www.mendeley.com/documents/?uuid=f59ce27c-5392-47f7-a100-e2f145f421c5"]}],"mendeley":{"formattedCitation":"(Yusran et al., 2018)","plainTextFormattedCitation":"(Yusran et al., 2018)","previouslyFormattedCitation":"(Yusran et al., 2018)"},"properties":{"noteIndex":0},"schema":"https://github.com/citation-style-language/schema/raw/master/csl-citation.json"}</w:instrText>
      </w:r>
      <w:r w:rsidR="00F173EE">
        <w:fldChar w:fldCharType="separate"/>
      </w:r>
      <w:r w:rsidR="00F173EE" w:rsidRPr="00F173EE">
        <w:rPr>
          <w:noProof/>
        </w:rPr>
        <w:t>(Yusran et al., 2018)</w:t>
      </w:r>
      <w:r w:rsidR="00F173EE">
        <w:fldChar w:fldCharType="end"/>
      </w:r>
      <w:r w:rsidR="008549F3" w:rsidRPr="008549F3">
        <w:t>.</w:t>
      </w:r>
    </w:p>
    <w:p w14:paraId="3EBB16DF" w14:textId="037951F7" w:rsidR="008549F3" w:rsidRPr="008549F3" w:rsidRDefault="001D0AC3" w:rsidP="002F2D12">
      <w:r w:rsidRPr="001D0AC3">
        <w:t>Teaching materials and learning processes are important instruments for strengthening the academic community’s understanding of sexual violence prevention and response. Teaching materials may include the concept of sexual violence, its various forms, power relations, consent, victims’ rights, reporting procedures, and assistance mechanisms. Studies concerning the integration of gender and reproductive health issues show that teaching materials can serve as an important medium for developing students’ critical awareness</w:t>
      </w:r>
      <w:r w:rsidR="008549F3" w:rsidRPr="008549F3">
        <w:t xml:space="preserve"> </w:t>
      </w:r>
      <w:r w:rsidR="00F173EE">
        <w:fldChar w:fldCharType="begin" w:fldLock="1"/>
      </w:r>
      <w:r w:rsidR="00F173EE">
        <w:instrText>ADDIN CSL_CITATION {"citationItems":[{"id":"ITEM-1","itemData":{"DOI":"10.15294/ujph.v11i1.50666","author":[{"dropping-particle":"","family":"Yusran","given":"Sartiah","non-dropping-particle":"","parse-names":false,"suffix":""},{"dropping-particle":"","family":"Astina","given":"Astina","non-dropping-particle":"","parse-names":false,"suffix":""},{"dropping-particle":"","family":"Sabilu","given":"Yusuf","non-dropping-particle":"","parse-names":false,"suffix":""},{"dropping-particle":"","family":"Sety","given":"La Ode Muhammad","non-dropping-particle":"","parse-names":false,"suffix":""},{"dropping-particle":"","family":"Akifah","given":"Akifah","non-dropping-particle":"","parse-names":false,"suffix":""},{"dropping-particle":"","family":"Rezal","given":"Farit","non-dropping-particle":"","parse-names":false,"suffix":""}],"container-title":"Unnes journal of public health","id":"ITEM-1","issue":"1","issued":{"date-parts":[["2022"]]},"page":"65-74","title":"Premarital sexual behaviour among urban-rural school teenagers in Southeast Sulawesi, Indonesia: comparative study","type":"article-journal","volume":"11"},"uris":["http://www.mendeley.com/documents/?uuid=75b690a0-bc53-40fe-bda7-aca041918c76"]}],"mendeley":{"formattedCitation":"(Yusran et al., 2022)","plainTextFormattedCitation":"(Yusran et al., 2022)","previouslyFormattedCitation":"(Yusran et al., 2022)"},"properties":{"noteIndex":0},"schema":"https://github.com/citation-style-language/schema/raw/master/csl-citation.json"}</w:instrText>
      </w:r>
      <w:r w:rsidR="00F173EE">
        <w:fldChar w:fldCharType="separate"/>
      </w:r>
      <w:r w:rsidR="00F173EE" w:rsidRPr="00F173EE">
        <w:rPr>
          <w:noProof/>
        </w:rPr>
        <w:t>(Yusran et al., 2022)</w:t>
      </w:r>
      <w:r w:rsidR="00F173EE">
        <w:fldChar w:fldCharType="end"/>
      </w:r>
      <w:r w:rsidR="008549F3" w:rsidRPr="008549F3">
        <w:t xml:space="preserve">. </w:t>
      </w:r>
      <w:r w:rsidRPr="001D0AC3">
        <w:t>Learning activities may be conducted through case discussions, problem-based learning, role-playing, critical reflection, reporting simulations, and collaborative learning. Evaluations of sexual violence education indicate that instructional interventions can increase students’ awareness of sexual violence and improve their understanding of victims’ experiences</w:t>
      </w:r>
      <w:r w:rsidR="008549F3" w:rsidRPr="008549F3">
        <w:t xml:space="preserve"> </w:t>
      </w:r>
      <w:r w:rsidR="00F173EE">
        <w:fldChar w:fldCharType="begin" w:fldLock="1"/>
      </w:r>
      <w:r w:rsidR="00F173EE">
        <w:instrText>ADDIN CSL_CITATION {"citationItems":[{"id":"ITEM-1","itemData":{"DOI":"10.1016/j.jflm.2013.06.010","author":[{"dropping-particle":"","family":"Kennedy","given":"Kieran M","non-dropping-particle":"","parse-names":false,"suffix":""},{"dropping-particle":"","family":"Vellinga","given":"Akke","non-dropping-particle":"","parse-names":false,"suffix":""},{"dropping-particle":"","family":"Bonner","given":"Niamh","non-dropping-particle":"","parse-names":false,"suffix":""},{"dropping-particle":"","family":"Stewart","given":"Brian","non-dropping-particle":"","parse-names":false,"suffix":""},{"dropping-particle":"","family":"McGrath","given":"Deirdre","non-dropping-particle":"","parse-names":false,"suffix":""}],"container-title":"Journal of forensic and legal medicine","id":"ITEM-1","issue":"6","issued":{"date-parts":[["2013"]]},"page":"582-587","publisher":"Elsevier","title":"How teaching on the care of the victim of sexual violence alters undergraduate medical students' awareness of the key issues involved in patient care and their attitudes to such patients","type":"article-journal","volume":"20"},"uris":["http://www.mendeley.com/documents/?uuid=d9970f8f-8579-4495-837f-52d5803b1970"]}],"mendeley":{"formattedCitation":"(Kennedy et al., 2013)","plainTextFormattedCitation":"(Kennedy et al., 2013)","previouslyFormattedCitation":"(Kennedy et al., 2013)"},"properties":{"noteIndex":0},"schema":"https://github.com/citation-style-language/schema/raw/master/csl-citation.json"}</w:instrText>
      </w:r>
      <w:r w:rsidR="00F173EE">
        <w:fldChar w:fldCharType="separate"/>
      </w:r>
      <w:r w:rsidR="00F173EE" w:rsidRPr="00F173EE">
        <w:rPr>
          <w:noProof/>
        </w:rPr>
        <w:t>(Kennedy et al., 2013)</w:t>
      </w:r>
      <w:r w:rsidR="00F173EE">
        <w:fldChar w:fldCharType="end"/>
      </w:r>
      <w:r w:rsidR="008549F3" w:rsidRPr="008549F3">
        <w:t xml:space="preserve">. </w:t>
      </w:r>
      <w:r w:rsidR="002F2D12" w:rsidRPr="002F2D12">
        <w:t>Comprehensive education on sexuality and sexual violence is also relevant as a prevention strategy because it can develop a critical understanding of relationships, consent, and social responsibility</w:t>
      </w:r>
      <w:r w:rsidR="008549F3" w:rsidRPr="008549F3">
        <w:t xml:space="preserve"> </w:t>
      </w:r>
      <w:r w:rsidR="00F173EE">
        <w:fldChar w:fldCharType="begin" w:fldLock="1"/>
      </w:r>
      <w:r w:rsidR="006C7C4E">
        <w:instrText>ADDIN CSL_CITATION {"citationItems":[{"id":"ITEM-1","itemData":{"DOI":"10.1177/1524838018772855","author":[{"dropping-particle":"","family":"Schneider","given":"Madeline","non-dropping-particle":"","parse-names":false,"suffix":""},{"dropping-particle":"","family":"Hirsch","given":"Jennifer S","non-dropping-particle":"","parse-names":false,"suffix":""}],"container-title":"Trauma, Violence, &amp; Abuse","id":"ITEM-1","issue":"3","issued":{"date-parts":[["2020"]]},"page":"439-455","publisher":"Sage Publications Sage CA: Los Angeles, CA","title":"Comprehensive sexuality education as a primary prevention strategy for sexual violence perpetration","type":"article-journal","volume":"21"},"uris":["http://www.mendeley.com/documents/?uuid=537f0eef-6b6c-4619-9780-0ae41d69faba"]}],"mendeley":{"formattedCitation":"(Schneider &amp; Hirsch, 2020)","plainTextFormattedCitation":"(Schneider &amp; Hirsch, 2020)","previouslyFormattedCitation":"(Schneider &amp; Hirsch, 2020)"},"properties":{"noteIndex":0},"schema":"https://github.com/citation-style-language/schema/raw/master/csl-citation.json"}</w:instrText>
      </w:r>
      <w:r w:rsidR="00F173EE">
        <w:fldChar w:fldCharType="separate"/>
      </w:r>
      <w:r w:rsidR="00F173EE" w:rsidRPr="00F173EE">
        <w:rPr>
          <w:noProof/>
        </w:rPr>
        <w:t>(Schneider &amp; Hirsch, 2020)</w:t>
      </w:r>
      <w:r w:rsidR="00F173EE">
        <w:fldChar w:fldCharType="end"/>
      </w:r>
      <w:r w:rsidR="008549F3" w:rsidRPr="008549F3">
        <w:t>.</w:t>
      </w:r>
      <w:r w:rsidR="00305C0F">
        <w:t xml:space="preserve"> </w:t>
      </w:r>
      <w:r w:rsidR="002F2D12" w:rsidRPr="002F2D12">
        <w:t>The prevention of sexual violence among university students also requires a sustainable approach that connects education, behavioral change, institutional support, and the evaluation of prevention programs</w:t>
      </w:r>
      <w:r w:rsidR="00305C0F">
        <w:t xml:space="preserve"> </w:t>
      </w:r>
      <w:r w:rsidR="00305C0F">
        <w:fldChar w:fldCharType="begin" w:fldLock="1"/>
      </w:r>
      <w:r w:rsidR="00095E91">
        <w:instrText>ADDIN CSL_CITATION {"citationItems":[{"id":"ITEM-1","itemData":{"DOI":"10.1080/07448481.2020.1757681","author":[{"dropping-particle":"","family":"Bonar","given":"Erin E","non-dropping-particle":"","parse-names":false,"suffix":""},{"dropping-particle":"","family":"DeGue","given":"Sarah","non-dropping-particle":"","parse-names":false,"suffix":""},{"dropping-particle":"","family":"Abbey","given":"Antonia","non-dropping-particle":"","parse-names":false,"suffix":""},{"dropping-particle":"","family":"Coker","given":"Ann L","non-dropping-particle":"","parse-names":false,"suffix":""},{"dropping-particle":"","family":"Lindquist","given":"Christine H","non-dropping-particle":"","parse-names":false,"suffix":""},{"dropping-particle":"","family":"McCauley","given":"Heather L","non-dropping-particle":"","parse-names":false,"suffix":""},{"dropping-particle":"","family":"Miller","given":"Elizabeth","non-dropping-particle":"","parse-names":false,"suffix":""},{"dropping-particle":"","family":"Senn","given":"Charlene Y","non-dropping-particle":"","parse-names":false,"suffix":""},{"dropping-particle":"","family":"Thompson","given":"Martie P","non-dropping-particle":"","parse-names":false,"suffix":""},{"dropping-particle":"","family":"Ngo","given":"Quyen M","non-dropping-particle":"","parse-names":false,"suffix":""},{"dropping-particle":"","family":"others","given":"","non-dropping-particle":"","parse-names":false,"suffix":""}],"container-title":"Journal of American college health","id":"ITEM-1","issue":"2","issued":{"date-parts":[["2022"]]},"page":"575-588","publisher":"Taylor &amp; Francis","title":"Prevention of sexual violence among college students: Current challenges and future directions","type":"article-journal","volume":"70"},"uris":["http://www.mendeley.com/documents/?uuid=28d590ff-01ad-4817-8963-3a3f830a2ddb"]}],"mendeley":{"formattedCitation":"(Bonar et al., 2022)","plainTextFormattedCitation":"(Bonar et al., 2022)","previouslyFormattedCitation":"(Bonar et al., 2022)"},"properties":{"noteIndex":0},"schema":"https://github.com/citation-style-language/schema/raw/master/csl-citation.json"}</w:instrText>
      </w:r>
      <w:r w:rsidR="00305C0F">
        <w:fldChar w:fldCharType="separate"/>
      </w:r>
      <w:r w:rsidR="00305C0F" w:rsidRPr="00305C0F">
        <w:rPr>
          <w:noProof/>
        </w:rPr>
        <w:t>(Bonar et al., 2022)</w:t>
      </w:r>
      <w:r w:rsidR="00305C0F">
        <w:fldChar w:fldCharType="end"/>
      </w:r>
      <w:r w:rsidR="00305C0F">
        <w:t>.</w:t>
      </w:r>
    </w:p>
    <w:p w14:paraId="5388013F" w14:textId="693CC2BD" w:rsidR="000E7F2F" w:rsidRDefault="007D0435" w:rsidP="007D0435">
      <w:pPr>
        <w:pStyle w:val="Heading1"/>
      </w:pPr>
      <w:r w:rsidRPr="007D0435">
        <w:t>METHODS</w:t>
      </w:r>
    </w:p>
    <w:p w14:paraId="6EA1A63D" w14:textId="521CE21B" w:rsidR="00C9310B" w:rsidRPr="00C9310B" w:rsidRDefault="00AC74B7" w:rsidP="00AC74B7">
      <w:r w:rsidRPr="00AC74B7">
        <w:t xml:space="preserve">This study employed a mixed-methods approach integrating quantitative and qualitative data. The quantitative approach was used to describe respondent characteristics, campus community members’ understanding of sexual violence, reporting experiences, and access to mechanisms for the Prevention and Handling of Sexual Violence (PPKS). The qualitative approach was used to examine how power relations, the normalization of sexual conduct, campus environmental responses, and weaknesses in reporting mechanisms contributed to a culture of silence. The study was conducted at three higher education institutions in Indonesia: </w:t>
      </w:r>
      <w:r w:rsidRPr="00AC74B7">
        <w:lastRenderedPageBreak/>
        <w:t>Halu Oleo University in Kendari, Universitas Islam Indonesia in Yogyakarta, and Syiah Kuala University in Banda Aceh.</w:t>
      </w:r>
    </w:p>
    <w:p w14:paraId="1E9A9D31" w14:textId="77777777" w:rsidR="00AC74B7" w:rsidRPr="00AC74B7" w:rsidRDefault="00AC74B7" w:rsidP="00AC74B7">
      <w:r w:rsidRPr="00AC74B7">
        <w:t>The study population comprised members of the academic community, including students, lecturers, and administrative staff from the three participating universities. A total of 435 respondents participated in the survey, 35 participants took part in focus group discussions, and 12 informants participated in in-depth interviews. The in-depth interview informants included university leaders, heads of study programs, and individuals involved in course management or the formulation and implementation of campus policies. Data were collected through surveys, in-depth interviews, focus group discussions, observations, and document reviews. The survey was used to collect quantitative data, while interviews, focus group discussions, observations, and document reviews were used to obtain qualitative data concerning institutional policies, PPKS mechanisms, and the integration of sexual violence issues into teaching and learning.</w:t>
      </w:r>
    </w:p>
    <w:p w14:paraId="2C8D15A0" w14:textId="77777777" w:rsidR="00AC74B7" w:rsidRPr="00AC74B7" w:rsidRDefault="00AC74B7" w:rsidP="00AC74B7">
      <w:r w:rsidRPr="00AC74B7">
        <w:t>Survey data were analyzed descriptively using frequency distributions and percentages. Qualitative data were analyzed through data categorization, thematic mapping, content analysis, pattern identification, and interpretation of data obtained from interviews, focus group discussions, observations, and documents. Data validity was strengthened through source, method, and time triangulation. The quantitative and qualitative findings were subsequently integrated to map the relationships among power relations, the normalization of violence, campus community literacy, access to reporting mechanisms, and the formation of a culture of silence in cases of sexual violence in higher education institutions.</w:t>
      </w:r>
    </w:p>
    <w:p w14:paraId="398E9911" w14:textId="2C4364E1" w:rsidR="00B13585" w:rsidRDefault="00966A96" w:rsidP="00966A96">
      <w:pPr>
        <w:pStyle w:val="Heading1"/>
      </w:pPr>
      <w:r w:rsidRPr="00966A96">
        <w:t>RESULTS AND DISCUSSION</w:t>
      </w:r>
    </w:p>
    <w:p w14:paraId="6C8868B8" w14:textId="3AE43DDC" w:rsidR="003833B9" w:rsidRDefault="00C06D0E" w:rsidP="00C06D0E">
      <w:pPr>
        <w:pStyle w:val="Heading2"/>
        <w:numPr>
          <w:ilvl w:val="0"/>
          <w:numId w:val="14"/>
        </w:numPr>
        <w:ind w:left="357" w:hanging="357"/>
      </w:pPr>
      <w:r w:rsidRPr="00C06D0E">
        <w:t>Respondent Characteristics</w:t>
      </w:r>
    </w:p>
    <w:p w14:paraId="4DAF7E90" w14:textId="54E35275" w:rsidR="003833B9" w:rsidRDefault="00C06D0E" w:rsidP="00C06D0E">
      <w:r w:rsidRPr="00C06D0E">
        <w:t>This study involved members of the academic communities of Halu Oleo University, Universitas Islam Indonesia, and Universitas Syiah Kuala. The respondents consisted of students, lecturers, and administrative staff. The participation of these three groups was necessary to obtain a comprehensive overview of campus community members’ understanding and experiences regarding the prevention, handling, and reporting of sexual violence. Based on the collected data, female respondents outnumbered male respondents. The respondents were also predominantly under 25 years of age and were mostly students.</w:t>
      </w:r>
    </w:p>
    <w:p w14:paraId="3E123C9C" w14:textId="3B320C9A" w:rsidR="00A60072" w:rsidRPr="00A60072" w:rsidRDefault="00A60072" w:rsidP="00C06D0E">
      <w:pPr>
        <w:pStyle w:val="Caption"/>
        <w:keepNext/>
        <w:spacing w:before="200" w:after="0" w:line="360" w:lineRule="auto"/>
        <w:ind w:firstLine="0"/>
        <w:jc w:val="center"/>
        <w:rPr>
          <w:i w:val="0"/>
          <w:iCs w:val="0"/>
          <w:color w:val="auto"/>
          <w:sz w:val="24"/>
          <w:szCs w:val="24"/>
        </w:rPr>
      </w:pPr>
      <w:r w:rsidRPr="00A60072">
        <w:rPr>
          <w:b/>
          <w:bCs/>
          <w:i w:val="0"/>
          <w:iCs w:val="0"/>
          <w:color w:val="auto"/>
          <w:sz w:val="24"/>
          <w:szCs w:val="24"/>
        </w:rPr>
        <w:t>Tab</w:t>
      </w:r>
      <w:r w:rsidR="00C06D0E">
        <w:rPr>
          <w:b/>
          <w:bCs/>
          <w:i w:val="0"/>
          <w:iCs w:val="0"/>
          <w:color w:val="auto"/>
          <w:sz w:val="24"/>
          <w:szCs w:val="24"/>
        </w:rPr>
        <w:t>le</w:t>
      </w:r>
      <w:r w:rsidRPr="00A60072">
        <w:rPr>
          <w:b/>
          <w:bCs/>
          <w:i w:val="0"/>
          <w:iCs w:val="0"/>
          <w:color w:val="auto"/>
          <w:sz w:val="24"/>
          <w:szCs w:val="24"/>
        </w:rPr>
        <w:t xml:space="preserve"> </w:t>
      </w:r>
      <w:r w:rsidRPr="00A60072">
        <w:rPr>
          <w:b/>
          <w:bCs/>
          <w:i w:val="0"/>
          <w:iCs w:val="0"/>
          <w:color w:val="auto"/>
          <w:sz w:val="24"/>
          <w:szCs w:val="24"/>
        </w:rPr>
        <w:fldChar w:fldCharType="begin"/>
      </w:r>
      <w:r w:rsidRPr="00A60072">
        <w:rPr>
          <w:b/>
          <w:bCs/>
          <w:i w:val="0"/>
          <w:iCs w:val="0"/>
          <w:color w:val="auto"/>
          <w:sz w:val="24"/>
          <w:szCs w:val="24"/>
        </w:rPr>
        <w:instrText xml:space="preserve"> SEQ Tabel \* ARABIC </w:instrText>
      </w:r>
      <w:r w:rsidRPr="00A60072">
        <w:rPr>
          <w:b/>
          <w:bCs/>
          <w:i w:val="0"/>
          <w:iCs w:val="0"/>
          <w:color w:val="auto"/>
          <w:sz w:val="24"/>
          <w:szCs w:val="24"/>
        </w:rPr>
        <w:fldChar w:fldCharType="separate"/>
      </w:r>
      <w:r w:rsidR="005949A8">
        <w:rPr>
          <w:b/>
          <w:bCs/>
          <w:i w:val="0"/>
          <w:iCs w:val="0"/>
          <w:noProof/>
          <w:color w:val="auto"/>
          <w:sz w:val="24"/>
          <w:szCs w:val="24"/>
        </w:rPr>
        <w:t>1</w:t>
      </w:r>
      <w:r w:rsidRPr="00A60072">
        <w:rPr>
          <w:b/>
          <w:bCs/>
          <w:i w:val="0"/>
          <w:iCs w:val="0"/>
          <w:color w:val="auto"/>
          <w:sz w:val="24"/>
          <w:szCs w:val="24"/>
        </w:rPr>
        <w:fldChar w:fldCharType="end"/>
      </w:r>
      <w:r w:rsidRPr="00A60072">
        <w:rPr>
          <w:b/>
          <w:bCs/>
          <w:i w:val="0"/>
          <w:iCs w:val="0"/>
          <w:color w:val="auto"/>
          <w:sz w:val="24"/>
          <w:szCs w:val="24"/>
          <w:lang w:val="en-US"/>
        </w:rPr>
        <w:t xml:space="preserve">. </w:t>
      </w:r>
      <w:r w:rsidR="00C06D0E" w:rsidRPr="00C06D0E">
        <w:rPr>
          <w:i w:val="0"/>
          <w:iCs w:val="0"/>
          <w:color w:val="auto"/>
          <w:sz w:val="24"/>
          <w:szCs w:val="24"/>
        </w:rPr>
        <w:t>Respondent Characteristics</w:t>
      </w:r>
    </w:p>
    <w:tbl>
      <w:tblPr>
        <w:tblStyle w:val="TableGrid"/>
        <w:tblW w:w="0" w:type="auto"/>
        <w:tblLook w:val="04A0" w:firstRow="1" w:lastRow="0" w:firstColumn="1" w:lastColumn="0" w:noHBand="0" w:noVBand="1"/>
      </w:tblPr>
      <w:tblGrid>
        <w:gridCol w:w="3256"/>
        <w:gridCol w:w="1559"/>
        <w:gridCol w:w="1559"/>
        <w:gridCol w:w="1553"/>
      </w:tblGrid>
      <w:tr w:rsidR="00F5292E" w:rsidRPr="00F5292E" w14:paraId="5EE607BD" w14:textId="77777777" w:rsidTr="00F5292E">
        <w:tc>
          <w:tcPr>
            <w:tcW w:w="3256" w:type="dxa"/>
            <w:vMerge w:val="restart"/>
            <w:vAlign w:val="center"/>
          </w:tcPr>
          <w:p w14:paraId="3FD9AE01" w14:textId="55C0B654" w:rsidR="00F5292E" w:rsidRPr="00F5292E" w:rsidRDefault="00F5292E" w:rsidP="00F5292E">
            <w:pPr>
              <w:spacing w:line="240" w:lineRule="auto"/>
              <w:ind w:firstLine="0"/>
              <w:jc w:val="center"/>
              <w:rPr>
                <w:rFonts w:cs="Times New Roman"/>
              </w:rPr>
            </w:pPr>
            <w:r w:rsidRPr="00F5292E">
              <w:rPr>
                <w:rFonts w:cs="Times New Roman"/>
              </w:rPr>
              <w:t>Characteristic /Variable</w:t>
            </w:r>
          </w:p>
        </w:tc>
        <w:tc>
          <w:tcPr>
            <w:tcW w:w="4671" w:type="dxa"/>
            <w:gridSpan w:val="3"/>
            <w:vAlign w:val="center"/>
          </w:tcPr>
          <w:p w14:paraId="78DD5A81" w14:textId="269F6EB2" w:rsidR="00F5292E" w:rsidRPr="00F5292E" w:rsidRDefault="00F5292E" w:rsidP="00F5292E">
            <w:pPr>
              <w:spacing w:line="240" w:lineRule="auto"/>
              <w:ind w:firstLine="0"/>
              <w:jc w:val="center"/>
              <w:rPr>
                <w:rFonts w:cs="Times New Roman"/>
              </w:rPr>
            </w:pPr>
            <w:r w:rsidRPr="00F5292E">
              <w:rPr>
                <w:rFonts w:cs="Times New Roman"/>
              </w:rPr>
              <w:t>Frequency</w:t>
            </w:r>
          </w:p>
        </w:tc>
      </w:tr>
      <w:tr w:rsidR="00F5292E" w:rsidRPr="00F5292E" w14:paraId="4FA755E6" w14:textId="77777777" w:rsidTr="00F5292E">
        <w:tc>
          <w:tcPr>
            <w:tcW w:w="3256" w:type="dxa"/>
            <w:vMerge/>
            <w:vAlign w:val="center"/>
          </w:tcPr>
          <w:p w14:paraId="39C3C7AF" w14:textId="77777777" w:rsidR="00F5292E" w:rsidRPr="00F5292E" w:rsidRDefault="00F5292E" w:rsidP="00F5292E">
            <w:pPr>
              <w:spacing w:line="240" w:lineRule="auto"/>
              <w:ind w:firstLine="0"/>
              <w:jc w:val="center"/>
              <w:rPr>
                <w:rFonts w:cs="Times New Roman"/>
              </w:rPr>
            </w:pPr>
          </w:p>
        </w:tc>
        <w:tc>
          <w:tcPr>
            <w:tcW w:w="1559" w:type="dxa"/>
            <w:vAlign w:val="center"/>
          </w:tcPr>
          <w:p w14:paraId="26D05F3D" w14:textId="54A98DAB" w:rsidR="00F5292E" w:rsidRPr="00F5292E" w:rsidRDefault="00F5292E" w:rsidP="00F5292E">
            <w:pPr>
              <w:spacing w:line="240" w:lineRule="auto"/>
              <w:ind w:firstLine="0"/>
              <w:jc w:val="center"/>
              <w:rPr>
                <w:rFonts w:cs="Times New Roman"/>
              </w:rPr>
            </w:pPr>
            <w:r w:rsidRPr="00F5292E">
              <w:rPr>
                <w:rFonts w:cs="Times New Roman"/>
              </w:rPr>
              <w:t>UHO</w:t>
            </w:r>
          </w:p>
        </w:tc>
        <w:tc>
          <w:tcPr>
            <w:tcW w:w="1559" w:type="dxa"/>
            <w:vAlign w:val="center"/>
          </w:tcPr>
          <w:p w14:paraId="22E278C2" w14:textId="07ACB789" w:rsidR="00F5292E" w:rsidRPr="00F5292E" w:rsidRDefault="00F5292E" w:rsidP="00F5292E">
            <w:pPr>
              <w:spacing w:line="240" w:lineRule="auto"/>
              <w:ind w:firstLine="0"/>
              <w:jc w:val="center"/>
              <w:rPr>
                <w:rFonts w:cs="Times New Roman"/>
              </w:rPr>
            </w:pPr>
            <w:r w:rsidRPr="00F5292E">
              <w:rPr>
                <w:rFonts w:cs="Times New Roman"/>
              </w:rPr>
              <w:t>UII</w:t>
            </w:r>
          </w:p>
        </w:tc>
        <w:tc>
          <w:tcPr>
            <w:tcW w:w="1553" w:type="dxa"/>
            <w:vAlign w:val="center"/>
          </w:tcPr>
          <w:p w14:paraId="653F7CE5" w14:textId="0809B127" w:rsidR="00F5292E" w:rsidRPr="00F5292E" w:rsidRDefault="00F5292E" w:rsidP="00F5292E">
            <w:pPr>
              <w:spacing w:line="240" w:lineRule="auto"/>
              <w:ind w:firstLine="0"/>
              <w:jc w:val="center"/>
              <w:rPr>
                <w:rFonts w:cs="Times New Roman"/>
              </w:rPr>
            </w:pPr>
            <w:r w:rsidRPr="00F5292E">
              <w:rPr>
                <w:rFonts w:cs="Times New Roman"/>
              </w:rPr>
              <w:t>USK</w:t>
            </w:r>
          </w:p>
        </w:tc>
      </w:tr>
      <w:tr w:rsidR="00F5292E" w:rsidRPr="00F5292E" w14:paraId="5B9774DD" w14:textId="77777777" w:rsidTr="00D227C5">
        <w:tc>
          <w:tcPr>
            <w:tcW w:w="7927" w:type="dxa"/>
            <w:gridSpan w:val="4"/>
          </w:tcPr>
          <w:p w14:paraId="3ED71041" w14:textId="1FFDEAAB" w:rsidR="00F5292E" w:rsidRPr="00F5292E" w:rsidRDefault="00F5292E" w:rsidP="00F5292E">
            <w:pPr>
              <w:spacing w:line="240" w:lineRule="auto"/>
              <w:ind w:firstLine="0"/>
              <w:rPr>
                <w:rFonts w:cs="Times New Roman"/>
              </w:rPr>
            </w:pPr>
            <w:r w:rsidRPr="00F5292E">
              <w:rPr>
                <w:rFonts w:cs="Times New Roman"/>
              </w:rPr>
              <w:t>Sex</w:t>
            </w:r>
          </w:p>
        </w:tc>
      </w:tr>
      <w:tr w:rsidR="00585088" w:rsidRPr="00F5292E" w14:paraId="3CD8B3CC" w14:textId="77777777" w:rsidTr="00F5292E">
        <w:tc>
          <w:tcPr>
            <w:tcW w:w="3256" w:type="dxa"/>
          </w:tcPr>
          <w:p w14:paraId="5C6B27A9" w14:textId="5451F029" w:rsidR="00585088" w:rsidRPr="00F5292E" w:rsidRDefault="00585088" w:rsidP="00F5292E">
            <w:pPr>
              <w:spacing w:line="240" w:lineRule="auto"/>
              <w:ind w:firstLine="0"/>
              <w:rPr>
                <w:rFonts w:cs="Times New Roman"/>
              </w:rPr>
            </w:pPr>
            <w:r w:rsidRPr="00F5292E">
              <w:rPr>
                <w:rFonts w:cs="Times New Roman"/>
              </w:rPr>
              <w:t>Male</w:t>
            </w:r>
          </w:p>
        </w:tc>
        <w:tc>
          <w:tcPr>
            <w:tcW w:w="1559" w:type="dxa"/>
          </w:tcPr>
          <w:p w14:paraId="15DD7562" w14:textId="66773E3E" w:rsidR="00585088" w:rsidRPr="00F5292E" w:rsidRDefault="00585088" w:rsidP="00F5292E">
            <w:pPr>
              <w:spacing w:line="240" w:lineRule="auto"/>
              <w:ind w:firstLine="0"/>
              <w:jc w:val="center"/>
              <w:rPr>
                <w:rFonts w:cs="Times New Roman"/>
              </w:rPr>
            </w:pPr>
            <w:r w:rsidRPr="00F5292E">
              <w:rPr>
                <w:rFonts w:cs="Times New Roman"/>
              </w:rPr>
              <w:t>64</w:t>
            </w:r>
          </w:p>
        </w:tc>
        <w:tc>
          <w:tcPr>
            <w:tcW w:w="1559" w:type="dxa"/>
          </w:tcPr>
          <w:p w14:paraId="6BECF529" w14:textId="079BB934" w:rsidR="00585088" w:rsidRPr="00F5292E" w:rsidRDefault="00585088" w:rsidP="00F5292E">
            <w:pPr>
              <w:spacing w:line="240" w:lineRule="auto"/>
              <w:ind w:firstLine="0"/>
              <w:jc w:val="center"/>
              <w:rPr>
                <w:rFonts w:cs="Times New Roman"/>
              </w:rPr>
            </w:pPr>
            <w:r w:rsidRPr="00F5292E">
              <w:rPr>
                <w:rFonts w:cs="Times New Roman"/>
              </w:rPr>
              <w:t>71</w:t>
            </w:r>
          </w:p>
        </w:tc>
        <w:tc>
          <w:tcPr>
            <w:tcW w:w="1553" w:type="dxa"/>
          </w:tcPr>
          <w:p w14:paraId="7C860773" w14:textId="7C1CA9D9" w:rsidR="00585088" w:rsidRPr="00F5292E" w:rsidRDefault="00585088" w:rsidP="00F5292E">
            <w:pPr>
              <w:spacing w:line="240" w:lineRule="auto"/>
              <w:ind w:firstLine="0"/>
              <w:jc w:val="center"/>
              <w:rPr>
                <w:rFonts w:cs="Times New Roman"/>
              </w:rPr>
            </w:pPr>
            <w:r w:rsidRPr="00F5292E">
              <w:rPr>
                <w:rFonts w:cs="Times New Roman"/>
              </w:rPr>
              <w:t>25</w:t>
            </w:r>
          </w:p>
        </w:tc>
      </w:tr>
      <w:tr w:rsidR="00585088" w:rsidRPr="00F5292E" w14:paraId="7E246EB1" w14:textId="77777777" w:rsidTr="00F5292E">
        <w:tc>
          <w:tcPr>
            <w:tcW w:w="3256" w:type="dxa"/>
          </w:tcPr>
          <w:p w14:paraId="60767E09" w14:textId="72ACDF3E" w:rsidR="00585088" w:rsidRPr="00F5292E" w:rsidRDefault="00585088" w:rsidP="00F5292E">
            <w:pPr>
              <w:spacing w:line="240" w:lineRule="auto"/>
              <w:ind w:firstLine="0"/>
              <w:rPr>
                <w:rFonts w:cs="Times New Roman"/>
              </w:rPr>
            </w:pPr>
            <w:r w:rsidRPr="00F5292E">
              <w:rPr>
                <w:rFonts w:cs="Times New Roman"/>
              </w:rPr>
              <w:t>Female</w:t>
            </w:r>
          </w:p>
        </w:tc>
        <w:tc>
          <w:tcPr>
            <w:tcW w:w="1559" w:type="dxa"/>
          </w:tcPr>
          <w:p w14:paraId="3CCE12CF" w14:textId="6CFD3FA3" w:rsidR="00585088" w:rsidRPr="00F5292E" w:rsidRDefault="00585088" w:rsidP="00F5292E">
            <w:pPr>
              <w:spacing w:line="240" w:lineRule="auto"/>
              <w:ind w:firstLine="0"/>
              <w:jc w:val="center"/>
              <w:rPr>
                <w:rFonts w:cs="Times New Roman"/>
              </w:rPr>
            </w:pPr>
            <w:r w:rsidRPr="00F5292E">
              <w:rPr>
                <w:rFonts w:cs="Times New Roman"/>
              </w:rPr>
              <w:t>124</w:t>
            </w:r>
          </w:p>
        </w:tc>
        <w:tc>
          <w:tcPr>
            <w:tcW w:w="1559" w:type="dxa"/>
          </w:tcPr>
          <w:p w14:paraId="48B46C7C" w14:textId="4A7F42A1" w:rsidR="00585088" w:rsidRPr="00F5292E" w:rsidRDefault="00585088" w:rsidP="00F5292E">
            <w:pPr>
              <w:spacing w:line="240" w:lineRule="auto"/>
              <w:ind w:firstLine="0"/>
              <w:jc w:val="center"/>
              <w:rPr>
                <w:rFonts w:cs="Times New Roman"/>
              </w:rPr>
            </w:pPr>
            <w:r w:rsidRPr="00F5292E">
              <w:rPr>
                <w:rFonts w:cs="Times New Roman"/>
              </w:rPr>
              <w:t>91</w:t>
            </w:r>
          </w:p>
        </w:tc>
        <w:tc>
          <w:tcPr>
            <w:tcW w:w="1553" w:type="dxa"/>
          </w:tcPr>
          <w:p w14:paraId="4CB2B05B" w14:textId="0F2C026B" w:rsidR="00585088" w:rsidRPr="00F5292E" w:rsidRDefault="00585088" w:rsidP="00F5292E">
            <w:pPr>
              <w:spacing w:line="240" w:lineRule="auto"/>
              <w:ind w:firstLine="0"/>
              <w:jc w:val="center"/>
              <w:rPr>
                <w:rFonts w:cs="Times New Roman"/>
              </w:rPr>
            </w:pPr>
            <w:r w:rsidRPr="00F5292E">
              <w:rPr>
                <w:rFonts w:cs="Times New Roman"/>
              </w:rPr>
              <w:t>82</w:t>
            </w:r>
          </w:p>
        </w:tc>
      </w:tr>
      <w:tr w:rsidR="00585088" w:rsidRPr="00F5292E" w14:paraId="1F909419" w14:textId="77777777" w:rsidTr="00F5292E">
        <w:tc>
          <w:tcPr>
            <w:tcW w:w="3256" w:type="dxa"/>
          </w:tcPr>
          <w:p w14:paraId="56B7821F" w14:textId="266573E0" w:rsidR="00585088" w:rsidRPr="00F5292E" w:rsidRDefault="00585088" w:rsidP="00F5292E">
            <w:pPr>
              <w:spacing w:line="240" w:lineRule="auto"/>
              <w:ind w:firstLine="0"/>
              <w:rPr>
                <w:rFonts w:cs="Times New Roman"/>
              </w:rPr>
            </w:pPr>
            <w:r w:rsidRPr="00F5292E">
              <w:rPr>
                <w:rFonts w:cs="Times New Roman"/>
              </w:rPr>
              <w:lastRenderedPageBreak/>
              <w:t xml:space="preserve">Total </w:t>
            </w:r>
          </w:p>
        </w:tc>
        <w:tc>
          <w:tcPr>
            <w:tcW w:w="1559" w:type="dxa"/>
          </w:tcPr>
          <w:p w14:paraId="5907C8FC" w14:textId="1D1B2A46" w:rsidR="00585088" w:rsidRPr="00F5292E" w:rsidRDefault="00585088" w:rsidP="00F5292E">
            <w:pPr>
              <w:spacing w:line="240" w:lineRule="auto"/>
              <w:ind w:firstLine="0"/>
              <w:jc w:val="center"/>
              <w:rPr>
                <w:rFonts w:cs="Times New Roman"/>
              </w:rPr>
            </w:pPr>
            <w:r w:rsidRPr="00F5292E">
              <w:rPr>
                <w:rFonts w:cs="Times New Roman"/>
              </w:rPr>
              <w:t>188</w:t>
            </w:r>
          </w:p>
        </w:tc>
        <w:tc>
          <w:tcPr>
            <w:tcW w:w="1559" w:type="dxa"/>
          </w:tcPr>
          <w:p w14:paraId="1AB650B4" w14:textId="3631875D" w:rsidR="00585088" w:rsidRPr="00F5292E" w:rsidRDefault="00585088" w:rsidP="00F5292E">
            <w:pPr>
              <w:spacing w:line="240" w:lineRule="auto"/>
              <w:ind w:firstLine="0"/>
              <w:jc w:val="center"/>
              <w:rPr>
                <w:rFonts w:cs="Times New Roman"/>
              </w:rPr>
            </w:pPr>
            <w:r w:rsidRPr="00F5292E">
              <w:rPr>
                <w:rFonts w:cs="Times New Roman"/>
              </w:rPr>
              <w:t>162</w:t>
            </w:r>
          </w:p>
        </w:tc>
        <w:tc>
          <w:tcPr>
            <w:tcW w:w="1553" w:type="dxa"/>
          </w:tcPr>
          <w:p w14:paraId="5F42C51B" w14:textId="2522BCA6" w:rsidR="00585088" w:rsidRPr="00F5292E" w:rsidRDefault="00585088" w:rsidP="00F5292E">
            <w:pPr>
              <w:spacing w:line="240" w:lineRule="auto"/>
              <w:ind w:firstLine="0"/>
              <w:jc w:val="center"/>
              <w:rPr>
                <w:rFonts w:cs="Times New Roman"/>
              </w:rPr>
            </w:pPr>
            <w:r w:rsidRPr="00F5292E">
              <w:rPr>
                <w:rFonts w:cs="Times New Roman"/>
              </w:rPr>
              <w:t>107</w:t>
            </w:r>
          </w:p>
        </w:tc>
      </w:tr>
      <w:tr w:rsidR="00F5292E" w:rsidRPr="00F5292E" w14:paraId="7B869301" w14:textId="77777777" w:rsidTr="00047B79">
        <w:tc>
          <w:tcPr>
            <w:tcW w:w="7927" w:type="dxa"/>
            <w:gridSpan w:val="4"/>
          </w:tcPr>
          <w:p w14:paraId="0F6046BE" w14:textId="7B68E931" w:rsidR="00F5292E" w:rsidRPr="00F5292E" w:rsidRDefault="00F5292E" w:rsidP="00F5292E">
            <w:pPr>
              <w:spacing w:line="240" w:lineRule="auto"/>
              <w:ind w:firstLine="0"/>
              <w:rPr>
                <w:rFonts w:cs="Times New Roman"/>
              </w:rPr>
            </w:pPr>
            <w:r w:rsidRPr="00F5292E">
              <w:rPr>
                <w:rFonts w:cs="Times New Roman"/>
              </w:rPr>
              <w:t>Age</w:t>
            </w:r>
          </w:p>
        </w:tc>
      </w:tr>
      <w:tr w:rsidR="00585088" w:rsidRPr="00F5292E" w14:paraId="425BE54F" w14:textId="77777777" w:rsidTr="00F5292E">
        <w:tc>
          <w:tcPr>
            <w:tcW w:w="3256" w:type="dxa"/>
          </w:tcPr>
          <w:p w14:paraId="74C27F1A" w14:textId="37AA04A6" w:rsidR="00585088" w:rsidRPr="00F5292E" w:rsidRDefault="00585088" w:rsidP="00F5292E">
            <w:pPr>
              <w:spacing w:line="240" w:lineRule="auto"/>
              <w:ind w:firstLine="0"/>
              <w:rPr>
                <w:rFonts w:cs="Times New Roman"/>
              </w:rPr>
            </w:pPr>
            <w:r w:rsidRPr="00F5292E">
              <w:rPr>
                <w:rFonts w:cs="Times New Roman"/>
              </w:rPr>
              <w:t>&lt; 25</w:t>
            </w:r>
          </w:p>
        </w:tc>
        <w:tc>
          <w:tcPr>
            <w:tcW w:w="1559" w:type="dxa"/>
          </w:tcPr>
          <w:p w14:paraId="6492FE75" w14:textId="108118CB" w:rsidR="00585088" w:rsidRPr="00F5292E" w:rsidRDefault="00585088" w:rsidP="00F5292E">
            <w:pPr>
              <w:spacing w:line="240" w:lineRule="auto"/>
              <w:ind w:firstLine="0"/>
              <w:jc w:val="center"/>
              <w:rPr>
                <w:rFonts w:cs="Times New Roman"/>
              </w:rPr>
            </w:pPr>
            <w:r w:rsidRPr="00F5292E">
              <w:rPr>
                <w:rFonts w:cs="Times New Roman"/>
              </w:rPr>
              <w:t>112</w:t>
            </w:r>
          </w:p>
        </w:tc>
        <w:tc>
          <w:tcPr>
            <w:tcW w:w="1559" w:type="dxa"/>
          </w:tcPr>
          <w:p w14:paraId="7638ABA3" w14:textId="43A0D7F9" w:rsidR="00585088" w:rsidRPr="00F5292E" w:rsidRDefault="00585088" w:rsidP="00F5292E">
            <w:pPr>
              <w:spacing w:line="240" w:lineRule="auto"/>
              <w:ind w:firstLine="0"/>
              <w:jc w:val="center"/>
              <w:rPr>
                <w:rFonts w:cs="Times New Roman"/>
              </w:rPr>
            </w:pPr>
            <w:r w:rsidRPr="00F5292E">
              <w:rPr>
                <w:rFonts w:cs="Times New Roman"/>
              </w:rPr>
              <w:t>122</w:t>
            </w:r>
          </w:p>
        </w:tc>
        <w:tc>
          <w:tcPr>
            <w:tcW w:w="1553" w:type="dxa"/>
          </w:tcPr>
          <w:p w14:paraId="771D83F2" w14:textId="0C8A3617" w:rsidR="00585088" w:rsidRPr="00F5292E" w:rsidRDefault="00585088" w:rsidP="00F5292E">
            <w:pPr>
              <w:spacing w:line="240" w:lineRule="auto"/>
              <w:ind w:firstLine="0"/>
              <w:jc w:val="center"/>
              <w:rPr>
                <w:rFonts w:cs="Times New Roman"/>
              </w:rPr>
            </w:pPr>
            <w:r w:rsidRPr="00F5292E">
              <w:rPr>
                <w:rFonts w:cs="Times New Roman"/>
              </w:rPr>
              <w:t>80</w:t>
            </w:r>
          </w:p>
        </w:tc>
      </w:tr>
      <w:tr w:rsidR="00585088" w:rsidRPr="00F5292E" w14:paraId="4AA83A6C" w14:textId="77777777" w:rsidTr="00F5292E">
        <w:tc>
          <w:tcPr>
            <w:tcW w:w="3256" w:type="dxa"/>
          </w:tcPr>
          <w:p w14:paraId="5A78CE0E" w14:textId="2D49C089" w:rsidR="00585088" w:rsidRPr="00F5292E" w:rsidRDefault="00585088" w:rsidP="00F5292E">
            <w:pPr>
              <w:spacing w:line="240" w:lineRule="auto"/>
              <w:ind w:firstLine="0"/>
              <w:rPr>
                <w:rFonts w:cs="Times New Roman"/>
              </w:rPr>
            </w:pPr>
            <w:r w:rsidRPr="00F5292E">
              <w:rPr>
                <w:rFonts w:cs="Times New Roman"/>
              </w:rPr>
              <w:t>25-40</w:t>
            </w:r>
          </w:p>
        </w:tc>
        <w:tc>
          <w:tcPr>
            <w:tcW w:w="1559" w:type="dxa"/>
          </w:tcPr>
          <w:p w14:paraId="6785DE6D" w14:textId="016C19BF" w:rsidR="00585088" w:rsidRPr="00F5292E" w:rsidRDefault="00585088" w:rsidP="00F5292E">
            <w:pPr>
              <w:spacing w:line="240" w:lineRule="auto"/>
              <w:ind w:firstLine="0"/>
              <w:jc w:val="center"/>
              <w:rPr>
                <w:rFonts w:cs="Times New Roman"/>
              </w:rPr>
            </w:pPr>
            <w:r w:rsidRPr="00F5292E">
              <w:rPr>
                <w:rFonts w:cs="Times New Roman"/>
              </w:rPr>
              <w:t>51</w:t>
            </w:r>
          </w:p>
        </w:tc>
        <w:tc>
          <w:tcPr>
            <w:tcW w:w="1559" w:type="dxa"/>
          </w:tcPr>
          <w:p w14:paraId="15B2F8A8" w14:textId="2B245CED" w:rsidR="00585088" w:rsidRPr="00F5292E" w:rsidRDefault="00585088" w:rsidP="00F5292E">
            <w:pPr>
              <w:spacing w:line="240" w:lineRule="auto"/>
              <w:ind w:firstLine="0"/>
              <w:jc w:val="center"/>
              <w:rPr>
                <w:rFonts w:cs="Times New Roman"/>
              </w:rPr>
            </w:pPr>
            <w:r w:rsidRPr="00F5292E">
              <w:rPr>
                <w:rFonts w:cs="Times New Roman"/>
              </w:rPr>
              <w:t>13</w:t>
            </w:r>
          </w:p>
        </w:tc>
        <w:tc>
          <w:tcPr>
            <w:tcW w:w="1553" w:type="dxa"/>
          </w:tcPr>
          <w:p w14:paraId="0DF9FE94" w14:textId="2D0DADD7" w:rsidR="00585088" w:rsidRPr="00F5292E" w:rsidRDefault="00585088" w:rsidP="00F5292E">
            <w:pPr>
              <w:spacing w:line="240" w:lineRule="auto"/>
              <w:ind w:firstLine="0"/>
              <w:jc w:val="center"/>
              <w:rPr>
                <w:rFonts w:cs="Times New Roman"/>
              </w:rPr>
            </w:pPr>
            <w:r w:rsidRPr="00F5292E">
              <w:rPr>
                <w:rFonts w:cs="Times New Roman"/>
              </w:rPr>
              <w:t>15</w:t>
            </w:r>
          </w:p>
        </w:tc>
      </w:tr>
      <w:tr w:rsidR="00585088" w:rsidRPr="00F5292E" w14:paraId="4840B974" w14:textId="77777777" w:rsidTr="00F5292E">
        <w:tc>
          <w:tcPr>
            <w:tcW w:w="3256" w:type="dxa"/>
          </w:tcPr>
          <w:p w14:paraId="32D62617" w14:textId="00D2E9DD" w:rsidR="00585088" w:rsidRPr="00F5292E" w:rsidRDefault="00585088" w:rsidP="00F5292E">
            <w:pPr>
              <w:spacing w:line="240" w:lineRule="auto"/>
              <w:ind w:firstLine="0"/>
              <w:rPr>
                <w:rFonts w:cs="Times New Roman"/>
              </w:rPr>
            </w:pPr>
            <w:r w:rsidRPr="00F5292E">
              <w:rPr>
                <w:rFonts w:cs="Times New Roman"/>
              </w:rPr>
              <w:t>41-55</w:t>
            </w:r>
          </w:p>
        </w:tc>
        <w:tc>
          <w:tcPr>
            <w:tcW w:w="1559" w:type="dxa"/>
          </w:tcPr>
          <w:p w14:paraId="5C800690" w14:textId="36626976" w:rsidR="00585088" w:rsidRPr="00F5292E" w:rsidRDefault="00585088" w:rsidP="00F5292E">
            <w:pPr>
              <w:spacing w:line="240" w:lineRule="auto"/>
              <w:ind w:firstLine="0"/>
              <w:jc w:val="center"/>
              <w:rPr>
                <w:rFonts w:cs="Times New Roman"/>
              </w:rPr>
            </w:pPr>
            <w:r w:rsidRPr="00F5292E">
              <w:rPr>
                <w:rFonts w:cs="Times New Roman"/>
              </w:rPr>
              <w:t>22</w:t>
            </w:r>
          </w:p>
        </w:tc>
        <w:tc>
          <w:tcPr>
            <w:tcW w:w="1559" w:type="dxa"/>
          </w:tcPr>
          <w:p w14:paraId="3688A3B8" w14:textId="7874AF77" w:rsidR="00585088" w:rsidRPr="00F5292E" w:rsidRDefault="00585088" w:rsidP="00F5292E">
            <w:pPr>
              <w:spacing w:line="240" w:lineRule="auto"/>
              <w:ind w:firstLine="0"/>
              <w:jc w:val="center"/>
              <w:rPr>
                <w:rFonts w:cs="Times New Roman"/>
              </w:rPr>
            </w:pPr>
            <w:r w:rsidRPr="00F5292E">
              <w:rPr>
                <w:rFonts w:cs="Times New Roman"/>
              </w:rPr>
              <w:t>23</w:t>
            </w:r>
          </w:p>
        </w:tc>
        <w:tc>
          <w:tcPr>
            <w:tcW w:w="1553" w:type="dxa"/>
          </w:tcPr>
          <w:p w14:paraId="32FDA8C7" w14:textId="2F7C62E4" w:rsidR="00585088" w:rsidRPr="00F5292E" w:rsidRDefault="00585088" w:rsidP="00F5292E">
            <w:pPr>
              <w:spacing w:line="240" w:lineRule="auto"/>
              <w:ind w:firstLine="0"/>
              <w:jc w:val="center"/>
              <w:rPr>
                <w:rFonts w:cs="Times New Roman"/>
              </w:rPr>
            </w:pPr>
            <w:r w:rsidRPr="00F5292E">
              <w:rPr>
                <w:rFonts w:cs="Times New Roman"/>
              </w:rPr>
              <w:t>10</w:t>
            </w:r>
          </w:p>
        </w:tc>
      </w:tr>
      <w:tr w:rsidR="00585088" w:rsidRPr="00F5292E" w14:paraId="6B071EB5" w14:textId="77777777" w:rsidTr="00F5292E">
        <w:tc>
          <w:tcPr>
            <w:tcW w:w="3256" w:type="dxa"/>
          </w:tcPr>
          <w:p w14:paraId="761764D7" w14:textId="51EA85A4" w:rsidR="00585088" w:rsidRPr="00F5292E" w:rsidRDefault="00585088" w:rsidP="00F5292E">
            <w:pPr>
              <w:spacing w:line="240" w:lineRule="auto"/>
              <w:ind w:firstLine="0"/>
              <w:rPr>
                <w:rFonts w:cs="Times New Roman"/>
              </w:rPr>
            </w:pPr>
            <w:r w:rsidRPr="00F5292E">
              <w:rPr>
                <w:rFonts w:cs="Times New Roman"/>
              </w:rPr>
              <w:t>&gt; 55</w:t>
            </w:r>
          </w:p>
        </w:tc>
        <w:tc>
          <w:tcPr>
            <w:tcW w:w="1559" w:type="dxa"/>
          </w:tcPr>
          <w:p w14:paraId="7A8473CE" w14:textId="2D15C2FD" w:rsidR="00585088" w:rsidRPr="00F5292E" w:rsidRDefault="00585088" w:rsidP="00F5292E">
            <w:pPr>
              <w:spacing w:line="240" w:lineRule="auto"/>
              <w:ind w:firstLine="0"/>
              <w:jc w:val="center"/>
              <w:rPr>
                <w:rFonts w:cs="Times New Roman"/>
              </w:rPr>
            </w:pPr>
            <w:r w:rsidRPr="00F5292E">
              <w:rPr>
                <w:rFonts w:cs="Times New Roman"/>
              </w:rPr>
              <w:t>3</w:t>
            </w:r>
          </w:p>
        </w:tc>
        <w:tc>
          <w:tcPr>
            <w:tcW w:w="1559" w:type="dxa"/>
          </w:tcPr>
          <w:p w14:paraId="465B8EA9" w14:textId="36E638A8" w:rsidR="00585088" w:rsidRPr="00F5292E" w:rsidRDefault="00585088" w:rsidP="00F5292E">
            <w:pPr>
              <w:spacing w:line="240" w:lineRule="auto"/>
              <w:ind w:firstLine="0"/>
              <w:jc w:val="center"/>
              <w:rPr>
                <w:rFonts w:cs="Times New Roman"/>
              </w:rPr>
            </w:pPr>
            <w:r w:rsidRPr="00F5292E">
              <w:rPr>
                <w:rFonts w:cs="Times New Roman"/>
              </w:rPr>
              <w:t>4</w:t>
            </w:r>
          </w:p>
        </w:tc>
        <w:tc>
          <w:tcPr>
            <w:tcW w:w="1553" w:type="dxa"/>
          </w:tcPr>
          <w:p w14:paraId="417CC7BB" w14:textId="39184937" w:rsidR="00585088" w:rsidRPr="00F5292E" w:rsidRDefault="00585088" w:rsidP="00F5292E">
            <w:pPr>
              <w:spacing w:line="240" w:lineRule="auto"/>
              <w:ind w:firstLine="0"/>
              <w:jc w:val="center"/>
              <w:rPr>
                <w:rFonts w:cs="Times New Roman"/>
              </w:rPr>
            </w:pPr>
            <w:r w:rsidRPr="00F5292E">
              <w:rPr>
                <w:rFonts w:cs="Times New Roman"/>
              </w:rPr>
              <w:t>2</w:t>
            </w:r>
          </w:p>
        </w:tc>
      </w:tr>
      <w:tr w:rsidR="00585088" w:rsidRPr="00F5292E" w14:paraId="09F832A7" w14:textId="77777777" w:rsidTr="00F5292E">
        <w:tc>
          <w:tcPr>
            <w:tcW w:w="3256" w:type="dxa"/>
          </w:tcPr>
          <w:p w14:paraId="0B31F46D" w14:textId="73BDA80E" w:rsidR="00585088" w:rsidRPr="00F5292E" w:rsidRDefault="00585088" w:rsidP="00F5292E">
            <w:pPr>
              <w:spacing w:line="240" w:lineRule="auto"/>
              <w:ind w:firstLine="0"/>
              <w:rPr>
                <w:rFonts w:cs="Times New Roman"/>
              </w:rPr>
            </w:pPr>
            <w:r w:rsidRPr="00F5292E">
              <w:rPr>
                <w:rFonts w:cs="Times New Roman"/>
              </w:rPr>
              <w:t xml:space="preserve">Total </w:t>
            </w:r>
          </w:p>
        </w:tc>
        <w:tc>
          <w:tcPr>
            <w:tcW w:w="1559" w:type="dxa"/>
          </w:tcPr>
          <w:p w14:paraId="167AB804" w14:textId="4DE52290" w:rsidR="00585088" w:rsidRPr="00F5292E" w:rsidRDefault="00585088" w:rsidP="00F5292E">
            <w:pPr>
              <w:spacing w:line="240" w:lineRule="auto"/>
              <w:ind w:firstLine="0"/>
              <w:jc w:val="center"/>
              <w:rPr>
                <w:rFonts w:cs="Times New Roman"/>
              </w:rPr>
            </w:pPr>
            <w:r w:rsidRPr="00F5292E">
              <w:rPr>
                <w:rFonts w:cs="Times New Roman"/>
              </w:rPr>
              <w:t>188</w:t>
            </w:r>
          </w:p>
        </w:tc>
        <w:tc>
          <w:tcPr>
            <w:tcW w:w="1559" w:type="dxa"/>
          </w:tcPr>
          <w:p w14:paraId="7CF230B0" w14:textId="6A6BC35B" w:rsidR="00585088" w:rsidRPr="00F5292E" w:rsidRDefault="00585088" w:rsidP="00F5292E">
            <w:pPr>
              <w:spacing w:line="240" w:lineRule="auto"/>
              <w:ind w:firstLine="0"/>
              <w:jc w:val="center"/>
              <w:rPr>
                <w:rFonts w:cs="Times New Roman"/>
              </w:rPr>
            </w:pPr>
            <w:r w:rsidRPr="00F5292E">
              <w:rPr>
                <w:rFonts w:cs="Times New Roman"/>
              </w:rPr>
              <w:t>162</w:t>
            </w:r>
          </w:p>
        </w:tc>
        <w:tc>
          <w:tcPr>
            <w:tcW w:w="1553" w:type="dxa"/>
          </w:tcPr>
          <w:p w14:paraId="7242DBD3" w14:textId="43325A1E" w:rsidR="00585088" w:rsidRPr="00F5292E" w:rsidRDefault="00585088" w:rsidP="00F5292E">
            <w:pPr>
              <w:spacing w:line="240" w:lineRule="auto"/>
              <w:ind w:firstLine="0"/>
              <w:jc w:val="center"/>
              <w:rPr>
                <w:rFonts w:cs="Times New Roman"/>
              </w:rPr>
            </w:pPr>
            <w:r w:rsidRPr="00F5292E">
              <w:rPr>
                <w:rFonts w:cs="Times New Roman"/>
              </w:rPr>
              <w:t>107</w:t>
            </w:r>
          </w:p>
        </w:tc>
      </w:tr>
      <w:tr w:rsidR="00F5292E" w:rsidRPr="00F5292E" w14:paraId="3AEA52D6" w14:textId="77777777" w:rsidTr="009413F3">
        <w:tc>
          <w:tcPr>
            <w:tcW w:w="7927" w:type="dxa"/>
            <w:gridSpan w:val="4"/>
          </w:tcPr>
          <w:p w14:paraId="6E57D745" w14:textId="377BF5E6" w:rsidR="00F5292E" w:rsidRPr="00F5292E" w:rsidRDefault="00F5292E" w:rsidP="00F5292E">
            <w:pPr>
              <w:spacing w:line="240" w:lineRule="auto"/>
              <w:ind w:firstLine="0"/>
              <w:rPr>
                <w:rFonts w:cs="Times New Roman"/>
              </w:rPr>
            </w:pPr>
            <w:r w:rsidRPr="00F5292E">
              <w:rPr>
                <w:rFonts w:cs="Times New Roman"/>
              </w:rPr>
              <w:t>University Status</w:t>
            </w:r>
          </w:p>
        </w:tc>
      </w:tr>
      <w:tr w:rsidR="00F5292E" w:rsidRPr="00F5292E" w14:paraId="23F63351" w14:textId="77777777" w:rsidTr="00F5292E">
        <w:tc>
          <w:tcPr>
            <w:tcW w:w="3256" w:type="dxa"/>
          </w:tcPr>
          <w:p w14:paraId="4A78B907" w14:textId="00C010D6" w:rsidR="00F5292E" w:rsidRPr="00F5292E" w:rsidRDefault="00F5292E" w:rsidP="00F5292E">
            <w:pPr>
              <w:spacing w:line="240" w:lineRule="auto"/>
              <w:ind w:firstLine="0"/>
              <w:rPr>
                <w:rFonts w:cs="Times New Roman"/>
              </w:rPr>
            </w:pPr>
            <w:r w:rsidRPr="00F5292E">
              <w:rPr>
                <w:rFonts w:cs="Times New Roman"/>
              </w:rPr>
              <w:t>Student</w:t>
            </w:r>
          </w:p>
        </w:tc>
        <w:tc>
          <w:tcPr>
            <w:tcW w:w="1559" w:type="dxa"/>
          </w:tcPr>
          <w:p w14:paraId="145F20DB" w14:textId="63527F56" w:rsidR="00F5292E" w:rsidRPr="00F5292E" w:rsidRDefault="00F5292E" w:rsidP="00F5292E">
            <w:pPr>
              <w:spacing w:line="240" w:lineRule="auto"/>
              <w:ind w:firstLine="0"/>
              <w:jc w:val="center"/>
              <w:rPr>
                <w:rFonts w:cs="Times New Roman"/>
              </w:rPr>
            </w:pPr>
            <w:r w:rsidRPr="00F5292E">
              <w:rPr>
                <w:rFonts w:cs="Times New Roman"/>
              </w:rPr>
              <w:t>135</w:t>
            </w:r>
          </w:p>
        </w:tc>
        <w:tc>
          <w:tcPr>
            <w:tcW w:w="1559" w:type="dxa"/>
          </w:tcPr>
          <w:p w14:paraId="207C26D6" w14:textId="6EEBFCC7" w:rsidR="00F5292E" w:rsidRPr="00F5292E" w:rsidRDefault="00F5292E" w:rsidP="00F5292E">
            <w:pPr>
              <w:spacing w:line="240" w:lineRule="auto"/>
              <w:ind w:firstLine="0"/>
              <w:jc w:val="center"/>
              <w:rPr>
                <w:rFonts w:cs="Times New Roman"/>
              </w:rPr>
            </w:pPr>
            <w:r w:rsidRPr="00F5292E">
              <w:rPr>
                <w:rFonts w:cs="Times New Roman"/>
              </w:rPr>
              <w:t>96</w:t>
            </w:r>
          </w:p>
        </w:tc>
        <w:tc>
          <w:tcPr>
            <w:tcW w:w="1553" w:type="dxa"/>
          </w:tcPr>
          <w:p w14:paraId="55EA98D6" w14:textId="6E4D513B" w:rsidR="00F5292E" w:rsidRPr="00F5292E" w:rsidRDefault="00F5292E" w:rsidP="00F5292E">
            <w:pPr>
              <w:spacing w:line="240" w:lineRule="auto"/>
              <w:ind w:firstLine="0"/>
              <w:jc w:val="center"/>
              <w:rPr>
                <w:rFonts w:cs="Times New Roman"/>
              </w:rPr>
            </w:pPr>
            <w:r w:rsidRPr="00F5292E">
              <w:rPr>
                <w:rFonts w:cs="Times New Roman"/>
              </w:rPr>
              <w:t>80</w:t>
            </w:r>
          </w:p>
        </w:tc>
      </w:tr>
      <w:tr w:rsidR="00F5292E" w:rsidRPr="00F5292E" w14:paraId="5285344C" w14:textId="77777777" w:rsidTr="00F5292E">
        <w:tc>
          <w:tcPr>
            <w:tcW w:w="3256" w:type="dxa"/>
          </w:tcPr>
          <w:p w14:paraId="371B81A5" w14:textId="273236DA" w:rsidR="00F5292E" w:rsidRPr="00F5292E" w:rsidRDefault="00F5292E" w:rsidP="00F5292E">
            <w:pPr>
              <w:spacing w:line="240" w:lineRule="auto"/>
              <w:ind w:firstLine="0"/>
              <w:rPr>
                <w:rFonts w:cs="Times New Roman"/>
              </w:rPr>
            </w:pPr>
            <w:r w:rsidRPr="00F5292E">
              <w:rPr>
                <w:rFonts w:cs="Times New Roman"/>
              </w:rPr>
              <w:t>Lecturer</w:t>
            </w:r>
          </w:p>
        </w:tc>
        <w:tc>
          <w:tcPr>
            <w:tcW w:w="1559" w:type="dxa"/>
          </w:tcPr>
          <w:p w14:paraId="35495AE7" w14:textId="4C6F0AC2" w:rsidR="00F5292E" w:rsidRPr="00F5292E" w:rsidRDefault="00F5292E" w:rsidP="00F5292E">
            <w:pPr>
              <w:spacing w:line="240" w:lineRule="auto"/>
              <w:ind w:firstLine="0"/>
              <w:jc w:val="center"/>
              <w:rPr>
                <w:rFonts w:cs="Times New Roman"/>
              </w:rPr>
            </w:pPr>
            <w:r w:rsidRPr="00F5292E">
              <w:rPr>
                <w:rFonts w:cs="Times New Roman"/>
              </w:rPr>
              <w:t>37</w:t>
            </w:r>
          </w:p>
        </w:tc>
        <w:tc>
          <w:tcPr>
            <w:tcW w:w="1559" w:type="dxa"/>
          </w:tcPr>
          <w:p w14:paraId="5A312017" w14:textId="5AFC8BD7" w:rsidR="00F5292E" w:rsidRPr="00F5292E" w:rsidRDefault="00F5292E" w:rsidP="00F5292E">
            <w:pPr>
              <w:spacing w:line="240" w:lineRule="auto"/>
              <w:ind w:firstLine="0"/>
              <w:jc w:val="center"/>
              <w:rPr>
                <w:rFonts w:cs="Times New Roman"/>
              </w:rPr>
            </w:pPr>
            <w:r w:rsidRPr="00F5292E">
              <w:rPr>
                <w:rFonts w:cs="Times New Roman"/>
              </w:rPr>
              <w:t>39</w:t>
            </w:r>
          </w:p>
        </w:tc>
        <w:tc>
          <w:tcPr>
            <w:tcW w:w="1553" w:type="dxa"/>
          </w:tcPr>
          <w:p w14:paraId="29A8F9D5" w14:textId="258DAF5E" w:rsidR="00F5292E" w:rsidRPr="00F5292E" w:rsidRDefault="00F5292E" w:rsidP="00F5292E">
            <w:pPr>
              <w:spacing w:line="240" w:lineRule="auto"/>
              <w:ind w:firstLine="0"/>
              <w:jc w:val="center"/>
              <w:rPr>
                <w:rFonts w:cs="Times New Roman"/>
              </w:rPr>
            </w:pPr>
            <w:r w:rsidRPr="00F5292E">
              <w:rPr>
                <w:rFonts w:cs="Times New Roman"/>
              </w:rPr>
              <w:t>25</w:t>
            </w:r>
          </w:p>
        </w:tc>
      </w:tr>
      <w:tr w:rsidR="00F5292E" w:rsidRPr="00F5292E" w14:paraId="0BF8351D" w14:textId="77777777" w:rsidTr="00F5292E">
        <w:tc>
          <w:tcPr>
            <w:tcW w:w="3256" w:type="dxa"/>
          </w:tcPr>
          <w:p w14:paraId="5B34323B" w14:textId="3C58771B" w:rsidR="00F5292E" w:rsidRPr="00F5292E" w:rsidRDefault="00F5292E" w:rsidP="00F5292E">
            <w:pPr>
              <w:spacing w:line="240" w:lineRule="auto"/>
              <w:ind w:firstLine="0"/>
              <w:rPr>
                <w:rFonts w:cs="Times New Roman"/>
              </w:rPr>
            </w:pPr>
            <w:r w:rsidRPr="00F5292E">
              <w:rPr>
                <w:rFonts w:cs="Times New Roman"/>
              </w:rPr>
              <w:t>Staff</w:t>
            </w:r>
          </w:p>
        </w:tc>
        <w:tc>
          <w:tcPr>
            <w:tcW w:w="1559" w:type="dxa"/>
          </w:tcPr>
          <w:p w14:paraId="7C77ED7A" w14:textId="1837F47E" w:rsidR="00F5292E" w:rsidRPr="00F5292E" w:rsidRDefault="00F5292E" w:rsidP="00F5292E">
            <w:pPr>
              <w:spacing w:line="240" w:lineRule="auto"/>
              <w:ind w:firstLine="0"/>
              <w:jc w:val="center"/>
              <w:rPr>
                <w:rFonts w:cs="Times New Roman"/>
              </w:rPr>
            </w:pPr>
            <w:r w:rsidRPr="00F5292E">
              <w:rPr>
                <w:rFonts w:cs="Times New Roman"/>
              </w:rPr>
              <w:t>16</w:t>
            </w:r>
          </w:p>
        </w:tc>
        <w:tc>
          <w:tcPr>
            <w:tcW w:w="1559" w:type="dxa"/>
          </w:tcPr>
          <w:p w14:paraId="1FDE5EAD" w14:textId="35AB52A7" w:rsidR="00F5292E" w:rsidRPr="00F5292E" w:rsidRDefault="00F5292E" w:rsidP="00F5292E">
            <w:pPr>
              <w:spacing w:line="240" w:lineRule="auto"/>
              <w:ind w:firstLine="0"/>
              <w:jc w:val="center"/>
              <w:rPr>
                <w:rFonts w:cs="Times New Roman"/>
              </w:rPr>
            </w:pPr>
            <w:r w:rsidRPr="00F5292E">
              <w:rPr>
                <w:rFonts w:cs="Times New Roman"/>
              </w:rPr>
              <w:t>27</w:t>
            </w:r>
          </w:p>
        </w:tc>
        <w:tc>
          <w:tcPr>
            <w:tcW w:w="1553" w:type="dxa"/>
          </w:tcPr>
          <w:p w14:paraId="30E2E858" w14:textId="088E9216" w:rsidR="00F5292E" w:rsidRPr="00F5292E" w:rsidRDefault="00F5292E" w:rsidP="00F5292E">
            <w:pPr>
              <w:spacing w:line="240" w:lineRule="auto"/>
              <w:ind w:firstLine="0"/>
              <w:jc w:val="center"/>
              <w:rPr>
                <w:rFonts w:cs="Times New Roman"/>
              </w:rPr>
            </w:pPr>
            <w:r w:rsidRPr="00F5292E">
              <w:rPr>
                <w:rFonts w:cs="Times New Roman"/>
              </w:rPr>
              <w:t>2</w:t>
            </w:r>
          </w:p>
        </w:tc>
      </w:tr>
      <w:tr w:rsidR="00F5292E" w:rsidRPr="00F5292E" w14:paraId="27079C7A" w14:textId="77777777" w:rsidTr="00F5292E">
        <w:tc>
          <w:tcPr>
            <w:tcW w:w="3256" w:type="dxa"/>
          </w:tcPr>
          <w:p w14:paraId="4C1A5567" w14:textId="6086F90F" w:rsidR="00F5292E" w:rsidRPr="00F5292E" w:rsidRDefault="00F5292E" w:rsidP="00F5292E">
            <w:pPr>
              <w:spacing w:line="240" w:lineRule="auto"/>
              <w:ind w:firstLine="0"/>
              <w:rPr>
                <w:rFonts w:cs="Times New Roman"/>
              </w:rPr>
            </w:pPr>
            <w:r w:rsidRPr="00F5292E">
              <w:rPr>
                <w:rFonts w:cs="Times New Roman"/>
              </w:rPr>
              <w:t>Total</w:t>
            </w:r>
          </w:p>
        </w:tc>
        <w:tc>
          <w:tcPr>
            <w:tcW w:w="1559" w:type="dxa"/>
          </w:tcPr>
          <w:p w14:paraId="294B2F47" w14:textId="350D8E97" w:rsidR="00F5292E" w:rsidRPr="00F5292E" w:rsidRDefault="00F5292E" w:rsidP="00F5292E">
            <w:pPr>
              <w:spacing w:line="240" w:lineRule="auto"/>
              <w:ind w:firstLine="0"/>
              <w:jc w:val="center"/>
              <w:rPr>
                <w:rFonts w:cs="Times New Roman"/>
              </w:rPr>
            </w:pPr>
            <w:r w:rsidRPr="00F5292E">
              <w:rPr>
                <w:rFonts w:cs="Times New Roman"/>
              </w:rPr>
              <w:t>188</w:t>
            </w:r>
          </w:p>
        </w:tc>
        <w:tc>
          <w:tcPr>
            <w:tcW w:w="1559" w:type="dxa"/>
          </w:tcPr>
          <w:p w14:paraId="44618EFC" w14:textId="6423FE09" w:rsidR="00F5292E" w:rsidRPr="00F5292E" w:rsidRDefault="00F5292E" w:rsidP="00F5292E">
            <w:pPr>
              <w:spacing w:line="240" w:lineRule="auto"/>
              <w:ind w:firstLine="0"/>
              <w:jc w:val="center"/>
              <w:rPr>
                <w:rFonts w:cs="Times New Roman"/>
              </w:rPr>
            </w:pPr>
            <w:r w:rsidRPr="00F5292E">
              <w:rPr>
                <w:rFonts w:cs="Times New Roman"/>
              </w:rPr>
              <w:t>162</w:t>
            </w:r>
          </w:p>
        </w:tc>
        <w:tc>
          <w:tcPr>
            <w:tcW w:w="1553" w:type="dxa"/>
          </w:tcPr>
          <w:p w14:paraId="6DB72B5E" w14:textId="53D58E8A" w:rsidR="00F5292E" w:rsidRPr="00F5292E" w:rsidRDefault="00F5292E" w:rsidP="00F5292E">
            <w:pPr>
              <w:spacing w:line="240" w:lineRule="auto"/>
              <w:ind w:firstLine="0"/>
              <w:jc w:val="center"/>
              <w:rPr>
                <w:rFonts w:cs="Times New Roman"/>
              </w:rPr>
            </w:pPr>
            <w:r w:rsidRPr="00F5292E">
              <w:rPr>
                <w:rFonts w:cs="Times New Roman"/>
              </w:rPr>
              <w:t>107</w:t>
            </w:r>
          </w:p>
        </w:tc>
      </w:tr>
      <w:tr w:rsidR="00F5292E" w:rsidRPr="00F5292E" w14:paraId="67DB03C1" w14:textId="77777777" w:rsidTr="00F53C2C">
        <w:tc>
          <w:tcPr>
            <w:tcW w:w="7927" w:type="dxa"/>
            <w:gridSpan w:val="4"/>
          </w:tcPr>
          <w:p w14:paraId="4A8B94DF" w14:textId="5029B177" w:rsidR="00F5292E" w:rsidRPr="00F5292E" w:rsidRDefault="00F5292E" w:rsidP="00F5292E">
            <w:pPr>
              <w:spacing w:line="240" w:lineRule="auto"/>
              <w:ind w:firstLine="0"/>
              <w:rPr>
                <w:rFonts w:cs="Times New Roman"/>
              </w:rPr>
            </w:pPr>
            <w:r w:rsidRPr="00F5292E">
              <w:rPr>
                <w:rFonts w:cs="Times New Roman"/>
              </w:rPr>
              <w:t>Educational Background</w:t>
            </w:r>
          </w:p>
        </w:tc>
      </w:tr>
      <w:tr w:rsidR="00F5292E" w:rsidRPr="00F5292E" w14:paraId="48AFA09C" w14:textId="77777777" w:rsidTr="00F5292E">
        <w:tc>
          <w:tcPr>
            <w:tcW w:w="3256" w:type="dxa"/>
          </w:tcPr>
          <w:p w14:paraId="4692DD6F" w14:textId="1C304B4E" w:rsidR="00F5292E" w:rsidRPr="00F5292E" w:rsidRDefault="00F5292E" w:rsidP="00F5292E">
            <w:pPr>
              <w:spacing w:line="240" w:lineRule="auto"/>
              <w:ind w:firstLine="0"/>
              <w:rPr>
                <w:rFonts w:cs="Times New Roman"/>
              </w:rPr>
            </w:pPr>
            <w:r w:rsidRPr="00F5292E">
              <w:rPr>
                <w:rFonts w:cs="Times New Roman"/>
              </w:rPr>
              <w:t>Senior High School</w:t>
            </w:r>
          </w:p>
        </w:tc>
        <w:tc>
          <w:tcPr>
            <w:tcW w:w="1559" w:type="dxa"/>
          </w:tcPr>
          <w:p w14:paraId="0B45D520" w14:textId="03C5A6F0" w:rsidR="00F5292E" w:rsidRPr="00F5292E" w:rsidRDefault="00F5292E" w:rsidP="00F5292E">
            <w:pPr>
              <w:spacing w:line="240" w:lineRule="auto"/>
              <w:ind w:firstLine="0"/>
              <w:jc w:val="center"/>
              <w:rPr>
                <w:rFonts w:cs="Times New Roman"/>
              </w:rPr>
            </w:pPr>
            <w:r w:rsidRPr="00F5292E">
              <w:rPr>
                <w:rFonts w:cs="Times New Roman"/>
              </w:rPr>
              <w:t>64</w:t>
            </w:r>
          </w:p>
        </w:tc>
        <w:tc>
          <w:tcPr>
            <w:tcW w:w="1559" w:type="dxa"/>
          </w:tcPr>
          <w:p w14:paraId="110DF263" w14:textId="50A1F01F" w:rsidR="00F5292E" w:rsidRPr="00F5292E" w:rsidRDefault="00F5292E" w:rsidP="00F5292E">
            <w:pPr>
              <w:spacing w:line="240" w:lineRule="auto"/>
              <w:ind w:firstLine="0"/>
              <w:jc w:val="center"/>
              <w:rPr>
                <w:rFonts w:cs="Times New Roman"/>
              </w:rPr>
            </w:pPr>
            <w:r w:rsidRPr="00F5292E">
              <w:rPr>
                <w:rFonts w:cs="Times New Roman"/>
              </w:rPr>
              <w:t>95</w:t>
            </w:r>
          </w:p>
        </w:tc>
        <w:tc>
          <w:tcPr>
            <w:tcW w:w="1553" w:type="dxa"/>
          </w:tcPr>
          <w:p w14:paraId="5F18778F" w14:textId="6F85B22C" w:rsidR="00F5292E" w:rsidRPr="00F5292E" w:rsidRDefault="00F5292E" w:rsidP="00F5292E">
            <w:pPr>
              <w:spacing w:line="240" w:lineRule="auto"/>
              <w:ind w:firstLine="0"/>
              <w:jc w:val="center"/>
              <w:rPr>
                <w:rFonts w:cs="Times New Roman"/>
              </w:rPr>
            </w:pPr>
            <w:r w:rsidRPr="00F5292E">
              <w:rPr>
                <w:rFonts w:cs="Times New Roman"/>
              </w:rPr>
              <w:t>61</w:t>
            </w:r>
          </w:p>
        </w:tc>
      </w:tr>
      <w:tr w:rsidR="00F5292E" w:rsidRPr="00F5292E" w14:paraId="4A322684" w14:textId="77777777" w:rsidTr="00F5292E">
        <w:tc>
          <w:tcPr>
            <w:tcW w:w="3256" w:type="dxa"/>
          </w:tcPr>
          <w:p w14:paraId="14B15D96" w14:textId="771124D0" w:rsidR="00F5292E" w:rsidRPr="00F5292E" w:rsidRDefault="00F5292E" w:rsidP="00F5292E">
            <w:pPr>
              <w:spacing w:line="240" w:lineRule="auto"/>
              <w:ind w:firstLine="0"/>
              <w:rPr>
                <w:rFonts w:cs="Times New Roman"/>
              </w:rPr>
            </w:pPr>
            <w:r w:rsidRPr="00F5292E">
              <w:rPr>
                <w:rFonts w:cs="Times New Roman"/>
              </w:rPr>
              <w:t>DIPLOMA</w:t>
            </w:r>
          </w:p>
        </w:tc>
        <w:tc>
          <w:tcPr>
            <w:tcW w:w="1559" w:type="dxa"/>
          </w:tcPr>
          <w:p w14:paraId="735FFFF5" w14:textId="67BE2FE1" w:rsidR="00F5292E" w:rsidRPr="00F5292E" w:rsidRDefault="00F5292E" w:rsidP="00F5292E">
            <w:pPr>
              <w:spacing w:line="240" w:lineRule="auto"/>
              <w:ind w:firstLine="0"/>
              <w:jc w:val="center"/>
              <w:rPr>
                <w:rFonts w:cs="Times New Roman"/>
              </w:rPr>
            </w:pPr>
            <w:r w:rsidRPr="00F5292E">
              <w:rPr>
                <w:rFonts w:cs="Times New Roman"/>
              </w:rPr>
              <w:t>6</w:t>
            </w:r>
          </w:p>
        </w:tc>
        <w:tc>
          <w:tcPr>
            <w:tcW w:w="1559" w:type="dxa"/>
          </w:tcPr>
          <w:p w14:paraId="44EB4A3F" w14:textId="063FAF5F" w:rsidR="00F5292E" w:rsidRPr="00F5292E" w:rsidRDefault="00F5292E" w:rsidP="00F5292E">
            <w:pPr>
              <w:spacing w:line="240" w:lineRule="auto"/>
              <w:ind w:firstLine="0"/>
              <w:jc w:val="center"/>
              <w:rPr>
                <w:rFonts w:cs="Times New Roman"/>
              </w:rPr>
            </w:pPr>
            <w:r w:rsidRPr="00F5292E">
              <w:rPr>
                <w:rFonts w:cs="Times New Roman"/>
              </w:rPr>
              <w:t>11</w:t>
            </w:r>
          </w:p>
        </w:tc>
        <w:tc>
          <w:tcPr>
            <w:tcW w:w="1553" w:type="dxa"/>
          </w:tcPr>
          <w:p w14:paraId="118C30A0" w14:textId="543780D0" w:rsidR="00F5292E" w:rsidRPr="00F5292E" w:rsidRDefault="00F5292E" w:rsidP="00F5292E">
            <w:pPr>
              <w:spacing w:line="240" w:lineRule="auto"/>
              <w:ind w:firstLine="0"/>
              <w:jc w:val="center"/>
              <w:rPr>
                <w:rFonts w:cs="Times New Roman"/>
              </w:rPr>
            </w:pPr>
            <w:r w:rsidRPr="00F5292E">
              <w:rPr>
                <w:rFonts w:cs="Times New Roman"/>
              </w:rPr>
              <w:t>1</w:t>
            </w:r>
          </w:p>
        </w:tc>
      </w:tr>
      <w:tr w:rsidR="00F5292E" w:rsidRPr="00F5292E" w14:paraId="3D711A65" w14:textId="77777777" w:rsidTr="00F5292E">
        <w:tc>
          <w:tcPr>
            <w:tcW w:w="3256" w:type="dxa"/>
          </w:tcPr>
          <w:p w14:paraId="00FC7F3B" w14:textId="70559954" w:rsidR="00F5292E" w:rsidRPr="00F5292E" w:rsidRDefault="00F5292E" w:rsidP="00F5292E">
            <w:pPr>
              <w:spacing w:line="240" w:lineRule="auto"/>
              <w:ind w:firstLine="0"/>
              <w:rPr>
                <w:rFonts w:cs="Times New Roman"/>
              </w:rPr>
            </w:pPr>
            <w:r w:rsidRPr="00F5292E">
              <w:rPr>
                <w:rFonts w:cs="Times New Roman"/>
              </w:rPr>
              <w:t>S1 (Undergraduate)</w:t>
            </w:r>
          </w:p>
        </w:tc>
        <w:tc>
          <w:tcPr>
            <w:tcW w:w="1559" w:type="dxa"/>
          </w:tcPr>
          <w:p w14:paraId="71A9B5C6" w14:textId="1EE82FB1" w:rsidR="00F5292E" w:rsidRPr="00F5292E" w:rsidRDefault="00F5292E" w:rsidP="00F5292E">
            <w:pPr>
              <w:spacing w:line="240" w:lineRule="auto"/>
              <w:ind w:firstLine="0"/>
              <w:jc w:val="center"/>
              <w:rPr>
                <w:rFonts w:cs="Times New Roman"/>
              </w:rPr>
            </w:pPr>
            <w:r w:rsidRPr="00F5292E">
              <w:rPr>
                <w:rFonts w:cs="Times New Roman"/>
              </w:rPr>
              <w:t>67</w:t>
            </w:r>
          </w:p>
        </w:tc>
        <w:tc>
          <w:tcPr>
            <w:tcW w:w="1559" w:type="dxa"/>
          </w:tcPr>
          <w:p w14:paraId="16AF67BE" w14:textId="4C7A5CA9" w:rsidR="00F5292E" w:rsidRPr="00F5292E" w:rsidRDefault="00F5292E" w:rsidP="00F5292E">
            <w:pPr>
              <w:spacing w:line="240" w:lineRule="auto"/>
              <w:ind w:firstLine="0"/>
              <w:jc w:val="center"/>
              <w:rPr>
                <w:rFonts w:cs="Times New Roman"/>
              </w:rPr>
            </w:pPr>
            <w:r w:rsidRPr="00F5292E">
              <w:rPr>
                <w:rFonts w:cs="Times New Roman"/>
              </w:rPr>
              <w:t>1</w:t>
            </w:r>
          </w:p>
        </w:tc>
        <w:tc>
          <w:tcPr>
            <w:tcW w:w="1553" w:type="dxa"/>
          </w:tcPr>
          <w:p w14:paraId="622B97F2" w14:textId="0D41A48D" w:rsidR="00F5292E" w:rsidRPr="00F5292E" w:rsidRDefault="00F5292E" w:rsidP="00F5292E">
            <w:pPr>
              <w:spacing w:line="240" w:lineRule="auto"/>
              <w:ind w:firstLine="0"/>
              <w:jc w:val="center"/>
              <w:rPr>
                <w:rFonts w:cs="Times New Roman"/>
              </w:rPr>
            </w:pPr>
            <w:r w:rsidRPr="00F5292E">
              <w:rPr>
                <w:rFonts w:cs="Times New Roman"/>
              </w:rPr>
              <w:t>20</w:t>
            </w:r>
          </w:p>
        </w:tc>
      </w:tr>
      <w:tr w:rsidR="00F5292E" w:rsidRPr="00F5292E" w14:paraId="452954AC" w14:textId="77777777" w:rsidTr="00F5292E">
        <w:tc>
          <w:tcPr>
            <w:tcW w:w="3256" w:type="dxa"/>
          </w:tcPr>
          <w:p w14:paraId="370E7BB8" w14:textId="2A5270F1" w:rsidR="00F5292E" w:rsidRPr="00F5292E" w:rsidRDefault="00F5292E" w:rsidP="00F5292E">
            <w:pPr>
              <w:spacing w:line="240" w:lineRule="auto"/>
              <w:ind w:firstLine="0"/>
              <w:rPr>
                <w:rFonts w:cs="Times New Roman"/>
              </w:rPr>
            </w:pPr>
            <w:r w:rsidRPr="00F5292E">
              <w:rPr>
                <w:rFonts w:cs="Times New Roman"/>
              </w:rPr>
              <w:t>S2 (Postgraduate)</w:t>
            </w:r>
          </w:p>
        </w:tc>
        <w:tc>
          <w:tcPr>
            <w:tcW w:w="1559" w:type="dxa"/>
          </w:tcPr>
          <w:p w14:paraId="41AD1251" w14:textId="37C39E79" w:rsidR="00F5292E" w:rsidRPr="00F5292E" w:rsidRDefault="00F5292E" w:rsidP="00F5292E">
            <w:pPr>
              <w:spacing w:line="240" w:lineRule="auto"/>
              <w:ind w:firstLine="0"/>
              <w:jc w:val="center"/>
              <w:rPr>
                <w:rFonts w:cs="Times New Roman"/>
              </w:rPr>
            </w:pPr>
            <w:r w:rsidRPr="00F5292E">
              <w:rPr>
                <w:rFonts w:cs="Times New Roman"/>
              </w:rPr>
              <w:t>37</w:t>
            </w:r>
          </w:p>
        </w:tc>
        <w:tc>
          <w:tcPr>
            <w:tcW w:w="1559" w:type="dxa"/>
          </w:tcPr>
          <w:p w14:paraId="27A48A6A" w14:textId="66A36863" w:rsidR="00F5292E" w:rsidRPr="00F5292E" w:rsidRDefault="00F5292E" w:rsidP="00F5292E">
            <w:pPr>
              <w:spacing w:line="240" w:lineRule="auto"/>
              <w:ind w:firstLine="0"/>
              <w:jc w:val="center"/>
              <w:rPr>
                <w:rFonts w:cs="Times New Roman"/>
              </w:rPr>
            </w:pPr>
            <w:r w:rsidRPr="00F5292E">
              <w:rPr>
                <w:rFonts w:cs="Times New Roman"/>
              </w:rPr>
              <w:t>34</w:t>
            </w:r>
          </w:p>
        </w:tc>
        <w:tc>
          <w:tcPr>
            <w:tcW w:w="1553" w:type="dxa"/>
          </w:tcPr>
          <w:p w14:paraId="6E5EC7F1" w14:textId="25E89567" w:rsidR="00F5292E" w:rsidRPr="00F5292E" w:rsidRDefault="00F5292E" w:rsidP="00F5292E">
            <w:pPr>
              <w:spacing w:line="240" w:lineRule="auto"/>
              <w:ind w:firstLine="0"/>
              <w:jc w:val="center"/>
              <w:rPr>
                <w:rFonts w:cs="Times New Roman"/>
              </w:rPr>
            </w:pPr>
            <w:r w:rsidRPr="00F5292E">
              <w:rPr>
                <w:rFonts w:cs="Times New Roman"/>
              </w:rPr>
              <w:t>21</w:t>
            </w:r>
          </w:p>
        </w:tc>
      </w:tr>
      <w:tr w:rsidR="00F5292E" w:rsidRPr="00F5292E" w14:paraId="3D607820" w14:textId="77777777" w:rsidTr="0073662F">
        <w:tc>
          <w:tcPr>
            <w:tcW w:w="3256" w:type="dxa"/>
            <w:tcBorders>
              <w:bottom w:val="single" w:sz="4" w:space="0" w:color="auto"/>
            </w:tcBorders>
          </w:tcPr>
          <w:p w14:paraId="5DA22885" w14:textId="66B8586C" w:rsidR="00F5292E" w:rsidRPr="00F5292E" w:rsidRDefault="00F5292E" w:rsidP="00F5292E">
            <w:pPr>
              <w:spacing w:line="240" w:lineRule="auto"/>
              <w:ind w:firstLine="0"/>
              <w:rPr>
                <w:rFonts w:cs="Times New Roman"/>
              </w:rPr>
            </w:pPr>
            <w:r w:rsidRPr="00F5292E">
              <w:rPr>
                <w:rFonts w:cs="Times New Roman"/>
              </w:rPr>
              <w:t>S3 (Doctoral)</w:t>
            </w:r>
          </w:p>
        </w:tc>
        <w:tc>
          <w:tcPr>
            <w:tcW w:w="1559" w:type="dxa"/>
            <w:tcBorders>
              <w:bottom w:val="single" w:sz="4" w:space="0" w:color="auto"/>
            </w:tcBorders>
          </w:tcPr>
          <w:p w14:paraId="30F94E95" w14:textId="4925166D" w:rsidR="00F5292E" w:rsidRPr="00F5292E" w:rsidRDefault="00F5292E" w:rsidP="00F5292E">
            <w:pPr>
              <w:spacing w:line="240" w:lineRule="auto"/>
              <w:ind w:firstLine="0"/>
              <w:jc w:val="center"/>
              <w:rPr>
                <w:rFonts w:cs="Times New Roman"/>
              </w:rPr>
            </w:pPr>
            <w:r w:rsidRPr="00F5292E">
              <w:rPr>
                <w:rFonts w:cs="Times New Roman"/>
              </w:rPr>
              <w:t>14</w:t>
            </w:r>
          </w:p>
        </w:tc>
        <w:tc>
          <w:tcPr>
            <w:tcW w:w="1559" w:type="dxa"/>
            <w:tcBorders>
              <w:bottom w:val="single" w:sz="4" w:space="0" w:color="auto"/>
            </w:tcBorders>
          </w:tcPr>
          <w:p w14:paraId="674882EB" w14:textId="2EDA42B8" w:rsidR="00F5292E" w:rsidRPr="00F5292E" w:rsidRDefault="00F5292E" w:rsidP="00F5292E">
            <w:pPr>
              <w:spacing w:line="240" w:lineRule="auto"/>
              <w:ind w:firstLine="0"/>
              <w:jc w:val="center"/>
              <w:rPr>
                <w:rFonts w:cs="Times New Roman"/>
              </w:rPr>
            </w:pPr>
            <w:r w:rsidRPr="00F5292E">
              <w:rPr>
                <w:rFonts w:cs="Times New Roman"/>
              </w:rPr>
              <w:t>21</w:t>
            </w:r>
          </w:p>
        </w:tc>
        <w:tc>
          <w:tcPr>
            <w:tcW w:w="1553" w:type="dxa"/>
            <w:tcBorders>
              <w:bottom w:val="single" w:sz="4" w:space="0" w:color="auto"/>
            </w:tcBorders>
          </w:tcPr>
          <w:p w14:paraId="63D35493" w14:textId="063E4EA2" w:rsidR="00F5292E" w:rsidRPr="00F5292E" w:rsidRDefault="00F5292E" w:rsidP="00F5292E">
            <w:pPr>
              <w:spacing w:line="240" w:lineRule="auto"/>
              <w:ind w:firstLine="0"/>
              <w:jc w:val="center"/>
              <w:rPr>
                <w:rFonts w:cs="Times New Roman"/>
              </w:rPr>
            </w:pPr>
            <w:r w:rsidRPr="00F5292E">
              <w:rPr>
                <w:rFonts w:cs="Times New Roman"/>
              </w:rPr>
              <w:t>4</w:t>
            </w:r>
          </w:p>
        </w:tc>
      </w:tr>
      <w:tr w:rsidR="00F5292E" w:rsidRPr="00F5292E" w14:paraId="4CC113E7" w14:textId="77777777" w:rsidTr="0073662F">
        <w:tc>
          <w:tcPr>
            <w:tcW w:w="3256" w:type="dxa"/>
            <w:tcBorders>
              <w:bottom w:val="single" w:sz="4" w:space="0" w:color="auto"/>
            </w:tcBorders>
          </w:tcPr>
          <w:p w14:paraId="38ED2C9B" w14:textId="7E23BEB7" w:rsidR="00F5292E" w:rsidRPr="00F5292E" w:rsidRDefault="00F5292E" w:rsidP="00F5292E">
            <w:pPr>
              <w:spacing w:line="240" w:lineRule="auto"/>
              <w:ind w:firstLine="0"/>
              <w:rPr>
                <w:rFonts w:cs="Times New Roman"/>
              </w:rPr>
            </w:pPr>
            <w:r w:rsidRPr="00F5292E">
              <w:rPr>
                <w:rFonts w:cs="Times New Roman"/>
              </w:rPr>
              <w:t xml:space="preserve">Total </w:t>
            </w:r>
          </w:p>
        </w:tc>
        <w:tc>
          <w:tcPr>
            <w:tcW w:w="1559" w:type="dxa"/>
            <w:tcBorders>
              <w:bottom w:val="single" w:sz="4" w:space="0" w:color="auto"/>
            </w:tcBorders>
          </w:tcPr>
          <w:p w14:paraId="7DD50CFF" w14:textId="05E45A25" w:rsidR="00F5292E" w:rsidRPr="00F5292E" w:rsidRDefault="00F5292E" w:rsidP="00F5292E">
            <w:pPr>
              <w:spacing w:line="240" w:lineRule="auto"/>
              <w:ind w:firstLine="0"/>
              <w:jc w:val="center"/>
              <w:rPr>
                <w:rFonts w:cs="Times New Roman"/>
              </w:rPr>
            </w:pPr>
            <w:r w:rsidRPr="00F5292E">
              <w:rPr>
                <w:rFonts w:cs="Times New Roman"/>
              </w:rPr>
              <w:t>188</w:t>
            </w:r>
          </w:p>
        </w:tc>
        <w:tc>
          <w:tcPr>
            <w:tcW w:w="1559" w:type="dxa"/>
            <w:tcBorders>
              <w:bottom w:val="single" w:sz="4" w:space="0" w:color="auto"/>
            </w:tcBorders>
          </w:tcPr>
          <w:p w14:paraId="716098E8" w14:textId="2462DE0A" w:rsidR="00F5292E" w:rsidRPr="00F5292E" w:rsidRDefault="00F5292E" w:rsidP="00F5292E">
            <w:pPr>
              <w:spacing w:line="240" w:lineRule="auto"/>
              <w:ind w:firstLine="0"/>
              <w:jc w:val="center"/>
              <w:rPr>
                <w:rFonts w:cs="Times New Roman"/>
              </w:rPr>
            </w:pPr>
            <w:r w:rsidRPr="00F5292E">
              <w:rPr>
                <w:rFonts w:cs="Times New Roman"/>
              </w:rPr>
              <w:t>162</w:t>
            </w:r>
          </w:p>
        </w:tc>
        <w:tc>
          <w:tcPr>
            <w:tcW w:w="1553" w:type="dxa"/>
            <w:tcBorders>
              <w:bottom w:val="single" w:sz="4" w:space="0" w:color="auto"/>
            </w:tcBorders>
          </w:tcPr>
          <w:p w14:paraId="21D6E94E" w14:textId="7FECD9A1" w:rsidR="00F5292E" w:rsidRPr="00F5292E" w:rsidRDefault="00F5292E" w:rsidP="00F5292E">
            <w:pPr>
              <w:spacing w:line="240" w:lineRule="auto"/>
              <w:ind w:firstLine="0"/>
              <w:jc w:val="center"/>
              <w:rPr>
                <w:rFonts w:cs="Times New Roman"/>
              </w:rPr>
            </w:pPr>
            <w:r w:rsidRPr="00F5292E">
              <w:rPr>
                <w:rFonts w:cs="Times New Roman"/>
              </w:rPr>
              <w:t>107</w:t>
            </w:r>
          </w:p>
        </w:tc>
      </w:tr>
    </w:tbl>
    <w:p w14:paraId="73D03050" w14:textId="77777777" w:rsidR="00585088" w:rsidRDefault="00585088" w:rsidP="00585088">
      <w:pPr>
        <w:ind w:firstLine="0"/>
      </w:pPr>
    </w:p>
    <w:p w14:paraId="4C19B328" w14:textId="77777777" w:rsidR="00970400" w:rsidRPr="00970400" w:rsidRDefault="00970400" w:rsidP="00970400">
      <w:r w:rsidRPr="00970400">
        <w:t>The predominance of students and respondents under 25 years of age indicates that the research data largely represent campus community members who are directly involved in lectures, academic supervision, student organizations, fieldwork, research, and daily social interactions. This composition is important because students interact intensively with various campus actors and use a wide range of academic and nonacademic spaces. Nevertheless, age and sex characteristics in this study are not positioned as direct causes of sexual violence. They are used to provide context regarding the groups most widely represented in the study.</w:t>
      </w:r>
    </w:p>
    <w:p w14:paraId="10FAEDD6" w14:textId="77777777" w:rsidR="00970400" w:rsidRPr="00970400" w:rsidRDefault="00970400" w:rsidP="00970400">
      <w:r w:rsidRPr="00970400">
        <w:t>The involvement of lecturers and administrative staff also provides an institutional perspective on academic culture, relationships among campus community members, the implementation of sexual violence prevention and response policies, and the availability of reporting mechanisms. Differences in respondents’ university status allowed the study to examine sexual violence from various social and academic positions. These characteristic data subsequently provide a basis for understanding findings concerning power relations, the normalization of sexual conduct, campus community literacy, and access to reporting mechanisms without treating particular demographic identities as causes of sexual violence.</w:t>
      </w:r>
    </w:p>
    <w:p w14:paraId="721D926A" w14:textId="0F320532" w:rsidR="00A60072" w:rsidRDefault="00970400" w:rsidP="00970400">
      <w:pPr>
        <w:pStyle w:val="Heading2"/>
      </w:pPr>
      <w:r w:rsidRPr="00970400">
        <w:t>Power Relations and Vulnerability in Campus Interactions</w:t>
      </w:r>
    </w:p>
    <w:p w14:paraId="068800D5" w14:textId="2E7BDDA6" w:rsidR="00C16F50" w:rsidRDefault="00970400" w:rsidP="00970400">
      <w:r w:rsidRPr="00970400">
        <w:t xml:space="preserve">The findings show that vulnerability to sexual violence in higher education is associated with unequal positions within academic, organizational, and employment relationships. Unequal relationships may develop between lecturers </w:t>
      </w:r>
      <w:r w:rsidRPr="00970400">
        <w:lastRenderedPageBreak/>
        <w:t>and students, seniors and juniors, supervisors and subordinates, organizational leaders and members, as well as field supervisors and activity participants. Such inequality is important because individuals holding authority may control grades, supervision, recommendations, academic opportunities, organizational positions, or access to campus resources. Under these circumstances, victims may find it difficult to reject unwanted conduct or disclose their experiences to others.</w:t>
      </w:r>
    </w:p>
    <w:p w14:paraId="65E6FB59" w14:textId="77777777" w:rsidR="008B61ED" w:rsidRPr="008B61ED" w:rsidRDefault="008B61ED" w:rsidP="008B61ED">
      <w:r w:rsidRPr="008B61ED">
        <w:t>Age and sex are not positioned as direct causes of sexual violence. The predominance of young students and female respondents in this study is more appropriately interpreted as a context of vulnerability. Students participate in various relationships involving academic and social dependency. They depend on lecturers for assessment and supervision, on seniors or organizational leaders for student activities, and on field supervisors during internships, practical placements, research activities, and community service programs. Vulnerability does not arise from the victim’s identity but from the possibility that other individuals may misuse their position, authority, or influence.</w:t>
      </w:r>
    </w:p>
    <w:p w14:paraId="69457858" w14:textId="77777777" w:rsidR="008B61ED" w:rsidRPr="008B61ED" w:rsidRDefault="008B61ED" w:rsidP="008B61ED">
      <w:r w:rsidRPr="008B61ED">
        <w:t>The data show that sexual violence may occur across various spaces of campus interaction. Incidents were identified not only during formal classroom activities but also during academic and thesis supervision, off-campus assignments, student organization activities, field placements, internships, community service programs, research, community engagement activities, and informal interactions. The diversity of these settings demonstrates that power relations do not operate exclusively in classrooms. They may also emerge in private communication, meetings outside academic hours, field activities, travel, temporary accommodation, and digital interactions.</w:t>
      </w:r>
    </w:p>
    <w:p w14:paraId="04B6F3AC" w14:textId="77777777" w:rsidR="00C16F50" w:rsidRDefault="00C16F50" w:rsidP="00C16F50">
      <w:pPr>
        <w:keepNext/>
        <w:ind w:firstLine="0"/>
        <w:jc w:val="center"/>
      </w:pPr>
      <w:r w:rsidRPr="008D7F77">
        <w:rPr>
          <w:rFonts w:cs="Times New Roman"/>
          <w:noProof/>
        </w:rPr>
        <w:drawing>
          <wp:inline distT="0" distB="0" distL="0" distR="0" wp14:anchorId="58242C13" wp14:editId="15F827D0">
            <wp:extent cx="5039995" cy="2529690"/>
            <wp:effectExtent l="0" t="0" r="8255" b="444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039995" cy="2529690"/>
                    </a:xfrm>
                    <a:prstGeom prst="rect">
                      <a:avLst/>
                    </a:prstGeom>
                  </pic:spPr>
                </pic:pic>
              </a:graphicData>
            </a:graphic>
          </wp:inline>
        </w:drawing>
      </w:r>
    </w:p>
    <w:p w14:paraId="10484F80" w14:textId="404BE18F" w:rsidR="00C16F50" w:rsidRPr="00C16F50" w:rsidRDefault="008B61ED" w:rsidP="008B61ED">
      <w:pPr>
        <w:pStyle w:val="Caption"/>
        <w:spacing w:line="360" w:lineRule="auto"/>
        <w:ind w:firstLine="0"/>
        <w:jc w:val="center"/>
        <w:rPr>
          <w:i w:val="0"/>
          <w:iCs w:val="0"/>
          <w:color w:val="auto"/>
          <w:sz w:val="24"/>
          <w:szCs w:val="24"/>
        </w:rPr>
      </w:pPr>
      <w:r w:rsidRPr="008B61ED">
        <w:rPr>
          <w:b/>
          <w:bCs/>
          <w:i w:val="0"/>
          <w:iCs w:val="0"/>
          <w:color w:val="auto"/>
          <w:sz w:val="24"/>
          <w:szCs w:val="24"/>
        </w:rPr>
        <w:t>Figure</w:t>
      </w:r>
      <w:r>
        <w:rPr>
          <w:b/>
          <w:bCs/>
          <w:i w:val="0"/>
          <w:iCs w:val="0"/>
          <w:color w:val="auto"/>
          <w:sz w:val="24"/>
          <w:szCs w:val="24"/>
        </w:rPr>
        <w:t xml:space="preserve"> </w:t>
      </w:r>
      <w:r w:rsidR="0068688D">
        <w:rPr>
          <w:b/>
          <w:bCs/>
          <w:i w:val="0"/>
          <w:iCs w:val="0"/>
          <w:color w:val="auto"/>
          <w:sz w:val="24"/>
          <w:szCs w:val="24"/>
        </w:rPr>
        <w:fldChar w:fldCharType="begin"/>
      </w:r>
      <w:r w:rsidR="0068688D">
        <w:rPr>
          <w:b/>
          <w:bCs/>
          <w:i w:val="0"/>
          <w:iCs w:val="0"/>
          <w:color w:val="auto"/>
          <w:sz w:val="24"/>
          <w:szCs w:val="24"/>
        </w:rPr>
        <w:instrText xml:space="preserve"> SEQ Gambar \* ARABIC </w:instrText>
      </w:r>
      <w:r w:rsidR="0068688D">
        <w:rPr>
          <w:b/>
          <w:bCs/>
          <w:i w:val="0"/>
          <w:iCs w:val="0"/>
          <w:color w:val="auto"/>
          <w:sz w:val="24"/>
          <w:szCs w:val="24"/>
        </w:rPr>
        <w:fldChar w:fldCharType="separate"/>
      </w:r>
      <w:r w:rsidR="0068688D">
        <w:rPr>
          <w:b/>
          <w:bCs/>
          <w:i w:val="0"/>
          <w:iCs w:val="0"/>
          <w:noProof/>
          <w:color w:val="auto"/>
          <w:sz w:val="24"/>
          <w:szCs w:val="24"/>
        </w:rPr>
        <w:t>1</w:t>
      </w:r>
      <w:r w:rsidR="0068688D">
        <w:rPr>
          <w:b/>
          <w:bCs/>
          <w:i w:val="0"/>
          <w:iCs w:val="0"/>
          <w:color w:val="auto"/>
          <w:sz w:val="24"/>
          <w:szCs w:val="24"/>
        </w:rPr>
        <w:fldChar w:fldCharType="end"/>
      </w:r>
      <w:r w:rsidR="00C16F50" w:rsidRPr="00C16F50">
        <w:rPr>
          <w:b/>
          <w:bCs/>
          <w:i w:val="0"/>
          <w:iCs w:val="0"/>
          <w:color w:val="auto"/>
          <w:sz w:val="24"/>
          <w:szCs w:val="24"/>
          <w:lang w:val="en-US"/>
        </w:rPr>
        <w:t xml:space="preserve">. </w:t>
      </w:r>
      <w:r w:rsidRPr="008B61ED">
        <w:rPr>
          <w:i w:val="0"/>
          <w:iCs w:val="0"/>
          <w:color w:val="auto"/>
          <w:sz w:val="24"/>
          <w:szCs w:val="24"/>
        </w:rPr>
        <w:t>Overview of Sexual Violence Cases Occurring in Various Campus Activities</w:t>
      </w:r>
    </w:p>
    <w:p w14:paraId="1D18FD50" w14:textId="77777777" w:rsidR="008B61ED" w:rsidRPr="008B61ED" w:rsidRDefault="008B61ED" w:rsidP="008B61ED">
      <w:r w:rsidRPr="008B61ED">
        <w:t xml:space="preserve">Figure 1 shows that experiences of sexual violence were distributed across several types of academic and nonacademic activities. In several activities, </w:t>
      </w:r>
      <w:r w:rsidRPr="008B61ED">
        <w:lastRenderedPageBreak/>
        <w:t>responses identifying friends or other individuals as victims were more frequent than respondents’ admissions of being direct victims. This pattern should be interpreted cautiously. The difference does not necessarily indicate a low prevalence of personal experiences. Instead, it may reflect the difficulty victims face in acknowledging or disclosing their experiences openly. Concerns regarding stigma, confidentiality, academic consequences, and institutional responses may lead individuals to describe sexual violence more readily as another person’s experience rather than their own.</w:t>
      </w:r>
    </w:p>
    <w:p w14:paraId="62BAA06E" w14:textId="77777777" w:rsidR="008B61ED" w:rsidRPr="008B61ED" w:rsidRDefault="008B61ED" w:rsidP="008B61ED">
      <w:r w:rsidRPr="008B61ED">
        <w:t>The diversity of individuals identified as perpetrators also indicates that sexual violence may involve actors occupying different positions within the higher education ecosystem. The individuals identified by respondents included students, lecturers, administrative staff, university leaders, student organization leaders, campus service personnel, individuals at internship or fieldwork locations, and persons who were not members of the campus community. The distribution is presented in Table 2.</w:t>
      </w:r>
    </w:p>
    <w:p w14:paraId="3281DD7C" w14:textId="2766F28F" w:rsidR="001168E9" w:rsidRPr="001168E9" w:rsidRDefault="001168E9" w:rsidP="003B0064">
      <w:pPr>
        <w:pStyle w:val="Caption"/>
        <w:keepNext/>
        <w:spacing w:before="200" w:after="0" w:line="360" w:lineRule="auto"/>
        <w:ind w:firstLine="0"/>
        <w:jc w:val="center"/>
        <w:rPr>
          <w:i w:val="0"/>
          <w:iCs w:val="0"/>
          <w:color w:val="auto"/>
          <w:sz w:val="24"/>
          <w:szCs w:val="24"/>
        </w:rPr>
      </w:pPr>
      <w:r w:rsidRPr="001168E9">
        <w:rPr>
          <w:b/>
          <w:bCs/>
          <w:i w:val="0"/>
          <w:iCs w:val="0"/>
          <w:color w:val="auto"/>
          <w:sz w:val="24"/>
          <w:szCs w:val="24"/>
        </w:rPr>
        <w:t>Tab</w:t>
      </w:r>
      <w:r w:rsidR="003B0064">
        <w:rPr>
          <w:b/>
          <w:bCs/>
          <w:i w:val="0"/>
          <w:iCs w:val="0"/>
          <w:color w:val="auto"/>
          <w:sz w:val="24"/>
          <w:szCs w:val="24"/>
        </w:rPr>
        <w:t>le</w:t>
      </w:r>
      <w:r w:rsidRPr="001168E9">
        <w:rPr>
          <w:b/>
          <w:bCs/>
          <w:i w:val="0"/>
          <w:iCs w:val="0"/>
          <w:color w:val="auto"/>
          <w:sz w:val="24"/>
          <w:szCs w:val="24"/>
        </w:rPr>
        <w:t xml:space="preserve"> </w:t>
      </w:r>
      <w:r w:rsidRPr="001168E9">
        <w:rPr>
          <w:b/>
          <w:bCs/>
          <w:i w:val="0"/>
          <w:iCs w:val="0"/>
          <w:color w:val="auto"/>
          <w:sz w:val="24"/>
          <w:szCs w:val="24"/>
        </w:rPr>
        <w:fldChar w:fldCharType="begin"/>
      </w:r>
      <w:r w:rsidRPr="001168E9">
        <w:rPr>
          <w:b/>
          <w:bCs/>
          <w:i w:val="0"/>
          <w:iCs w:val="0"/>
          <w:color w:val="auto"/>
          <w:sz w:val="24"/>
          <w:szCs w:val="24"/>
        </w:rPr>
        <w:instrText xml:space="preserve"> SEQ Tabel \* ARABIC </w:instrText>
      </w:r>
      <w:r w:rsidRPr="001168E9">
        <w:rPr>
          <w:b/>
          <w:bCs/>
          <w:i w:val="0"/>
          <w:iCs w:val="0"/>
          <w:color w:val="auto"/>
          <w:sz w:val="24"/>
          <w:szCs w:val="24"/>
        </w:rPr>
        <w:fldChar w:fldCharType="separate"/>
      </w:r>
      <w:r w:rsidR="005949A8">
        <w:rPr>
          <w:b/>
          <w:bCs/>
          <w:i w:val="0"/>
          <w:iCs w:val="0"/>
          <w:noProof/>
          <w:color w:val="auto"/>
          <w:sz w:val="24"/>
          <w:szCs w:val="24"/>
        </w:rPr>
        <w:t>2</w:t>
      </w:r>
      <w:r w:rsidRPr="001168E9">
        <w:rPr>
          <w:b/>
          <w:bCs/>
          <w:i w:val="0"/>
          <w:iCs w:val="0"/>
          <w:color w:val="auto"/>
          <w:sz w:val="24"/>
          <w:szCs w:val="24"/>
        </w:rPr>
        <w:fldChar w:fldCharType="end"/>
      </w:r>
      <w:r w:rsidRPr="001168E9">
        <w:rPr>
          <w:b/>
          <w:bCs/>
          <w:i w:val="0"/>
          <w:iCs w:val="0"/>
          <w:color w:val="auto"/>
          <w:sz w:val="24"/>
          <w:szCs w:val="24"/>
        </w:rPr>
        <w:t xml:space="preserve">. </w:t>
      </w:r>
      <w:r w:rsidR="003B0064" w:rsidRPr="003B0064">
        <w:rPr>
          <w:i w:val="0"/>
          <w:iCs w:val="0"/>
          <w:color w:val="auto"/>
          <w:sz w:val="24"/>
          <w:szCs w:val="24"/>
        </w:rPr>
        <w:t>Categories of Individuals Identified as Perpetrators of Sexual Violence</w:t>
      </w:r>
    </w:p>
    <w:tbl>
      <w:tblPr>
        <w:tblStyle w:val="LightList-Accent3"/>
        <w:tblW w:w="7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5"/>
        <w:gridCol w:w="763"/>
        <w:gridCol w:w="704"/>
        <w:gridCol w:w="710"/>
      </w:tblGrid>
      <w:tr w:rsidR="001168E9" w:rsidRPr="001168E9" w14:paraId="3BB644A6" w14:textId="77777777" w:rsidTr="001168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15" w:type="dxa"/>
            <w:shd w:val="clear" w:color="auto" w:fill="auto"/>
          </w:tcPr>
          <w:p w14:paraId="61887A54" w14:textId="4D13ACB5" w:rsidR="001168E9" w:rsidRPr="001168E9" w:rsidRDefault="003B0064" w:rsidP="003B0064">
            <w:pPr>
              <w:pStyle w:val="ListParagraph"/>
              <w:spacing w:line="240" w:lineRule="auto"/>
              <w:ind w:left="0" w:firstLine="0"/>
              <w:jc w:val="left"/>
              <w:rPr>
                <w:rFonts w:cs="Times New Roman"/>
                <w:color w:val="auto"/>
                <w:sz w:val="24"/>
                <w:szCs w:val="24"/>
              </w:rPr>
            </w:pPr>
            <w:r w:rsidRPr="003B0064">
              <w:rPr>
                <w:rFonts w:cs="Times New Roman"/>
                <w:color w:val="auto"/>
                <w:sz w:val="24"/>
                <w:szCs w:val="24"/>
                <w:lang w:val="en-ID"/>
              </w:rPr>
              <w:t>Category</w:t>
            </w:r>
          </w:p>
        </w:tc>
        <w:tc>
          <w:tcPr>
            <w:tcW w:w="763" w:type="dxa"/>
            <w:shd w:val="clear" w:color="auto" w:fill="auto"/>
          </w:tcPr>
          <w:p w14:paraId="4BC9C44D" w14:textId="77777777" w:rsidR="001168E9" w:rsidRPr="001168E9" w:rsidRDefault="001168E9" w:rsidP="001168E9">
            <w:pPr>
              <w:pStyle w:val="ListParagraph"/>
              <w:spacing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cs="Times New Roman"/>
                <w:color w:val="auto"/>
                <w:sz w:val="24"/>
                <w:szCs w:val="24"/>
              </w:rPr>
            </w:pPr>
            <w:r w:rsidRPr="001168E9">
              <w:rPr>
                <w:rFonts w:cs="Times New Roman"/>
                <w:color w:val="auto"/>
                <w:sz w:val="24"/>
                <w:szCs w:val="24"/>
              </w:rPr>
              <w:t>UHO</w:t>
            </w:r>
          </w:p>
        </w:tc>
        <w:tc>
          <w:tcPr>
            <w:tcW w:w="704" w:type="dxa"/>
            <w:shd w:val="clear" w:color="auto" w:fill="auto"/>
          </w:tcPr>
          <w:p w14:paraId="167CAB5F" w14:textId="77777777" w:rsidR="001168E9" w:rsidRPr="001168E9" w:rsidRDefault="001168E9" w:rsidP="001168E9">
            <w:pPr>
              <w:pStyle w:val="ListParagraph"/>
              <w:spacing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cs="Times New Roman"/>
                <w:color w:val="auto"/>
                <w:sz w:val="24"/>
                <w:szCs w:val="24"/>
              </w:rPr>
            </w:pPr>
            <w:r w:rsidRPr="001168E9">
              <w:rPr>
                <w:rFonts w:cs="Times New Roman"/>
                <w:color w:val="auto"/>
                <w:sz w:val="24"/>
                <w:szCs w:val="24"/>
              </w:rPr>
              <w:t>UII</w:t>
            </w:r>
          </w:p>
        </w:tc>
        <w:tc>
          <w:tcPr>
            <w:tcW w:w="710" w:type="dxa"/>
            <w:shd w:val="clear" w:color="auto" w:fill="auto"/>
          </w:tcPr>
          <w:p w14:paraId="47C7167B" w14:textId="77777777" w:rsidR="001168E9" w:rsidRPr="001168E9" w:rsidRDefault="001168E9" w:rsidP="001168E9">
            <w:pPr>
              <w:pStyle w:val="ListParagraph"/>
              <w:spacing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cs="Times New Roman"/>
                <w:color w:val="auto"/>
                <w:sz w:val="24"/>
                <w:szCs w:val="24"/>
              </w:rPr>
            </w:pPr>
            <w:r w:rsidRPr="001168E9">
              <w:rPr>
                <w:rFonts w:cs="Times New Roman"/>
                <w:color w:val="auto"/>
                <w:sz w:val="24"/>
                <w:szCs w:val="24"/>
              </w:rPr>
              <w:t>USK</w:t>
            </w:r>
          </w:p>
        </w:tc>
      </w:tr>
      <w:tr w:rsidR="001168E9" w:rsidRPr="001168E9" w14:paraId="63FD1E8C" w14:textId="77777777" w:rsidTr="002D0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15" w:type="dxa"/>
            <w:tcBorders>
              <w:top w:val="none" w:sz="0" w:space="0" w:color="auto"/>
              <w:left w:val="none" w:sz="0" w:space="0" w:color="auto"/>
              <w:bottom w:val="none" w:sz="0" w:space="0" w:color="auto"/>
            </w:tcBorders>
          </w:tcPr>
          <w:p w14:paraId="5A747795" w14:textId="394A3809" w:rsidR="001168E9" w:rsidRPr="001168E9" w:rsidRDefault="003B0064" w:rsidP="003B0064">
            <w:pPr>
              <w:pStyle w:val="ListParagraph"/>
              <w:spacing w:line="240" w:lineRule="auto"/>
              <w:ind w:left="0" w:firstLine="0"/>
              <w:jc w:val="left"/>
              <w:rPr>
                <w:rFonts w:cs="Times New Roman"/>
                <w:b w:val="0"/>
                <w:sz w:val="24"/>
                <w:szCs w:val="24"/>
              </w:rPr>
            </w:pPr>
            <w:r w:rsidRPr="003B0064">
              <w:rPr>
                <w:rFonts w:cs="Times New Roman"/>
                <w:b w:val="0"/>
                <w:sz w:val="24"/>
                <w:szCs w:val="24"/>
                <w:lang w:val="en-ID"/>
              </w:rPr>
              <w:t>Leaders at the faculty, university, or foundation level</w:t>
            </w:r>
          </w:p>
        </w:tc>
        <w:tc>
          <w:tcPr>
            <w:tcW w:w="763" w:type="dxa"/>
            <w:tcBorders>
              <w:top w:val="none" w:sz="0" w:space="0" w:color="auto"/>
              <w:bottom w:val="none" w:sz="0" w:space="0" w:color="auto"/>
            </w:tcBorders>
          </w:tcPr>
          <w:p w14:paraId="411C82D2"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8</w:t>
            </w:r>
          </w:p>
        </w:tc>
        <w:tc>
          <w:tcPr>
            <w:tcW w:w="704" w:type="dxa"/>
            <w:tcBorders>
              <w:top w:val="none" w:sz="0" w:space="0" w:color="auto"/>
              <w:bottom w:val="none" w:sz="0" w:space="0" w:color="auto"/>
            </w:tcBorders>
          </w:tcPr>
          <w:p w14:paraId="7DD37725"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10</w:t>
            </w:r>
          </w:p>
        </w:tc>
        <w:tc>
          <w:tcPr>
            <w:tcW w:w="710" w:type="dxa"/>
            <w:tcBorders>
              <w:top w:val="none" w:sz="0" w:space="0" w:color="auto"/>
              <w:bottom w:val="none" w:sz="0" w:space="0" w:color="auto"/>
              <w:right w:val="none" w:sz="0" w:space="0" w:color="auto"/>
            </w:tcBorders>
          </w:tcPr>
          <w:p w14:paraId="348EC3DF"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3</w:t>
            </w:r>
          </w:p>
        </w:tc>
      </w:tr>
      <w:tr w:rsidR="001168E9" w:rsidRPr="001168E9" w14:paraId="47680AAB" w14:textId="77777777" w:rsidTr="002D0E2C">
        <w:trPr>
          <w:jc w:val="center"/>
        </w:trPr>
        <w:tc>
          <w:tcPr>
            <w:cnfStyle w:val="001000000000" w:firstRow="0" w:lastRow="0" w:firstColumn="1" w:lastColumn="0" w:oddVBand="0" w:evenVBand="0" w:oddHBand="0" w:evenHBand="0" w:firstRowFirstColumn="0" w:firstRowLastColumn="0" w:lastRowFirstColumn="0" w:lastRowLastColumn="0"/>
            <w:tcW w:w="5815" w:type="dxa"/>
          </w:tcPr>
          <w:p w14:paraId="0089C737" w14:textId="15F41309" w:rsidR="001168E9" w:rsidRPr="001168E9" w:rsidRDefault="003B0064" w:rsidP="003B0064">
            <w:pPr>
              <w:pStyle w:val="ListParagraph"/>
              <w:spacing w:line="240" w:lineRule="auto"/>
              <w:ind w:left="0" w:firstLine="0"/>
              <w:jc w:val="left"/>
              <w:rPr>
                <w:rFonts w:cs="Times New Roman"/>
                <w:b w:val="0"/>
                <w:sz w:val="24"/>
                <w:szCs w:val="24"/>
              </w:rPr>
            </w:pPr>
            <w:r w:rsidRPr="003B0064">
              <w:rPr>
                <w:rFonts w:cs="Times New Roman"/>
                <w:b w:val="0"/>
                <w:sz w:val="24"/>
                <w:szCs w:val="24"/>
                <w:lang w:val="en-ID"/>
              </w:rPr>
              <w:t>Lecturers</w:t>
            </w:r>
          </w:p>
        </w:tc>
        <w:tc>
          <w:tcPr>
            <w:tcW w:w="763" w:type="dxa"/>
          </w:tcPr>
          <w:p w14:paraId="40AC411A"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68</w:t>
            </w:r>
          </w:p>
        </w:tc>
        <w:tc>
          <w:tcPr>
            <w:tcW w:w="704" w:type="dxa"/>
          </w:tcPr>
          <w:p w14:paraId="2B4A5E29"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10</w:t>
            </w:r>
          </w:p>
        </w:tc>
        <w:tc>
          <w:tcPr>
            <w:tcW w:w="710" w:type="dxa"/>
          </w:tcPr>
          <w:p w14:paraId="5F0B166C"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35</w:t>
            </w:r>
          </w:p>
        </w:tc>
      </w:tr>
      <w:tr w:rsidR="001168E9" w:rsidRPr="001168E9" w14:paraId="01396B00" w14:textId="77777777" w:rsidTr="002D0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15" w:type="dxa"/>
            <w:tcBorders>
              <w:top w:val="none" w:sz="0" w:space="0" w:color="auto"/>
              <w:left w:val="none" w:sz="0" w:space="0" w:color="auto"/>
              <w:bottom w:val="none" w:sz="0" w:space="0" w:color="auto"/>
            </w:tcBorders>
          </w:tcPr>
          <w:p w14:paraId="7D6E2F5D" w14:textId="574BFA80" w:rsidR="001168E9" w:rsidRPr="001168E9" w:rsidRDefault="00751D85" w:rsidP="00751D85">
            <w:pPr>
              <w:pStyle w:val="ListParagraph"/>
              <w:spacing w:line="240" w:lineRule="auto"/>
              <w:ind w:left="0" w:firstLine="0"/>
              <w:jc w:val="left"/>
              <w:rPr>
                <w:rFonts w:cs="Times New Roman"/>
                <w:b w:val="0"/>
                <w:sz w:val="24"/>
                <w:szCs w:val="24"/>
              </w:rPr>
            </w:pPr>
            <w:r w:rsidRPr="00751D85">
              <w:rPr>
                <w:rFonts w:cs="Times New Roman"/>
                <w:b w:val="0"/>
                <w:sz w:val="24"/>
                <w:szCs w:val="24"/>
                <w:lang w:val="en-ID"/>
              </w:rPr>
              <w:t>Administrative staff</w:t>
            </w:r>
          </w:p>
        </w:tc>
        <w:tc>
          <w:tcPr>
            <w:tcW w:w="763" w:type="dxa"/>
            <w:tcBorders>
              <w:top w:val="none" w:sz="0" w:space="0" w:color="auto"/>
              <w:bottom w:val="none" w:sz="0" w:space="0" w:color="auto"/>
            </w:tcBorders>
          </w:tcPr>
          <w:p w14:paraId="071BFC8C"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18</w:t>
            </w:r>
          </w:p>
        </w:tc>
        <w:tc>
          <w:tcPr>
            <w:tcW w:w="704" w:type="dxa"/>
            <w:tcBorders>
              <w:top w:val="none" w:sz="0" w:space="0" w:color="auto"/>
              <w:bottom w:val="none" w:sz="0" w:space="0" w:color="auto"/>
            </w:tcBorders>
          </w:tcPr>
          <w:p w14:paraId="57B440C7"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7</w:t>
            </w:r>
          </w:p>
        </w:tc>
        <w:tc>
          <w:tcPr>
            <w:tcW w:w="710" w:type="dxa"/>
            <w:tcBorders>
              <w:top w:val="none" w:sz="0" w:space="0" w:color="auto"/>
              <w:bottom w:val="none" w:sz="0" w:space="0" w:color="auto"/>
              <w:right w:val="none" w:sz="0" w:space="0" w:color="auto"/>
            </w:tcBorders>
          </w:tcPr>
          <w:p w14:paraId="3925FBCB"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6</w:t>
            </w:r>
          </w:p>
        </w:tc>
      </w:tr>
      <w:tr w:rsidR="001168E9" w:rsidRPr="001168E9" w14:paraId="713785FF" w14:textId="77777777" w:rsidTr="002D0E2C">
        <w:trPr>
          <w:jc w:val="center"/>
        </w:trPr>
        <w:tc>
          <w:tcPr>
            <w:cnfStyle w:val="001000000000" w:firstRow="0" w:lastRow="0" w:firstColumn="1" w:lastColumn="0" w:oddVBand="0" w:evenVBand="0" w:oddHBand="0" w:evenHBand="0" w:firstRowFirstColumn="0" w:firstRowLastColumn="0" w:lastRowFirstColumn="0" w:lastRowLastColumn="0"/>
            <w:tcW w:w="5815" w:type="dxa"/>
          </w:tcPr>
          <w:p w14:paraId="12CA80B9" w14:textId="54E5672D" w:rsidR="001168E9" w:rsidRPr="001168E9" w:rsidRDefault="00751D85" w:rsidP="00751D85">
            <w:pPr>
              <w:pStyle w:val="ListParagraph"/>
              <w:spacing w:line="240" w:lineRule="auto"/>
              <w:ind w:left="0" w:firstLine="0"/>
              <w:jc w:val="left"/>
              <w:rPr>
                <w:rFonts w:cs="Times New Roman"/>
                <w:b w:val="0"/>
                <w:sz w:val="24"/>
                <w:szCs w:val="24"/>
              </w:rPr>
            </w:pPr>
            <w:r w:rsidRPr="00751D85">
              <w:rPr>
                <w:rFonts w:cs="Times New Roman"/>
                <w:b w:val="0"/>
                <w:sz w:val="24"/>
                <w:szCs w:val="24"/>
                <w:lang w:val="en-ID"/>
              </w:rPr>
              <w:t>Student organization leaders</w:t>
            </w:r>
          </w:p>
        </w:tc>
        <w:tc>
          <w:tcPr>
            <w:tcW w:w="763" w:type="dxa"/>
          </w:tcPr>
          <w:p w14:paraId="7DB8E2A4"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5</w:t>
            </w:r>
          </w:p>
        </w:tc>
        <w:tc>
          <w:tcPr>
            <w:tcW w:w="704" w:type="dxa"/>
          </w:tcPr>
          <w:p w14:paraId="38DBA414"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9</w:t>
            </w:r>
          </w:p>
        </w:tc>
        <w:tc>
          <w:tcPr>
            <w:tcW w:w="710" w:type="dxa"/>
          </w:tcPr>
          <w:p w14:paraId="5D32641D"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4</w:t>
            </w:r>
          </w:p>
        </w:tc>
      </w:tr>
      <w:tr w:rsidR="001168E9" w:rsidRPr="001168E9" w14:paraId="31454771" w14:textId="77777777" w:rsidTr="002D0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15" w:type="dxa"/>
            <w:tcBorders>
              <w:top w:val="none" w:sz="0" w:space="0" w:color="auto"/>
              <w:left w:val="none" w:sz="0" w:space="0" w:color="auto"/>
              <w:bottom w:val="none" w:sz="0" w:space="0" w:color="auto"/>
            </w:tcBorders>
          </w:tcPr>
          <w:p w14:paraId="7A1C8331" w14:textId="0E37A668" w:rsidR="001168E9" w:rsidRPr="001168E9" w:rsidRDefault="00751D85" w:rsidP="00751D85">
            <w:pPr>
              <w:pStyle w:val="ListParagraph"/>
              <w:spacing w:line="240" w:lineRule="auto"/>
              <w:ind w:left="0" w:firstLine="0"/>
              <w:jc w:val="left"/>
              <w:rPr>
                <w:rFonts w:cs="Times New Roman"/>
                <w:b w:val="0"/>
                <w:sz w:val="24"/>
                <w:szCs w:val="24"/>
              </w:rPr>
            </w:pPr>
            <w:r w:rsidRPr="00751D85">
              <w:rPr>
                <w:rFonts w:cs="Times New Roman"/>
                <w:b w:val="0"/>
                <w:sz w:val="24"/>
                <w:szCs w:val="24"/>
                <w:lang w:val="en-ID"/>
              </w:rPr>
              <w:t>Students</w:t>
            </w:r>
          </w:p>
        </w:tc>
        <w:tc>
          <w:tcPr>
            <w:tcW w:w="763" w:type="dxa"/>
            <w:tcBorders>
              <w:top w:val="none" w:sz="0" w:space="0" w:color="auto"/>
              <w:bottom w:val="none" w:sz="0" w:space="0" w:color="auto"/>
            </w:tcBorders>
          </w:tcPr>
          <w:p w14:paraId="32E1DCDF"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90</w:t>
            </w:r>
          </w:p>
        </w:tc>
        <w:tc>
          <w:tcPr>
            <w:tcW w:w="704" w:type="dxa"/>
            <w:tcBorders>
              <w:top w:val="none" w:sz="0" w:space="0" w:color="auto"/>
              <w:bottom w:val="none" w:sz="0" w:space="0" w:color="auto"/>
            </w:tcBorders>
          </w:tcPr>
          <w:p w14:paraId="1DE32A69"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28</w:t>
            </w:r>
          </w:p>
        </w:tc>
        <w:tc>
          <w:tcPr>
            <w:tcW w:w="710" w:type="dxa"/>
            <w:tcBorders>
              <w:top w:val="none" w:sz="0" w:space="0" w:color="auto"/>
              <w:bottom w:val="none" w:sz="0" w:space="0" w:color="auto"/>
              <w:right w:val="none" w:sz="0" w:space="0" w:color="auto"/>
            </w:tcBorders>
          </w:tcPr>
          <w:p w14:paraId="2EDEB7FE"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32</w:t>
            </w:r>
          </w:p>
        </w:tc>
      </w:tr>
      <w:tr w:rsidR="001168E9" w:rsidRPr="001168E9" w14:paraId="09625DE8" w14:textId="77777777" w:rsidTr="002D0E2C">
        <w:trPr>
          <w:jc w:val="center"/>
        </w:trPr>
        <w:tc>
          <w:tcPr>
            <w:cnfStyle w:val="001000000000" w:firstRow="0" w:lastRow="0" w:firstColumn="1" w:lastColumn="0" w:oddVBand="0" w:evenVBand="0" w:oddHBand="0" w:evenHBand="0" w:firstRowFirstColumn="0" w:firstRowLastColumn="0" w:lastRowFirstColumn="0" w:lastRowLastColumn="0"/>
            <w:tcW w:w="5815" w:type="dxa"/>
          </w:tcPr>
          <w:p w14:paraId="49D28E6B" w14:textId="5F1DCE9A" w:rsidR="001168E9" w:rsidRPr="001168E9" w:rsidRDefault="00751D85" w:rsidP="00751D85">
            <w:pPr>
              <w:pStyle w:val="ListParagraph"/>
              <w:spacing w:line="240" w:lineRule="auto"/>
              <w:ind w:left="0" w:firstLine="0"/>
              <w:jc w:val="left"/>
              <w:rPr>
                <w:rFonts w:cs="Times New Roman"/>
                <w:b w:val="0"/>
                <w:sz w:val="24"/>
                <w:szCs w:val="24"/>
              </w:rPr>
            </w:pPr>
            <w:r w:rsidRPr="00751D85">
              <w:rPr>
                <w:rFonts w:cs="Times New Roman"/>
                <w:b w:val="0"/>
                <w:sz w:val="24"/>
                <w:szCs w:val="24"/>
                <w:lang w:val="en-ID"/>
              </w:rPr>
              <w:t>Security personnel</w:t>
            </w:r>
          </w:p>
        </w:tc>
        <w:tc>
          <w:tcPr>
            <w:tcW w:w="763" w:type="dxa"/>
          </w:tcPr>
          <w:p w14:paraId="2DAE8CF1"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9</w:t>
            </w:r>
          </w:p>
        </w:tc>
        <w:tc>
          <w:tcPr>
            <w:tcW w:w="704" w:type="dxa"/>
          </w:tcPr>
          <w:p w14:paraId="1C61CCE0"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3</w:t>
            </w:r>
          </w:p>
        </w:tc>
        <w:tc>
          <w:tcPr>
            <w:tcW w:w="710" w:type="dxa"/>
          </w:tcPr>
          <w:p w14:paraId="6EFD6040"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3</w:t>
            </w:r>
          </w:p>
        </w:tc>
      </w:tr>
      <w:tr w:rsidR="001168E9" w:rsidRPr="001168E9" w14:paraId="1F204B0A" w14:textId="77777777" w:rsidTr="002D0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15" w:type="dxa"/>
            <w:tcBorders>
              <w:top w:val="none" w:sz="0" w:space="0" w:color="auto"/>
              <w:left w:val="none" w:sz="0" w:space="0" w:color="auto"/>
              <w:bottom w:val="none" w:sz="0" w:space="0" w:color="auto"/>
            </w:tcBorders>
          </w:tcPr>
          <w:p w14:paraId="1DB93B11" w14:textId="0BA3123A" w:rsidR="001168E9" w:rsidRPr="001168E9" w:rsidRDefault="003B64A6" w:rsidP="003B64A6">
            <w:pPr>
              <w:pStyle w:val="ListParagraph"/>
              <w:spacing w:line="240" w:lineRule="auto"/>
              <w:ind w:left="0" w:firstLine="0"/>
              <w:jc w:val="left"/>
              <w:rPr>
                <w:rFonts w:cs="Times New Roman"/>
                <w:b w:val="0"/>
                <w:sz w:val="24"/>
                <w:szCs w:val="24"/>
              </w:rPr>
            </w:pPr>
            <w:r w:rsidRPr="003B64A6">
              <w:rPr>
                <w:rFonts w:cs="Times New Roman"/>
                <w:b w:val="0"/>
                <w:sz w:val="24"/>
                <w:szCs w:val="24"/>
                <w:lang w:val="en-ID"/>
              </w:rPr>
              <w:t>Cleaning personnel</w:t>
            </w:r>
          </w:p>
        </w:tc>
        <w:tc>
          <w:tcPr>
            <w:tcW w:w="763" w:type="dxa"/>
            <w:tcBorders>
              <w:top w:val="none" w:sz="0" w:space="0" w:color="auto"/>
              <w:bottom w:val="none" w:sz="0" w:space="0" w:color="auto"/>
            </w:tcBorders>
          </w:tcPr>
          <w:p w14:paraId="661BADFA"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2</w:t>
            </w:r>
          </w:p>
        </w:tc>
        <w:tc>
          <w:tcPr>
            <w:tcW w:w="704" w:type="dxa"/>
            <w:tcBorders>
              <w:top w:val="none" w:sz="0" w:space="0" w:color="auto"/>
              <w:bottom w:val="none" w:sz="0" w:space="0" w:color="auto"/>
            </w:tcBorders>
          </w:tcPr>
          <w:p w14:paraId="4EEE2F81"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5</w:t>
            </w:r>
          </w:p>
        </w:tc>
        <w:tc>
          <w:tcPr>
            <w:tcW w:w="710" w:type="dxa"/>
            <w:tcBorders>
              <w:top w:val="none" w:sz="0" w:space="0" w:color="auto"/>
              <w:bottom w:val="none" w:sz="0" w:space="0" w:color="auto"/>
              <w:right w:val="none" w:sz="0" w:space="0" w:color="auto"/>
            </w:tcBorders>
          </w:tcPr>
          <w:p w14:paraId="22A13FFB"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3</w:t>
            </w:r>
          </w:p>
        </w:tc>
      </w:tr>
      <w:tr w:rsidR="001168E9" w:rsidRPr="001168E9" w14:paraId="169B6F46" w14:textId="77777777" w:rsidTr="002D0E2C">
        <w:trPr>
          <w:jc w:val="center"/>
        </w:trPr>
        <w:tc>
          <w:tcPr>
            <w:cnfStyle w:val="001000000000" w:firstRow="0" w:lastRow="0" w:firstColumn="1" w:lastColumn="0" w:oddVBand="0" w:evenVBand="0" w:oddHBand="0" w:evenHBand="0" w:firstRowFirstColumn="0" w:firstRowLastColumn="0" w:lastRowFirstColumn="0" w:lastRowLastColumn="0"/>
            <w:tcW w:w="5815" w:type="dxa"/>
          </w:tcPr>
          <w:p w14:paraId="34EB83B8" w14:textId="44A8E5C0" w:rsidR="001168E9" w:rsidRPr="001168E9" w:rsidRDefault="003B64A6" w:rsidP="003B64A6">
            <w:pPr>
              <w:pStyle w:val="ListParagraph"/>
              <w:spacing w:line="240" w:lineRule="auto"/>
              <w:ind w:left="0" w:firstLine="0"/>
              <w:jc w:val="left"/>
              <w:rPr>
                <w:rFonts w:cs="Times New Roman"/>
                <w:b w:val="0"/>
                <w:sz w:val="24"/>
                <w:szCs w:val="24"/>
              </w:rPr>
            </w:pPr>
            <w:r w:rsidRPr="003B64A6">
              <w:rPr>
                <w:rFonts w:cs="Times New Roman"/>
                <w:b w:val="0"/>
                <w:sz w:val="24"/>
                <w:szCs w:val="24"/>
                <w:lang w:val="en-ID"/>
              </w:rPr>
              <w:t>Canteen attendants or other campus service personnel</w:t>
            </w:r>
          </w:p>
        </w:tc>
        <w:tc>
          <w:tcPr>
            <w:tcW w:w="763" w:type="dxa"/>
          </w:tcPr>
          <w:p w14:paraId="4A28EF74"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3</w:t>
            </w:r>
          </w:p>
        </w:tc>
        <w:tc>
          <w:tcPr>
            <w:tcW w:w="704" w:type="dxa"/>
          </w:tcPr>
          <w:p w14:paraId="1F77052B"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3</w:t>
            </w:r>
          </w:p>
        </w:tc>
        <w:tc>
          <w:tcPr>
            <w:tcW w:w="710" w:type="dxa"/>
          </w:tcPr>
          <w:p w14:paraId="340DF5CC"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1</w:t>
            </w:r>
          </w:p>
        </w:tc>
      </w:tr>
      <w:tr w:rsidR="001168E9" w:rsidRPr="001168E9" w14:paraId="73CE6011" w14:textId="77777777" w:rsidTr="002D0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15" w:type="dxa"/>
            <w:tcBorders>
              <w:top w:val="none" w:sz="0" w:space="0" w:color="auto"/>
              <w:left w:val="none" w:sz="0" w:space="0" w:color="auto"/>
              <w:bottom w:val="none" w:sz="0" w:space="0" w:color="auto"/>
            </w:tcBorders>
          </w:tcPr>
          <w:p w14:paraId="640893F0" w14:textId="074177A7" w:rsidR="001168E9" w:rsidRPr="001168E9" w:rsidRDefault="003B64A6" w:rsidP="003B64A6">
            <w:pPr>
              <w:pStyle w:val="ListParagraph"/>
              <w:spacing w:line="240" w:lineRule="auto"/>
              <w:ind w:left="0" w:firstLine="0"/>
              <w:jc w:val="left"/>
              <w:rPr>
                <w:rFonts w:cs="Times New Roman"/>
                <w:b w:val="0"/>
                <w:sz w:val="24"/>
                <w:szCs w:val="24"/>
              </w:rPr>
            </w:pPr>
            <w:r w:rsidRPr="003B64A6">
              <w:rPr>
                <w:rFonts w:cs="Times New Roman"/>
                <w:b w:val="0"/>
                <w:sz w:val="24"/>
                <w:szCs w:val="24"/>
                <w:lang w:val="en-ID"/>
              </w:rPr>
              <w:t>Non-campus individuals, including boarding-house residents, strangers, guests, and construction workers</w:t>
            </w:r>
          </w:p>
        </w:tc>
        <w:tc>
          <w:tcPr>
            <w:tcW w:w="763" w:type="dxa"/>
            <w:tcBorders>
              <w:top w:val="none" w:sz="0" w:space="0" w:color="auto"/>
              <w:bottom w:val="none" w:sz="0" w:space="0" w:color="auto"/>
            </w:tcBorders>
          </w:tcPr>
          <w:p w14:paraId="38205147"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85</w:t>
            </w:r>
          </w:p>
        </w:tc>
        <w:tc>
          <w:tcPr>
            <w:tcW w:w="704" w:type="dxa"/>
            <w:tcBorders>
              <w:top w:val="none" w:sz="0" w:space="0" w:color="auto"/>
              <w:bottom w:val="none" w:sz="0" w:space="0" w:color="auto"/>
            </w:tcBorders>
          </w:tcPr>
          <w:p w14:paraId="4ADAEAA2"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45</w:t>
            </w:r>
          </w:p>
        </w:tc>
        <w:tc>
          <w:tcPr>
            <w:tcW w:w="710" w:type="dxa"/>
            <w:tcBorders>
              <w:top w:val="none" w:sz="0" w:space="0" w:color="auto"/>
              <w:bottom w:val="none" w:sz="0" w:space="0" w:color="auto"/>
              <w:right w:val="none" w:sz="0" w:space="0" w:color="auto"/>
            </w:tcBorders>
          </w:tcPr>
          <w:p w14:paraId="4B681A86"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37</w:t>
            </w:r>
          </w:p>
        </w:tc>
      </w:tr>
      <w:tr w:rsidR="001168E9" w:rsidRPr="001168E9" w14:paraId="4F4D6AB2" w14:textId="77777777" w:rsidTr="002D0E2C">
        <w:trPr>
          <w:jc w:val="center"/>
        </w:trPr>
        <w:tc>
          <w:tcPr>
            <w:cnfStyle w:val="001000000000" w:firstRow="0" w:lastRow="0" w:firstColumn="1" w:lastColumn="0" w:oddVBand="0" w:evenVBand="0" w:oddHBand="0" w:evenHBand="0" w:firstRowFirstColumn="0" w:firstRowLastColumn="0" w:lastRowFirstColumn="0" w:lastRowLastColumn="0"/>
            <w:tcW w:w="5815" w:type="dxa"/>
          </w:tcPr>
          <w:p w14:paraId="4F4860C3" w14:textId="1294D79F" w:rsidR="001168E9" w:rsidRPr="001168E9" w:rsidRDefault="003B64A6" w:rsidP="003B64A6">
            <w:pPr>
              <w:pStyle w:val="ListParagraph"/>
              <w:spacing w:line="240" w:lineRule="auto"/>
              <w:ind w:left="0" w:firstLine="0"/>
              <w:jc w:val="left"/>
              <w:rPr>
                <w:rFonts w:cs="Times New Roman"/>
                <w:b w:val="0"/>
                <w:sz w:val="24"/>
                <w:szCs w:val="24"/>
              </w:rPr>
            </w:pPr>
            <w:r w:rsidRPr="003B64A6">
              <w:rPr>
                <w:rFonts w:cs="Times New Roman"/>
                <w:b w:val="0"/>
                <w:sz w:val="24"/>
                <w:szCs w:val="24"/>
                <w:lang w:val="en-ID"/>
              </w:rPr>
              <w:t>Leaders and staff at internship, fieldwork, community service, or research location</w:t>
            </w:r>
            <w:r>
              <w:rPr>
                <w:rFonts w:cs="Times New Roman"/>
                <w:b w:val="0"/>
                <w:sz w:val="24"/>
                <w:szCs w:val="24"/>
                <w:lang w:val="en-ID"/>
              </w:rPr>
              <w:t>s</w:t>
            </w:r>
          </w:p>
        </w:tc>
        <w:tc>
          <w:tcPr>
            <w:tcW w:w="763" w:type="dxa"/>
          </w:tcPr>
          <w:p w14:paraId="26B50AF5"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10</w:t>
            </w:r>
          </w:p>
        </w:tc>
        <w:tc>
          <w:tcPr>
            <w:tcW w:w="704" w:type="dxa"/>
          </w:tcPr>
          <w:p w14:paraId="0A7224FC"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2</w:t>
            </w:r>
          </w:p>
        </w:tc>
        <w:tc>
          <w:tcPr>
            <w:tcW w:w="710" w:type="dxa"/>
          </w:tcPr>
          <w:p w14:paraId="58019211"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1168E9">
              <w:rPr>
                <w:rFonts w:cs="Times New Roman"/>
                <w:sz w:val="24"/>
                <w:szCs w:val="24"/>
              </w:rPr>
              <w:t>3</w:t>
            </w:r>
          </w:p>
        </w:tc>
      </w:tr>
      <w:tr w:rsidR="001168E9" w:rsidRPr="001168E9" w14:paraId="38AB0A5A" w14:textId="77777777" w:rsidTr="002D0E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15" w:type="dxa"/>
            <w:tcBorders>
              <w:top w:val="none" w:sz="0" w:space="0" w:color="auto"/>
              <w:left w:val="none" w:sz="0" w:space="0" w:color="auto"/>
              <w:bottom w:val="none" w:sz="0" w:space="0" w:color="auto"/>
            </w:tcBorders>
          </w:tcPr>
          <w:p w14:paraId="6803044E" w14:textId="3AB48D0C" w:rsidR="001168E9" w:rsidRPr="001168E9" w:rsidRDefault="00EC3770" w:rsidP="00EC3770">
            <w:pPr>
              <w:pStyle w:val="ListParagraph"/>
              <w:spacing w:line="240" w:lineRule="auto"/>
              <w:ind w:left="0" w:firstLine="0"/>
              <w:jc w:val="left"/>
              <w:rPr>
                <w:rFonts w:cs="Times New Roman"/>
                <w:b w:val="0"/>
                <w:sz w:val="24"/>
                <w:szCs w:val="24"/>
              </w:rPr>
            </w:pPr>
            <w:r w:rsidRPr="00EC3770">
              <w:rPr>
                <w:rFonts w:cs="Times New Roman"/>
                <w:b w:val="0"/>
                <w:sz w:val="24"/>
                <w:szCs w:val="24"/>
                <w:lang w:val="en-ID"/>
              </w:rPr>
              <w:t>Others</w:t>
            </w:r>
          </w:p>
        </w:tc>
        <w:tc>
          <w:tcPr>
            <w:tcW w:w="763" w:type="dxa"/>
            <w:tcBorders>
              <w:top w:val="none" w:sz="0" w:space="0" w:color="auto"/>
              <w:bottom w:val="none" w:sz="0" w:space="0" w:color="auto"/>
            </w:tcBorders>
          </w:tcPr>
          <w:p w14:paraId="56C915C7"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18</w:t>
            </w:r>
          </w:p>
        </w:tc>
        <w:tc>
          <w:tcPr>
            <w:tcW w:w="704" w:type="dxa"/>
            <w:tcBorders>
              <w:top w:val="none" w:sz="0" w:space="0" w:color="auto"/>
              <w:bottom w:val="none" w:sz="0" w:space="0" w:color="auto"/>
            </w:tcBorders>
          </w:tcPr>
          <w:p w14:paraId="7B554D47"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22</w:t>
            </w:r>
          </w:p>
        </w:tc>
        <w:tc>
          <w:tcPr>
            <w:tcW w:w="710" w:type="dxa"/>
            <w:tcBorders>
              <w:top w:val="none" w:sz="0" w:space="0" w:color="auto"/>
              <w:bottom w:val="none" w:sz="0" w:space="0" w:color="auto"/>
              <w:right w:val="none" w:sz="0" w:space="0" w:color="auto"/>
            </w:tcBorders>
          </w:tcPr>
          <w:p w14:paraId="1282A2C5" w14:textId="77777777" w:rsidR="001168E9" w:rsidRPr="001168E9" w:rsidRDefault="001168E9" w:rsidP="002D0E2C">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1168E9">
              <w:rPr>
                <w:rFonts w:cs="Times New Roman"/>
                <w:sz w:val="24"/>
                <w:szCs w:val="24"/>
              </w:rPr>
              <w:t>4</w:t>
            </w:r>
          </w:p>
        </w:tc>
      </w:tr>
      <w:tr w:rsidR="001168E9" w:rsidRPr="001168E9" w14:paraId="63DC590A" w14:textId="77777777" w:rsidTr="002D0E2C">
        <w:trPr>
          <w:jc w:val="center"/>
        </w:trPr>
        <w:tc>
          <w:tcPr>
            <w:cnfStyle w:val="001000000000" w:firstRow="0" w:lastRow="0" w:firstColumn="1" w:lastColumn="0" w:oddVBand="0" w:evenVBand="0" w:oddHBand="0" w:evenHBand="0" w:firstRowFirstColumn="0" w:firstRowLastColumn="0" w:lastRowFirstColumn="0" w:lastRowLastColumn="0"/>
            <w:tcW w:w="5815" w:type="dxa"/>
          </w:tcPr>
          <w:p w14:paraId="14B8EDAC" w14:textId="77777777" w:rsidR="001168E9" w:rsidRPr="001168E9" w:rsidRDefault="001168E9" w:rsidP="001168E9">
            <w:pPr>
              <w:pStyle w:val="ListParagraph"/>
              <w:spacing w:line="240" w:lineRule="auto"/>
              <w:ind w:left="0" w:firstLine="0"/>
              <w:jc w:val="left"/>
              <w:rPr>
                <w:rFonts w:cs="Times New Roman"/>
                <w:sz w:val="24"/>
                <w:szCs w:val="24"/>
              </w:rPr>
            </w:pPr>
            <w:r w:rsidRPr="001168E9">
              <w:rPr>
                <w:rFonts w:cs="Times New Roman"/>
                <w:sz w:val="24"/>
                <w:szCs w:val="24"/>
              </w:rPr>
              <w:t>Total</w:t>
            </w:r>
          </w:p>
        </w:tc>
        <w:tc>
          <w:tcPr>
            <w:tcW w:w="763" w:type="dxa"/>
          </w:tcPr>
          <w:p w14:paraId="1582A432"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b/>
                <w:sz w:val="24"/>
                <w:szCs w:val="24"/>
              </w:rPr>
            </w:pPr>
            <w:r w:rsidRPr="001168E9">
              <w:rPr>
                <w:rFonts w:cs="Times New Roman"/>
                <w:b/>
                <w:sz w:val="24"/>
                <w:szCs w:val="24"/>
              </w:rPr>
              <w:t>316</w:t>
            </w:r>
          </w:p>
        </w:tc>
        <w:tc>
          <w:tcPr>
            <w:tcW w:w="704" w:type="dxa"/>
          </w:tcPr>
          <w:p w14:paraId="4FE1DB4B"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b/>
                <w:sz w:val="24"/>
                <w:szCs w:val="24"/>
              </w:rPr>
            </w:pPr>
            <w:r w:rsidRPr="001168E9">
              <w:rPr>
                <w:rFonts w:cs="Times New Roman"/>
                <w:b/>
                <w:sz w:val="24"/>
                <w:szCs w:val="24"/>
              </w:rPr>
              <w:t>144</w:t>
            </w:r>
          </w:p>
        </w:tc>
        <w:tc>
          <w:tcPr>
            <w:tcW w:w="710" w:type="dxa"/>
          </w:tcPr>
          <w:p w14:paraId="26A6B0E0" w14:textId="77777777" w:rsidR="001168E9" w:rsidRPr="001168E9" w:rsidRDefault="001168E9" w:rsidP="002D0E2C">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b/>
                <w:sz w:val="24"/>
                <w:szCs w:val="24"/>
              </w:rPr>
            </w:pPr>
            <w:r w:rsidRPr="001168E9">
              <w:rPr>
                <w:rFonts w:cs="Times New Roman"/>
                <w:b/>
                <w:sz w:val="24"/>
                <w:szCs w:val="24"/>
              </w:rPr>
              <w:t>131</w:t>
            </w:r>
          </w:p>
        </w:tc>
      </w:tr>
    </w:tbl>
    <w:p w14:paraId="7EF50C12" w14:textId="77777777" w:rsidR="001168E9" w:rsidRDefault="001168E9" w:rsidP="001168E9">
      <w:pPr>
        <w:ind w:firstLine="0"/>
      </w:pPr>
    </w:p>
    <w:p w14:paraId="56AA9331" w14:textId="77777777" w:rsidR="00EC3770" w:rsidRPr="00EC3770" w:rsidRDefault="00EC3770" w:rsidP="00EC3770">
      <w:r w:rsidRPr="00EC3770">
        <w:t>The data in Table 2 show that students, lecturers, and individuals from outside the campus were among the categories frequently mentioned. These findings are not intended to label particular groups as perpetrators in general. Instead, the data demonstrate that sexual violence may occur in both peer relationships and hierarchical relationships. Sexual violence among students may be related to seniority, organizational influence, group pressure, or personal relationships. Sexual violence involving lecturers, university leaders, or field supervisors carries a stronger dimension of power relations because victims may depend on these individuals for assessment, supervision, permission, recommendations, and the continuation of academic activities.</w:t>
      </w:r>
    </w:p>
    <w:p w14:paraId="68DDB3D6" w14:textId="77777777" w:rsidR="00EC3770" w:rsidRPr="00EC3770" w:rsidRDefault="00EC3770" w:rsidP="00EC3770">
      <w:r w:rsidRPr="00EC3770">
        <w:lastRenderedPageBreak/>
        <w:t>Individuals who were not members of the campus community were also frequently mentioned by respondents. This finding shows that the scope of protection provided by higher education institutions cannot be limited to the physical campus environment or to relationships among campus community members. Internships, fieldwork, community service programs, research activities, student accommodation, and interactions with external service providers remain part of the educational experience. Higher education institutions must therefore ensure that protection, reporting procedures, and assistance remain accessible when violence occurs outside the campus, provided that the incident is connected to the implementation of educational activities.</w:t>
      </w:r>
    </w:p>
    <w:p w14:paraId="1C490E4F" w14:textId="77777777" w:rsidR="00EC3770" w:rsidRPr="00EC3770" w:rsidRDefault="00EC3770" w:rsidP="00EC3770">
      <w:r w:rsidRPr="00EC3770">
        <w:t>Power relations in this study are not understood solely as formal relationships between leaders and subordinates. Power may also arise from seniority, popularity, proximity to university leaders, organizational positions, the ability to influence grades, and control over access to academic activities. An individual may occupy a vulnerable position when rejecting sexual conduct is expected to result in adverse consequences, such as lower grades, difficulties in obtaining supervision, exclusion from activities, loss of organizational positions, social pressure, or isolation from a group.</w:t>
      </w:r>
    </w:p>
    <w:p w14:paraId="39B69FF3" w14:textId="77777777" w:rsidR="00EC3770" w:rsidRPr="00EC3770" w:rsidRDefault="00EC3770" w:rsidP="00EC3770">
      <w:r w:rsidRPr="00EC3770">
        <w:t>These findings demonstrate that sexual violence in higher education cannot be adequately explained merely as individual behavior. Violence may arise when unequal relationships intersect with weak supervision, unclear boundaries of interaction, and the absence of trusted protection mechanisms. A victim’s dependency on an individual who holds authority may restrict the victim’s ability to refuse and report the conduct. Prevention efforts must therefore focus on establishing more transparent academic relationships, limiting high-risk private meetings, providing secure consultation channels, protecting victims from retaliation, and monitoring the use of authority in academic processes and student activities.</w:t>
      </w:r>
    </w:p>
    <w:p w14:paraId="2E231069" w14:textId="77777777" w:rsidR="00EC3770" w:rsidRPr="00EC3770" w:rsidRDefault="00EC3770" w:rsidP="00EC3770">
      <w:r w:rsidRPr="00EC3770">
        <w:t>Power relations are also closely associated with the formation of a culture of silence. When perpetrators hold positions, influence, or the ability to determine a victim’s academic future, reporting may be perceived as a high-risk action. Victims consider not only the violence they have experienced but also the possibility of losing academic opportunities, facing stigma, being disbelieved, or being blamed by their surroundings. The relationship between positional inequality and fear of consequences subsequently provides a basis for understanding the normalization of sexual conduct and the limited use of reporting mechanisms within higher education institutions.</w:t>
      </w:r>
    </w:p>
    <w:p w14:paraId="32A55709" w14:textId="472685E7" w:rsidR="007B2DE1" w:rsidRDefault="003B1D33" w:rsidP="003B1D33">
      <w:pPr>
        <w:pStyle w:val="Heading2"/>
      </w:pPr>
      <w:r w:rsidRPr="003B1D33">
        <w:t>Normalization of Sexual Violence and Limited Literacy</w:t>
      </w:r>
    </w:p>
    <w:p w14:paraId="73AAE437" w14:textId="283D9877" w:rsidR="007B2DE1" w:rsidRDefault="003B1D33" w:rsidP="003B1D33">
      <w:r w:rsidRPr="003B1D33">
        <w:t xml:space="preserve">The findings indicate that members of the campus community do not yet have an equally comprehensive understanding of sexual violence. Some respondents understood sexual violence as conduct that violates individual rights, undermines human dignity, and causes harm to victims. Their understanding, </w:t>
      </w:r>
      <w:r w:rsidRPr="003B1D33">
        <w:lastRenderedPageBreak/>
        <w:t>however, was primarily directed toward physical acts or actions involving overt coercion. Verbal, nonverbal, symbolic, and digital forms of sexual violence were not always recognized as forms of sexual violence. This limited understanding blurred the boundaries between ordinary interaction, joking, personal approaches, and unwanted sexual conduct.</w:t>
      </w:r>
    </w:p>
    <w:p w14:paraId="68D93755" w14:textId="77777777" w:rsidR="00AA5379" w:rsidRPr="00AA5379" w:rsidRDefault="00AA5379" w:rsidP="00AA5379">
      <w:r w:rsidRPr="00AA5379">
        <w:t>Conduct that may be normalized includes sexual jokes, whistling or catcalling, comments about a person’s body and appearance, questions about sexual life, the sending of sexually explicit messages or images, uncomfortable staring, and physical contact without consent. Such conduct may be regarded as normal when it frequently occurs in campus social interactions, student organizations, digital communication, or friendships. The assumption that these actions are merely jokes may obscure victims’ experiences and reduce awareness that the conduct has violated personal boundaries.</w:t>
      </w:r>
    </w:p>
    <w:p w14:paraId="702CB708" w14:textId="77777777" w:rsidR="00AA5379" w:rsidRPr="00AA5379" w:rsidRDefault="00AA5379" w:rsidP="00AA5379">
      <w:r w:rsidRPr="00AA5379">
        <w:t>Normalization is also associated with limited understanding of consent. Consent cannot be inferred solely from personal closeness, friendship, dating status, silence, or the absence of physical resistance. Consent must be given consciously, freely, clearly, and without pressure. In unequal relationships, a person may appear to accept an action because they feel afraid, reluctant to refuse, or dependent on the other party. This condition shows that the absence of an explicit refusal cannot always be interpreted as consent.</w:t>
      </w:r>
    </w:p>
    <w:p w14:paraId="7E76911C" w14:textId="77777777" w:rsidR="00AA5379" w:rsidRPr="00AA5379" w:rsidRDefault="00AA5379" w:rsidP="00AA5379">
      <w:r w:rsidRPr="00AA5379">
        <w:t>Power imbalances reinforce the normalization process. Jokes, private messages, invitations to meet, or sexual comments may be difficult to reject when they come from lecturers, senior students, organizational leaders, supervisors, or other individuals in influential positions. Victims may hesitate to identify such conduct as a violation because the perpetrator holds a stronger academic or social position. When the surrounding environment also regards the conduct as normal, victims may question their own judgment and choose not to disclose their experiences.</w:t>
      </w:r>
    </w:p>
    <w:p w14:paraId="25A9CBE5" w14:textId="77777777" w:rsidR="00AA5379" w:rsidRPr="00AA5379" w:rsidRDefault="00AA5379" w:rsidP="00AA5379">
      <w:r w:rsidRPr="00AA5379">
        <w:t>Limited literacy was identified not only in the ability to recognize forms of sexual violence, but also in the understanding of victims’ rights, the responsibilities of witnesses, protection for complainants, and case-handling procedures. Members of the campus community who do not understand victims’ rights may respond inappropriately by asking victims to remain silent, questioning their clothing or behavior, suggesting that the matter be resolved privately, or assuming that reporting the case will damage the institution’s reputation. Such responses may cause revictimization and make victims even more reluctant to seek assistance.</w:t>
      </w:r>
    </w:p>
    <w:p w14:paraId="7DFFD93E" w14:textId="77777777" w:rsidR="00AA5379" w:rsidRPr="00AA5379" w:rsidRDefault="00AA5379" w:rsidP="00AA5379">
      <w:r w:rsidRPr="00AA5379">
        <w:t xml:space="preserve">The findings show that the attitudes of campus community members are strongly influenced by how they understand sexual violence. Adequate understanding can foster attitudes that support victims, while limited understanding may lead to justification of perpetrators’ actions or mistreatment of victims. Victim-blaming attitudes, doubts about victims’ accounts, and judgments based on victims’ appearance or relationship with the perpetrator form part of a culture that sustains </w:t>
      </w:r>
      <w:r w:rsidRPr="00AA5379">
        <w:lastRenderedPageBreak/>
        <w:t>the normalization of violence. This condition shifts responsibility for the violence from the perpetrator’s actions to the victim’s behavior.</w:t>
      </w:r>
    </w:p>
    <w:p w14:paraId="5B3E238C" w14:textId="77777777" w:rsidR="00AA5379" w:rsidRPr="00AA5379" w:rsidRDefault="00AA5379" w:rsidP="00AA5379">
      <w:r w:rsidRPr="00AA5379">
        <w:t>Education on sexual violence is needed to help members of the campus community recognize different forms of misconduct, understand the concept of consent, identify power imbalances, and respond appropriately to victims. Educational interventions can increase students’ awareness and improve their ability to recognize and respond to sexual violence (Schneider &amp; Hirsch, 2020). Materials on the Prevention and Handling of Sexual Violence, hereafter referred to as PPKS, also need to be integrated into teaching materials and learning processes. Knowledge should not be limited to the dissemination of regulations but should develop into critical awareness and actions that support victim protection (Yusran et al., 2022).</w:t>
      </w:r>
    </w:p>
    <w:p w14:paraId="79E68DCB" w14:textId="77777777" w:rsidR="00AA5379" w:rsidRPr="00AA5379" w:rsidRDefault="00AA5379" w:rsidP="00AA5379">
      <w:r w:rsidRPr="00AA5379">
        <w:t>Literacy development should be carried out using case examples that are closely related to campus life. Educational materials should not be limited to definitions of sexual violence. They should also address situations occurring in classroom activities, academic supervision, student organizations, digital communication, field activities, research, internships, and community service programs. A case-based approach can help members of the campus community distinguish between equal interactions and conduct involving pressure, manipulation, or abuse of authority.</w:t>
      </w:r>
    </w:p>
    <w:p w14:paraId="1CDAA015" w14:textId="77777777" w:rsidR="00AA5379" w:rsidRPr="00AA5379" w:rsidRDefault="00AA5379" w:rsidP="00AA5379">
      <w:r w:rsidRPr="00AA5379">
        <w:t>The normalization of sexual violence is formed when conduct that violates personal boundaries is regarded as a joke, a common habit, or a risk that must be accepted in social and academic relationships. Limited literacy concerning forms of violence, consent, power relations, and victims’ rights makes it difficult for members of the campus community to recognize and respond appropriately to incidents. This normalization subsequently influences the decisions of victims and witnesses to disclose cases because their experiences may not be recognized as violations that warrant reporting.</w:t>
      </w:r>
    </w:p>
    <w:p w14:paraId="5406621B" w14:textId="27077A13" w:rsidR="00A0119C" w:rsidRDefault="00AA5379" w:rsidP="00AA5379">
      <w:pPr>
        <w:pStyle w:val="Heading2"/>
      </w:pPr>
      <w:r w:rsidRPr="00AA5379">
        <w:t>Weaknesses in Reporting Mechanisms</w:t>
      </w:r>
    </w:p>
    <w:p w14:paraId="630D483A" w14:textId="66A0D603" w:rsidR="00E10C3C" w:rsidRPr="007B2DE1" w:rsidRDefault="00AA5379" w:rsidP="00AA5379">
      <w:r w:rsidRPr="00AA5379">
        <w:t>The findings show that the culture of silence surrounding sexual violence is influenced not only by the limited understanding of the campus community but also by the low use of reporting mechanisms. Of the 166 respondents who provided responses concerning case disclosure, 72 respondents, or 43.3%, stated that a case of sexual violence had been disclosed, shared, or reported. In contrast, 94 respondents, or 56.7%, stated that the case had not been reported. These data show that more than half of the cases known to respondents had not been disclosed to another party or processed through the available mechanisms.</w:t>
      </w:r>
    </w:p>
    <w:p w14:paraId="717604F7" w14:textId="37EFEED1" w:rsidR="007B2DE1" w:rsidRPr="007B2DE1" w:rsidRDefault="007B2DE1" w:rsidP="003E3763">
      <w:pPr>
        <w:pStyle w:val="Caption"/>
        <w:keepNext/>
        <w:spacing w:before="200" w:after="0" w:line="360" w:lineRule="auto"/>
        <w:ind w:firstLine="0"/>
        <w:jc w:val="center"/>
        <w:rPr>
          <w:i w:val="0"/>
          <w:iCs w:val="0"/>
          <w:color w:val="auto"/>
          <w:sz w:val="24"/>
          <w:szCs w:val="24"/>
        </w:rPr>
      </w:pPr>
      <w:r w:rsidRPr="007B2DE1">
        <w:rPr>
          <w:b/>
          <w:bCs/>
          <w:i w:val="0"/>
          <w:iCs w:val="0"/>
          <w:color w:val="auto"/>
          <w:sz w:val="24"/>
          <w:szCs w:val="24"/>
        </w:rPr>
        <w:t>Tab</w:t>
      </w:r>
      <w:r w:rsidR="00AA5379">
        <w:rPr>
          <w:b/>
          <w:bCs/>
          <w:i w:val="0"/>
          <w:iCs w:val="0"/>
          <w:color w:val="auto"/>
          <w:sz w:val="24"/>
          <w:szCs w:val="24"/>
        </w:rPr>
        <w:t>le</w:t>
      </w:r>
      <w:r w:rsidRPr="007B2DE1">
        <w:rPr>
          <w:b/>
          <w:bCs/>
          <w:i w:val="0"/>
          <w:iCs w:val="0"/>
          <w:color w:val="auto"/>
          <w:sz w:val="24"/>
          <w:szCs w:val="24"/>
        </w:rPr>
        <w:t xml:space="preserve"> </w:t>
      </w:r>
      <w:r w:rsidRPr="007B2DE1">
        <w:rPr>
          <w:b/>
          <w:bCs/>
          <w:i w:val="0"/>
          <w:iCs w:val="0"/>
          <w:color w:val="auto"/>
          <w:sz w:val="24"/>
          <w:szCs w:val="24"/>
        </w:rPr>
        <w:fldChar w:fldCharType="begin"/>
      </w:r>
      <w:r w:rsidRPr="007B2DE1">
        <w:rPr>
          <w:b/>
          <w:bCs/>
          <w:i w:val="0"/>
          <w:iCs w:val="0"/>
          <w:color w:val="auto"/>
          <w:sz w:val="24"/>
          <w:szCs w:val="24"/>
        </w:rPr>
        <w:instrText xml:space="preserve"> SEQ Tabel \* ARABIC </w:instrText>
      </w:r>
      <w:r w:rsidRPr="007B2DE1">
        <w:rPr>
          <w:b/>
          <w:bCs/>
          <w:i w:val="0"/>
          <w:iCs w:val="0"/>
          <w:color w:val="auto"/>
          <w:sz w:val="24"/>
          <w:szCs w:val="24"/>
        </w:rPr>
        <w:fldChar w:fldCharType="separate"/>
      </w:r>
      <w:r w:rsidR="005949A8">
        <w:rPr>
          <w:b/>
          <w:bCs/>
          <w:i w:val="0"/>
          <w:iCs w:val="0"/>
          <w:noProof/>
          <w:color w:val="auto"/>
          <w:sz w:val="24"/>
          <w:szCs w:val="24"/>
        </w:rPr>
        <w:t>3</w:t>
      </w:r>
      <w:r w:rsidRPr="007B2DE1">
        <w:rPr>
          <w:b/>
          <w:bCs/>
          <w:i w:val="0"/>
          <w:iCs w:val="0"/>
          <w:color w:val="auto"/>
          <w:sz w:val="24"/>
          <w:szCs w:val="24"/>
        </w:rPr>
        <w:fldChar w:fldCharType="end"/>
      </w:r>
      <w:r w:rsidRPr="007B2DE1">
        <w:rPr>
          <w:b/>
          <w:bCs/>
          <w:i w:val="0"/>
          <w:iCs w:val="0"/>
          <w:color w:val="auto"/>
          <w:sz w:val="24"/>
          <w:szCs w:val="24"/>
        </w:rPr>
        <w:t xml:space="preserve">. </w:t>
      </w:r>
      <w:r w:rsidR="003E3763" w:rsidRPr="003E3763">
        <w:rPr>
          <w:i w:val="0"/>
          <w:iCs w:val="0"/>
          <w:color w:val="auto"/>
          <w:sz w:val="24"/>
          <w:szCs w:val="24"/>
        </w:rPr>
        <w:t>Disclosure or Reporting of Sexual Violence Cases</w:t>
      </w:r>
    </w:p>
    <w:tbl>
      <w:tblPr>
        <w:tblStyle w:val="TableGrid"/>
        <w:tblW w:w="7815" w:type="dxa"/>
        <w:tblInd w:w="108" w:type="dxa"/>
        <w:tblLook w:val="04A0" w:firstRow="1" w:lastRow="0" w:firstColumn="1" w:lastColumn="0" w:noHBand="0" w:noVBand="1"/>
      </w:tblPr>
      <w:tblGrid>
        <w:gridCol w:w="516"/>
        <w:gridCol w:w="1875"/>
        <w:gridCol w:w="1084"/>
        <w:gridCol w:w="904"/>
        <w:gridCol w:w="1070"/>
        <w:gridCol w:w="843"/>
        <w:gridCol w:w="1523"/>
      </w:tblGrid>
      <w:tr w:rsidR="007B2DE1" w:rsidRPr="007B2DE1" w14:paraId="0E7EADD5" w14:textId="77777777" w:rsidTr="00731C4D">
        <w:trPr>
          <w:trHeight w:val="130"/>
        </w:trPr>
        <w:tc>
          <w:tcPr>
            <w:tcW w:w="519" w:type="dxa"/>
            <w:vMerge w:val="restart"/>
            <w:vAlign w:val="center"/>
          </w:tcPr>
          <w:p w14:paraId="13061C56" w14:textId="77777777" w:rsidR="007B2DE1" w:rsidRPr="007B2DE1" w:rsidRDefault="007B2DE1" w:rsidP="007B2DE1">
            <w:pPr>
              <w:spacing w:line="240" w:lineRule="auto"/>
              <w:ind w:firstLine="0"/>
              <w:jc w:val="center"/>
              <w:rPr>
                <w:rFonts w:cs="Times New Roman"/>
                <w:b/>
                <w:bCs/>
              </w:rPr>
            </w:pPr>
            <w:r w:rsidRPr="007B2DE1">
              <w:rPr>
                <w:rFonts w:cs="Times New Roman"/>
                <w:b/>
                <w:bCs/>
              </w:rPr>
              <w:t>No</w:t>
            </w:r>
          </w:p>
        </w:tc>
        <w:tc>
          <w:tcPr>
            <w:tcW w:w="1966" w:type="dxa"/>
            <w:vMerge w:val="restart"/>
            <w:vAlign w:val="center"/>
          </w:tcPr>
          <w:p w14:paraId="19A8168E" w14:textId="3D8E0938" w:rsidR="007B2DE1" w:rsidRPr="007B2DE1" w:rsidRDefault="003E3763" w:rsidP="003E3763">
            <w:pPr>
              <w:spacing w:line="240" w:lineRule="auto"/>
              <w:ind w:firstLine="0"/>
              <w:jc w:val="center"/>
              <w:rPr>
                <w:rFonts w:cs="Times New Roman"/>
                <w:b/>
                <w:bCs/>
              </w:rPr>
            </w:pPr>
            <w:r w:rsidRPr="003E3763">
              <w:rPr>
                <w:rFonts w:cs="Times New Roman"/>
                <w:b/>
                <w:bCs/>
              </w:rPr>
              <w:t>Respondent’s Gender</w:t>
            </w:r>
          </w:p>
        </w:tc>
        <w:tc>
          <w:tcPr>
            <w:tcW w:w="3980" w:type="dxa"/>
            <w:gridSpan w:val="4"/>
            <w:vAlign w:val="center"/>
          </w:tcPr>
          <w:p w14:paraId="607617A1" w14:textId="5242DB48" w:rsidR="007B2DE1" w:rsidRPr="007B2DE1" w:rsidRDefault="00731C4D" w:rsidP="007B2DE1">
            <w:pPr>
              <w:spacing w:line="240" w:lineRule="auto"/>
              <w:ind w:firstLine="0"/>
              <w:jc w:val="center"/>
              <w:rPr>
                <w:rFonts w:cs="Times New Roman"/>
                <w:b/>
                <w:bCs/>
              </w:rPr>
            </w:pPr>
            <w:r w:rsidRPr="007B2DE1">
              <w:rPr>
                <w:rFonts w:cs="Times New Roman"/>
                <w:b/>
                <w:bCs/>
              </w:rPr>
              <w:t>Cases of Sexual Violence Reported</w:t>
            </w:r>
          </w:p>
        </w:tc>
        <w:tc>
          <w:tcPr>
            <w:tcW w:w="1350" w:type="dxa"/>
            <w:vMerge w:val="restart"/>
            <w:vAlign w:val="center"/>
          </w:tcPr>
          <w:p w14:paraId="2D7577B9" w14:textId="2E04E712" w:rsidR="007B2DE1" w:rsidRPr="007B2DE1" w:rsidRDefault="00ED7018" w:rsidP="00ED7018">
            <w:pPr>
              <w:spacing w:line="240" w:lineRule="auto"/>
              <w:ind w:firstLine="0"/>
              <w:jc w:val="center"/>
              <w:rPr>
                <w:rFonts w:cs="Times New Roman"/>
                <w:b/>
                <w:bCs/>
              </w:rPr>
            </w:pPr>
            <w:r w:rsidRPr="00ED7018">
              <w:rPr>
                <w:rFonts w:cs="Times New Roman"/>
                <w:b/>
                <w:bCs/>
              </w:rPr>
              <w:t>Total Respondents</w:t>
            </w:r>
          </w:p>
        </w:tc>
      </w:tr>
      <w:tr w:rsidR="007B2DE1" w:rsidRPr="007B2DE1" w14:paraId="7D0024FF" w14:textId="77777777" w:rsidTr="007B2DE1">
        <w:trPr>
          <w:trHeight w:val="263"/>
        </w:trPr>
        <w:tc>
          <w:tcPr>
            <w:tcW w:w="519" w:type="dxa"/>
            <w:vMerge/>
          </w:tcPr>
          <w:p w14:paraId="2CDF6BA5" w14:textId="77777777" w:rsidR="007B2DE1" w:rsidRPr="007B2DE1" w:rsidRDefault="007B2DE1" w:rsidP="007B2DE1">
            <w:pPr>
              <w:spacing w:line="240" w:lineRule="auto"/>
              <w:ind w:firstLine="0"/>
              <w:jc w:val="left"/>
              <w:rPr>
                <w:rFonts w:cs="Times New Roman"/>
              </w:rPr>
            </w:pPr>
          </w:p>
        </w:tc>
        <w:tc>
          <w:tcPr>
            <w:tcW w:w="1966" w:type="dxa"/>
            <w:vMerge/>
          </w:tcPr>
          <w:p w14:paraId="12315350" w14:textId="77777777" w:rsidR="007B2DE1" w:rsidRPr="007B2DE1" w:rsidRDefault="007B2DE1" w:rsidP="007B2DE1">
            <w:pPr>
              <w:spacing w:line="240" w:lineRule="auto"/>
              <w:ind w:firstLine="0"/>
              <w:jc w:val="left"/>
              <w:rPr>
                <w:rFonts w:cs="Times New Roman"/>
              </w:rPr>
            </w:pPr>
          </w:p>
        </w:tc>
        <w:tc>
          <w:tcPr>
            <w:tcW w:w="2080" w:type="dxa"/>
            <w:gridSpan w:val="2"/>
            <w:vAlign w:val="center"/>
          </w:tcPr>
          <w:p w14:paraId="0955EAA6" w14:textId="5D92A397" w:rsidR="007B2DE1" w:rsidRPr="007B2DE1" w:rsidRDefault="0000642F" w:rsidP="0000642F">
            <w:pPr>
              <w:spacing w:line="240" w:lineRule="auto"/>
              <w:ind w:firstLine="0"/>
              <w:jc w:val="center"/>
              <w:rPr>
                <w:rFonts w:cs="Times New Roman"/>
                <w:b/>
                <w:bCs/>
              </w:rPr>
            </w:pPr>
            <w:r w:rsidRPr="0000642F">
              <w:rPr>
                <w:rFonts w:cs="Times New Roman"/>
                <w:b/>
                <w:bCs/>
              </w:rPr>
              <w:t>Yes</w:t>
            </w:r>
          </w:p>
        </w:tc>
        <w:tc>
          <w:tcPr>
            <w:tcW w:w="1900" w:type="dxa"/>
            <w:gridSpan w:val="2"/>
            <w:vAlign w:val="center"/>
          </w:tcPr>
          <w:p w14:paraId="401799D4" w14:textId="63101D36" w:rsidR="007B2DE1" w:rsidRPr="007B2DE1" w:rsidRDefault="0000642F" w:rsidP="0000642F">
            <w:pPr>
              <w:spacing w:line="240" w:lineRule="auto"/>
              <w:ind w:firstLine="0"/>
              <w:jc w:val="center"/>
              <w:rPr>
                <w:rFonts w:cs="Times New Roman"/>
                <w:b/>
                <w:bCs/>
              </w:rPr>
            </w:pPr>
            <w:r w:rsidRPr="0000642F">
              <w:rPr>
                <w:rFonts w:cs="Times New Roman"/>
                <w:b/>
                <w:bCs/>
              </w:rPr>
              <w:t>No</w:t>
            </w:r>
          </w:p>
        </w:tc>
        <w:tc>
          <w:tcPr>
            <w:tcW w:w="1350" w:type="dxa"/>
            <w:vMerge/>
          </w:tcPr>
          <w:p w14:paraId="64752458" w14:textId="77777777" w:rsidR="007B2DE1" w:rsidRPr="007B2DE1" w:rsidRDefault="007B2DE1" w:rsidP="007B2DE1">
            <w:pPr>
              <w:spacing w:line="240" w:lineRule="auto"/>
              <w:ind w:firstLine="0"/>
              <w:jc w:val="left"/>
              <w:rPr>
                <w:rFonts w:cs="Times New Roman"/>
              </w:rPr>
            </w:pPr>
          </w:p>
        </w:tc>
      </w:tr>
      <w:tr w:rsidR="007B2DE1" w:rsidRPr="007B2DE1" w14:paraId="2B3AD883" w14:textId="77777777" w:rsidTr="007B2DE1">
        <w:trPr>
          <w:trHeight w:val="238"/>
        </w:trPr>
        <w:tc>
          <w:tcPr>
            <w:tcW w:w="519" w:type="dxa"/>
            <w:vMerge/>
          </w:tcPr>
          <w:p w14:paraId="09985376" w14:textId="77777777" w:rsidR="007B2DE1" w:rsidRPr="007B2DE1" w:rsidRDefault="007B2DE1" w:rsidP="007B2DE1">
            <w:pPr>
              <w:spacing w:line="240" w:lineRule="auto"/>
              <w:ind w:firstLine="0"/>
              <w:jc w:val="left"/>
              <w:rPr>
                <w:rFonts w:cs="Times New Roman"/>
              </w:rPr>
            </w:pPr>
          </w:p>
        </w:tc>
        <w:tc>
          <w:tcPr>
            <w:tcW w:w="1966" w:type="dxa"/>
            <w:vMerge/>
          </w:tcPr>
          <w:p w14:paraId="33C67D0E" w14:textId="77777777" w:rsidR="007B2DE1" w:rsidRPr="007B2DE1" w:rsidRDefault="007B2DE1" w:rsidP="007B2DE1">
            <w:pPr>
              <w:spacing w:line="240" w:lineRule="auto"/>
              <w:ind w:firstLine="0"/>
              <w:jc w:val="left"/>
              <w:rPr>
                <w:rFonts w:cs="Times New Roman"/>
              </w:rPr>
            </w:pPr>
          </w:p>
        </w:tc>
        <w:tc>
          <w:tcPr>
            <w:tcW w:w="1088" w:type="dxa"/>
            <w:vAlign w:val="center"/>
          </w:tcPr>
          <w:p w14:paraId="60B85BD9" w14:textId="46E604C9" w:rsidR="007B2DE1" w:rsidRPr="007B2DE1" w:rsidRDefault="0000642F" w:rsidP="0000642F">
            <w:pPr>
              <w:spacing w:line="240" w:lineRule="auto"/>
              <w:ind w:firstLine="0"/>
              <w:jc w:val="center"/>
              <w:rPr>
                <w:rFonts w:cs="Times New Roman"/>
                <w:b/>
                <w:bCs/>
              </w:rPr>
            </w:pPr>
            <w:r w:rsidRPr="0000642F">
              <w:rPr>
                <w:rFonts w:cs="Times New Roman"/>
                <w:b/>
                <w:bCs/>
              </w:rPr>
              <w:t>Number</w:t>
            </w:r>
          </w:p>
        </w:tc>
        <w:tc>
          <w:tcPr>
            <w:tcW w:w="992" w:type="dxa"/>
            <w:vAlign w:val="center"/>
          </w:tcPr>
          <w:p w14:paraId="1BA884E7" w14:textId="78BCAAFF" w:rsidR="007B2DE1" w:rsidRPr="007B2DE1" w:rsidRDefault="007B2DE1" w:rsidP="007B2DE1">
            <w:pPr>
              <w:spacing w:line="240" w:lineRule="auto"/>
              <w:ind w:firstLine="0"/>
              <w:jc w:val="center"/>
              <w:rPr>
                <w:rFonts w:cs="Times New Roman"/>
                <w:b/>
                <w:bCs/>
              </w:rPr>
            </w:pPr>
            <w:r w:rsidRPr="007B2DE1">
              <w:rPr>
                <w:rFonts w:cs="Times New Roman"/>
                <w:b/>
                <w:bCs/>
              </w:rPr>
              <w:t>%</w:t>
            </w:r>
          </w:p>
        </w:tc>
        <w:tc>
          <w:tcPr>
            <w:tcW w:w="990" w:type="dxa"/>
            <w:vAlign w:val="center"/>
          </w:tcPr>
          <w:p w14:paraId="2AFF4911" w14:textId="4DDC6B27" w:rsidR="007B2DE1" w:rsidRPr="007B2DE1" w:rsidRDefault="0000642F" w:rsidP="0000642F">
            <w:pPr>
              <w:spacing w:line="240" w:lineRule="auto"/>
              <w:ind w:firstLine="0"/>
              <w:jc w:val="center"/>
              <w:rPr>
                <w:rFonts w:cs="Times New Roman"/>
                <w:b/>
                <w:bCs/>
              </w:rPr>
            </w:pPr>
            <w:r w:rsidRPr="0000642F">
              <w:rPr>
                <w:rFonts w:cs="Times New Roman"/>
                <w:b/>
                <w:bCs/>
              </w:rPr>
              <w:t>Number</w:t>
            </w:r>
          </w:p>
        </w:tc>
        <w:tc>
          <w:tcPr>
            <w:tcW w:w="910" w:type="dxa"/>
            <w:vAlign w:val="center"/>
          </w:tcPr>
          <w:p w14:paraId="1EA2DF07" w14:textId="70AF767E" w:rsidR="007B2DE1" w:rsidRPr="007B2DE1" w:rsidRDefault="007B2DE1" w:rsidP="007B2DE1">
            <w:pPr>
              <w:spacing w:line="240" w:lineRule="auto"/>
              <w:ind w:firstLine="0"/>
              <w:jc w:val="center"/>
              <w:rPr>
                <w:rFonts w:cs="Times New Roman"/>
                <w:b/>
                <w:bCs/>
              </w:rPr>
            </w:pPr>
            <w:r w:rsidRPr="007B2DE1">
              <w:rPr>
                <w:rFonts w:cs="Times New Roman"/>
                <w:b/>
                <w:bCs/>
              </w:rPr>
              <w:t>%</w:t>
            </w:r>
          </w:p>
        </w:tc>
        <w:tc>
          <w:tcPr>
            <w:tcW w:w="1350" w:type="dxa"/>
            <w:vMerge/>
          </w:tcPr>
          <w:p w14:paraId="6952DED1" w14:textId="77777777" w:rsidR="007B2DE1" w:rsidRPr="007B2DE1" w:rsidRDefault="007B2DE1" w:rsidP="007B2DE1">
            <w:pPr>
              <w:spacing w:line="240" w:lineRule="auto"/>
              <w:ind w:firstLine="0"/>
              <w:jc w:val="left"/>
              <w:rPr>
                <w:rFonts w:cs="Times New Roman"/>
              </w:rPr>
            </w:pPr>
          </w:p>
        </w:tc>
      </w:tr>
      <w:tr w:rsidR="007B2DE1" w:rsidRPr="007B2DE1" w14:paraId="78D2DA7E" w14:textId="77777777" w:rsidTr="007B2DE1">
        <w:tc>
          <w:tcPr>
            <w:tcW w:w="519" w:type="dxa"/>
          </w:tcPr>
          <w:p w14:paraId="0B90D23D" w14:textId="77777777" w:rsidR="007B2DE1" w:rsidRPr="007B2DE1" w:rsidRDefault="007B2DE1" w:rsidP="007B2DE1">
            <w:pPr>
              <w:spacing w:line="240" w:lineRule="auto"/>
              <w:ind w:firstLine="0"/>
              <w:jc w:val="left"/>
              <w:rPr>
                <w:rFonts w:cs="Times New Roman"/>
              </w:rPr>
            </w:pPr>
            <w:r w:rsidRPr="007B2DE1">
              <w:rPr>
                <w:rFonts w:cs="Times New Roman"/>
              </w:rPr>
              <w:lastRenderedPageBreak/>
              <w:t>1</w:t>
            </w:r>
          </w:p>
        </w:tc>
        <w:tc>
          <w:tcPr>
            <w:tcW w:w="1966" w:type="dxa"/>
          </w:tcPr>
          <w:p w14:paraId="4DDE2DEC" w14:textId="2C91D38C" w:rsidR="007B2DE1" w:rsidRPr="007B2DE1" w:rsidRDefault="00ED7018" w:rsidP="00ED7018">
            <w:pPr>
              <w:spacing w:line="240" w:lineRule="auto"/>
              <w:ind w:firstLine="0"/>
              <w:jc w:val="left"/>
              <w:rPr>
                <w:rFonts w:cs="Times New Roman"/>
              </w:rPr>
            </w:pPr>
            <w:r w:rsidRPr="00ED7018">
              <w:rPr>
                <w:rFonts w:cs="Times New Roman"/>
              </w:rPr>
              <w:t>Male</w:t>
            </w:r>
          </w:p>
        </w:tc>
        <w:tc>
          <w:tcPr>
            <w:tcW w:w="1088" w:type="dxa"/>
          </w:tcPr>
          <w:p w14:paraId="5F94A6AD" w14:textId="77777777" w:rsidR="007B2DE1" w:rsidRPr="007B2DE1" w:rsidRDefault="007B2DE1" w:rsidP="007B2DE1">
            <w:pPr>
              <w:spacing w:line="240" w:lineRule="auto"/>
              <w:ind w:firstLine="0"/>
              <w:jc w:val="center"/>
              <w:rPr>
                <w:rFonts w:cs="Times New Roman"/>
              </w:rPr>
            </w:pPr>
            <w:r w:rsidRPr="007B2DE1">
              <w:rPr>
                <w:rFonts w:cs="Times New Roman"/>
              </w:rPr>
              <w:t>19</w:t>
            </w:r>
          </w:p>
        </w:tc>
        <w:tc>
          <w:tcPr>
            <w:tcW w:w="992" w:type="dxa"/>
          </w:tcPr>
          <w:p w14:paraId="64CB22EC" w14:textId="77777777" w:rsidR="007B2DE1" w:rsidRPr="007B2DE1" w:rsidRDefault="007B2DE1" w:rsidP="007B2DE1">
            <w:pPr>
              <w:spacing w:line="240" w:lineRule="auto"/>
              <w:ind w:firstLine="0"/>
              <w:jc w:val="center"/>
              <w:rPr>
                <w:rFonts w:cs="Times New Roman"/>
              </w:rPr>
            </w:pPr>
            <w:r w:rsidRPr="007B2DE1">
              <w:rPr>
                <w:rFonts w:cs="Times New Roman"/>
              </w:rPr>
              <w:t>11,4</w:t>
            </w:r>
          </w:p>
        </w:tc>
        <w:tc>
          <w:tcPr>
            <w:tcW w:w="990" w:type="dxa"/>
          </w:tcPr>
          <w:p w14:paraId="60079D09" w14:textId="77777777" w:rsidR="007B2DE1" w:rsidRPr="007B2DE1" w:rsidRDefault="007B2DE1" w:rsidP="007B2DE1">
            <w:pPr>
              <w:spacing w:line="240" w:lineRule="auto"/>
              <w:ind w:firstLine="0"/>
              <w:jc w:val="center"/>
              <w:rPr>
                <w:rFonts w:cs="Times New Roman"/>
              </w:rPr>
            </w:pPr>
            <w:r w:rsidRPr="007B2DE1">
              <w:rPr>
                <w:rFonts w:cs="Times New Roman"/>
              </w:rPr>
              <w:t>30</w:t>
            </w:r>
          </w:p>
        </w:tc>
        <w:tc>
          <w:tcPr>
            <w:tcW w:w="910" w:type="dxa"/>
          </w:tcPr>
          <w:p w14:paraId="1F20524A" w14:textId="77777777" w:rsidR="007B2DE1" w:rsidRPr="007B2DE1" w:rsidRDefault="007B2DE1" w:rsidP="007B2DE1">
            <w:pPr>
              <w:spacing w:line="240" w:lineRule="auto"/>
              <w:ind w:firstLine="0"/>
              <w:jc w:val="center"/>
              <w:rPr>
                <w:rFonts w:cs="Times New Roman"/>
              </w:rPr>
            </w:pPr>
            <w:r w:rsidRPr="007B2DE1">
              <w:rPr>
                <w:rFonts w:cs="Times New Roman"/>
              </w:rPr>
              <w:t>18,1</w:t>
            </w:r>
          </w:p>
        </w:tc>
        <w:tc>
          <w:tcPr>
            <w:tcW w:w="1350" w:type="dxa"/>
          </w:tcPr>
          <w:p w14:paraId="3601A990" w14:textId="77777777" w:rsidR="007B2DE1" w:rsidRPr="007B2DE1" w:rsidRDefault="007B2DE1" w:rsidP="007B2DE1">
            <w:pPr>
              <w:spacing w:line="240" w:lineRule="auto"/>
              <w:ind w:firstLine="0"/>
              <w:jc w:val="center"/>
              <w:rPr>
                <w:rFonts w:cs="Times New Roman"/>
              </w:rPr>
            </w:pPr>
            <w:r w:rsidRPr="007B2DE1">
              <w:rPr>
                <w:rFonts w:cs="Times New Roman"/>
              </w:rPr>
              <w:t>49</w:t>
            </w:r>
          </w:p>
        </w:tc>
      </w:tr>
      <w:tr w:rsidR="007B2DE1" w:rsidRPr="007B2DE1" w14:paraId="41E97024" w14:textId="77777777" w:rsidTr="007B2DE1">
        <w:tc>
          <w:tcPr>
            <w:tcW w:w="519" w:type="dxa"/>
          </w:tcPr>
          <w:p w14:paraId="4C15042A" w14:textId="77777777" w:rsidR="007B2DE1" w:rsidRPr="007B2DE1" w:rsidRDefault="007B2DE1" w:rsidP="007B2DE1">
            <w:pPr>
              <w:spacing w:line="240" w:lineRule="auto"/>
              <w:ind w:firstLine="0"/>
              <w:jc w:val="left"/>
              <w:rPr>
                <w:rFonts w:cs="Times New Roman"/>
              </w:rPr>
            </w:pPr>
            <w:r w:rsidRPr="007B2DE1">
              <w:rPr>
                <w:rFonts w:cs="Times New Roman"/>
              </w:rPr>
              <w:t>2</w:t>
            </w:r>
          </w:p>
        </w:tc>
        <w:tc>
          <w:tcPr>
            <w:tcW w:w="1966" w:type="dxa"/>
          </w:tcPr>
          <w:p w14:paraId="5D4DAAC7" w14:textId="3078AD17" w:rsidR="007B2DE1" w:rsidRPr="007B2DE1" w:rsidRDefault="00ED7018" w:rsidP="00ED7018">
            <w:pPr>
              <w:spacing w:line="240" w:lineRule="auto"/>
              <w:ind w:firstLine="0"/>
              <w:jc w:val="left"/>
              <w:rPr>
                <w:rFonts w:cs="Times New Roman"/>
              </w:rPr>
            </w:pPr>
            <w:r w:rsidRPr="00ED7018">
              <w:rPr>
                <w:rFonts w:cs="Times New Roman"/>
              </w:rPr>
              <w:t>Female</w:t>
            </w:r>
          </w:p>
        </w:tc>
        <w:tc>
          <w:tcPr>
            <w:tcW w:w="1088" w:type="dxa"/>
          </w:tcPr>
          <w:p w14:paraId="079D873D" w14:textId="77777777" w:rsidR="007B2DE1" w:rsidRPr="007B2DE1" w:rsidRDefault="007B2DE1" w:rsidP="007B2DE1">
            <w:pPr>
              <w:spacing w:line="240" w:lineRule="auto"/>
              <w:ind w:firstLine="0"/>
              <w:jc w:val="center"/>
              <w:rPr>
                <w:rFonts w:cs="Times New Roman"/>
              </w:rPr>
            </w:pPr>
            <w:r w:rsidRPr="007B2DE1">
              <w:rPr>
                <w:rFonts w:cs="Times New Roman"/>
              </w:rPr>
              <w:t>51</w:t>
            </w:r>
          </w:p>
        </w:tc>
        <w:tc>
          <w:tcPr>
            <w:tcW w:w="992" w:type="dxa"/>
          </w:tcPr>
          <w:p w14:paraId="4159D4B3" w14:textId="77777777" w:rsidR="007B2DE1" w:rsidRPr="007B2DE1" w:rsidRDefault="007B2DE1" w:rsidP="007B2DE1">
            <w:pPr>
              <w:spacing w:line="240" w:lineRule="auto"/>
              <w:ind w:firstLine="0"/>
              <w:jc w:val="center"/>
              <w:rPr>
                <w:rFonts w:cs="Times New Roman"/>
              </w:rPr>
            </w:pPr>
            <w:r w:rsidRPr="007B2DE1">
              <w:rPr>
                <w:rFonts w:cs="Times New Roman"/>
              </w:rPr>
              <w:t>30,7</w:t>
            </w:r>
          </w:p>
        </w:tc>
        <w:tc>
          <w:tcPr>
            <w:tcW w:w="990" w:type="dxa"/>
          </w:tcPr>
          <w:p w14:paraId="2E41B0F1" w14:textId="77777777" w:rsidR="007B2DE1" w:rsidRPr="007B2DE1" w:rsidRDefault="007B2DE1" w:rsidP="007B2DE1">
            <w:pPr>
              <w:spacing w:line="240" w:lineRule="auto"/>
              <w:ind w:firstLine="0"/>
              <w:jc w:val="center"/>
              <w:rPr>
                <w:rFonts w:cs="Times New Roman"/>
              </w:rPr>
            </w:pPr>
            <w:r w:rsidRPr="007B2DE1">
              <w:rPr>
                <w:rFonts w:cs="Times New Roman"/>
              </w:rPr>
              <w:t>61</w:t>
            </w:r>
          </w:p>
        </w:tc>
        <w:tc>
          <w:tcPr>
            <w:tcW w:w="910" w:type="dxa"/>
          </w:tcPr>
          <w:p w14:paraId="292DE631" w14:textId="77777777" w:rsidR="007B2DE1" w:rsidRPr="007B2DE1" w:rsidRDefault="007B2DE1" w:rsidP="007B2DE1">
            <w:pPr>
              <w:spacing w:line="240" w:lineRule="auto"/>
              <w:ind w:firstLine="0"/>
              <w:jc w:val="center"/>
              <w:rPr>
                <w:rFonts w:cs="Times New Roman"/>
              </w:rPr>
            </w:pPr>
            <w:r w:rsidRPr="007B2DE1">
              <w:rPr>
                <w:rFonts w:cs="Times New Roman"/>
              </w:rPr>
              <w:t>36,8</w:t>
            </w:r>
          </w:p>
        </w:tc>
        <w:tc>
          <w:tcPr>
            <w:tcW w:w="1350" w:type="dxa"/>
          </w:tcPr>
          <w:p w14:paraId="60E4BB11" w14:textId="77777777" w:rsidR="007B2DE1" w:rsidRPr="007B2DE1" w:rsidRDefault="007B2DE1" w:rsidP="007B2DE1">
            <w:pPr>
              <w:spacing w:line="240" w:lineRule="auto"/>
              <w:ind w:firstLine="0"/>
              <w:jc w:val="center"/>
              <w:rPr>
                <w:rFonts w:cs="Times New Roman"/>
              </w:rPr>
            </w:pPr>
            <w:r w:rsidRPr="007B2DE1">
              <w:rPr>
                <w:rFonts w:cs="Times New Roman"/>
              </w:rPr>
              <w:t>112</w:t>
            </w:r>
          </w:p>
        </w:tc>
      </w:tr>
      <w:tr w:rsidR="007B2DE1" w:rsidRPr="007B2DE1" w14:paraId="3F458EC1" w14:textId="77777777" w:rsidTr="007B2DE1">
        <w:trPr>
          <w:trHeight w:val="309"/>
        </w:trPr>
        <w:tc>
          <w:tcPr>
            <w:tcW w:w="519" w:type="dxa"/>
          </w:tcPr>
          <w:p w14:paraId="337FDD4F" w14:textId="77777777" w:rsidR="007B2DE1" w:rsidRPr="007B2DE1" w:rsidRDefault="007B2DE1" w:rsidP="007B2DE1">
            <w:pPr>
              <w:spacing w:line="240" w:lineRule="auto"/>
              <w:ind w:firstLine="0"/>
              <w:jc w:val="left"/>
              <w:rPr>
                <w:rFonts w:cs="Times New Roman"/>
              </w:rPr>
            </w:pPr>
            <w:r w:rsidRPr="007B2DE1">
              <w:rPr>
                <w:rFonts w:cs="Times New Roman"/>
              </w:rPr>
              <w:t>3</w:t>
            </w:r>
          </w:p>
        </w:tc>
        <w:tc>
          <w:tcPr>
            <w:tcW w:w="1966" w:type="dxa"/>
          </w:tcPr>
          <w:p w14:paraId="4B59FD6F" w14:textId="3C25AF97" w:rsidR="007B2DE1" w:rsidRPr="007B2DE1" w:rsidRDefault="00ED7018" w:rsidP="00ED7018">
            <w:pPr>
              <w:spacing w:line="240" w:lineRule="auto"/>
              <w:ind w:firstLine="0"/>
              <w:jc w:val="left"/>
              <w:rPr>
                <w:rFonts w:cs="Times New Roman"/>
              </w:rPr>
            </w:pPr>
            <w:r w:rsidRPr="00ED7018">
              <w:rPr>
                <w:rFonts w:cs="Times New Roman"/>
              </w:rPr>
              <w:t>Not specified</w:t>
            </w:r>
          </w:p>
        </w:tc>
        <w:tc>
          <w:tcPr>
            <w:tcW w:w="1088" w:type="dxa"/>
          </w:tcPr>
          <w:p w14:paraId="565C6E14" w14:textId="77777777" w:rsidR="007B2DE1" w:rsidRPr="007B2DE1" w:rsidRDefault="007B2DE1" w:rsidP="007B2DE1">
            <w:pPr>
              <w:spacing w:line="240" w:lineRule="auto"/>
              <w:ind w:firstLine="0"/>
              <w:jc w:val="center"/>
              <w:rPr>
                <w:rFonts w:cs="Times New Roman"/>
              </w:rPr>
            </w:pPr>
            <w:r w:rsidRPr="007B2DE1">
              <w:rPr>
                <w:rFonts w:cs="Times New Roman"/>
              </w:rPr>
              <w:t>2</w:t>
            </w:r>
          </w:p>
        </w:tc>
        <w:tc>
          <w:tcPr>
            <w:tcW w:w="992" w:type="dxa"/>
          </w:tcPr>
          <w:p w14:paraId="32F7DE8A" w14:textId="77777777" w:rsidR="007B2DE1" w:rsidRPr="007B2DE1" w:rsidRDefault="007B2DE1" w:rsidP="007B2DE1">
            <w:pPr>
              <w:spacing w:line="240" w:lineRule="auto"/>
              <w:ind w:firstLine="0"/>
              <w:jc w:val="center"/>
              <w:rPr>
                <w:rFonts w:cs="Times New Roman"/>
              </w:rPr>
            </w:pPr>
            <w:r w:rsidRPr="007B2DE1">
              <w:rPr>
                <w:rFonts w:cs="Times New Roman"/>
              </w:rPr>
              <w:t>1,2</w:t>
            </w:r>
          </w:p>
        </w:tc>
        <w:tc>
          <w:tcPr>
            <w:tcW w:w="990" w:type="dxa"/>
          </w:tcPr>
          <w:p w14:paraId="6A2135D6" w14:textId="77777777" w:rsidR="007B2DE1" w:rsidRPr="007B2DE1" w:rsidRDefault="007B2DE1" w:rsidP="007B2DE1">
            <w:pPr>
              <w:spacing w:line="240" w:lineRule="auto"/>
              <w:ind w:firstLine="0"/>
              <w:jc w:val="center"/>
              <w:rPr>
                <w:rFonts w:cs="Times New Roman"/>
              </w:rPr>
            </w:pPr>
            <w:r w:rsidRPr="007B2DE1">
              <w:rPr>
                <w:rFonts w:cs="Times New Roman"/>
              </w:rPr>
              <w:t>3</w:t>
            </w:r>
          </w:p>
        </w:tc>
        <w:tc>
          <w:tcPr>
            <w:tcW w:w="910" w:type="dxa"/>
          </w:tcPr>
          <w:p w14:paraId="171B4D8D" w14:textId="77777777" w:rsidR="007B2DE1" w:rsidRPr="007B2DE1" w:rsidRDefault="007B2DE1" w:rsidP="007B2DE1">
            <w:pPr>
              <w:spacing w:line="240" w:lineRule="auto"/>
              <w:ind w:firstLine="0"/>
              <w:jc w:val="center"/>
              <w:rPr>
                <w:rFonts w:cs="Times New Roman"/>
              </w:rPr>
            </w:pPr>
            <w:r w:rsidRPr="007B2DE1">
              <w:rPr>
                <w:rFonts w:cs="Times New Roman"/>
              </w:rPr>
              <w:t>1,8</w:t>
            </w:r>
          </w:p>
        </w:tc>
        <w:tc>
          <w:tcPr>
            <w:tcW w:w="1350" w:type="dxa"/>
          </w:tcPr>
          <w:p w14:paraId="0D7AE8E7" w14:textId="77777777" w:rsidR="007B2DE1" w:rsidRPr="007B2DE1" w:rsidRDefault="007B2DE1" w:rsidP="007B2DE1">
            <w:pPr>
              <w:spacing w:line="240" w:lineRule="auto"/>
              <w:ind w:firstLine="0"/>
              <w:jc w:val="center"/>
              <w:rPr>
                <w:rFonts w:cs="Times New Roman"/>
              </w:rPr>
            </w:pPr>
            <w:r w:rsidRPr="007B2DE1">
              <w:rPr>
                <w:rFonts w:cs="Times New Roman"/>
              </w:rPr>
              <w:t>5</w:t>
            </w:r>
          </w:p>
        </w:tc>
      </w:tr>
      <w:tr w:rsidR="007B2DE1" w:rsidRPr="007B2DE1" w14:paraId="7DD2FDA6" w14:textId="77777777" w:rsidTr="007B2DE1">
        <w:trPr>
          <w:trHeight w:val="110"/>
        </w:trPr>
        <w:tc>
          <w:tcPr>
            <w:tcW w:w="2485" w:type="dxa"/>
            <w:gridSpan w:val="2"/>
            <w:vAlign w:val="center"/>
          </w:tcPr>
          <w:p w14:paraId="2605D1B4" w14:textId="77777777" w:rsidR="007B2DE1" w:rsidRPr="007B2DE1" w:rsidRDefault="007B2DE1" w:rsidP="007B2DE1">
            <w:pPr>
              <w:spacing w:line="240" w:lineRule="auto"/>
              <w:ind w:firstLine="0"/>
              <w:jc w:val="center"/>
              <w:rPr>
                <w:rFonts w:cs="Times New Roman"/>
              </w:rPr>
            </w:pPr>
            <w:r w:rsidRPr="007B2DE1">
              <w:rPr>
                <w:rFonts w:cs="Times New Roman"/>
              </w:rPr>
              <w:t>Total</w:t>
            </w:r>
          </w:p>
        </w:tc>
        <w:tc>
          <w:tcPr>
            <w:tcW w:w="1088" w:type="dxa"/>
          </w:tcPr>
          <w:p w14:paraId="484AA5C8" w14:textId="77777777" w:rsidR="007B2DE1" w:rsidRPr="007B2DE1" w:rsidRDefault="007B2DE1" w:rsidP="007B2DE1">
            <w:pPr>
              <w:spacing w:line="240" w:lineRule="auto"/>
              <w:ind w:firstLine="0"/>
              <w:jc w:val="center"/>
              <w:rPr>
                <w:rFonts w:cs="Times New Roman"/>
              </w:rPr>
            </w:pPr>
            <w:r w:rsidRPr="007B2DE1">
              <w:rPr>
                <w:rFonts w:cs="Times New Roman"/>
              </w:rPr>
              <w:t>72</w:t>
            </w:r>
          </w:p>
        </w:tc>
        <w:tc>
          <w:tcPr>
            <w:tcW w:w="992" w:type="dxa"/>
          </w:tcPr>
          <w:p w14:paraId="72C6B6C1" w14:textId="77777777" w:rsidR="007B2DE1" w:rsidRPr="007B2DE1" w:rsidRDefault="007B2DE1" w:rsidP="007B2DE1">
            <w:pPr>
              <w:spacing w:line="240" w:lineRule="auto"/>
              <w:ind w:firstLine="0"/>
              <w:jc w:val="center"/>
              <w:rPr>
                <w:rFonts w:cs="Times New Roman"/>
              </w:rPr>
            </w:pPr>
            <w:r w:rsidRPr="007B2DE1">
              <w:rPr>
                <w:rFonts w:cs="Times New Roman"/>
              </w:rPr>
              <w:t>43,3</w:t>
            </w:r>
          </w:p>
        </w:tc>
        <w:tc>
          <w:tcPr>
            <w:tcW w:w="990" w:type="dxa"/>
          </w:tcPr>
          <w:p w14:paraId="4C5E06CB" w14:textId="77777777" w:rsidR="007B2DE1" w:rsidRPr="007B2DE1" w:rsidRDefault="007B2DE1" w:rsidP="007B2DE1">
            <w:pPr>
              <w:spacing w:line="240" w:lineRule="auto"/>
              <w:ind w:firstLine="0"/>
              <w:jc w:val="center"/>
              <w:rPr>
                <w:rFonts w:cs="Times New Roman"/>
              </w:rPr>
            </w:pPr>
            <w:r w:rsidRPr="007B2DE1">
              <w:rPr>
                <w:rFonts w:cs="Times New Roman"/>
              </w:rPr>
              <w:t>94</w:t>
            </w:r>
          </w:p>
        </w:tc>
        <w:tc>
          <w:tcPr>
            <w:tcW w:w="910" w:type="dxa"/>
          </w:tcPr>
          <w:p w14:paraId="4E377D2D" w14:textId="77777777" w:rsidR="007B2DE1" w:rsidRPr="007B2DE1" w:rsidRDefault="007B2DE1" w:rsidP="007B2DE1">
            <w:pPr>
              <w:spacing w:line="240" w:lineRule="auto"/>
              <w:ind w:firstLine="0"/>
              <w:jc w:val="center"/>
              <w:rPr>
                <w:rFonts w:cs="Times New Roman"/>
              </w:rPr>
            </w:pPr>
            <w:r w:rsidRPr="007B2DE1">
              <w:rPr>
                <w:rFonts w:cs="Times New Roman"/>
              </w:rPr>
              <w:t>56,7</w:t>
            </w:r>
          </w:p>
        </w:tc>
        <w:tc>
          <w:tcPr>
            <w:tcW w:w="1350" w:type="dxa"/>
          </w:tcPr>
          <w:p w14:paraId="41CA029C" w14:textId="77777777" w:rsidR="007B2DE1" w:rsidRPr="007B2DE1" w:rsidRDefault="007B2DE1" w:rsidP="007B2DE1">
            <w:pPr>
              <w:spacing w:line="240" w:lineRule="auto"/>
              <w:ind w:firstLine="0"/>
              <w:jc w:val="center"/>
              <w:rPr>
                <w:rFonts w:cs="Times New Roman"/>
              </w:rPr>
            </w:pPr>
            <w:r w:rsidRPr="007B2DE1">
              <w:rPr>
                <w:rFonts w:cs="Times New Roman"/>
              </w:rPr>
              <w:t>166</w:t>
            </w:r>
          </w:p>
        </w:tc>
      </w:tr>
    </w:tbl>
    <w:p w14:paraId="160AADFB" w14:textId="77777777" w:rsidR="007B2DE1" w:rsidRDefault="007B2DE1" w:rsidP="007B2DE1">
      <w:pPr>
        <w:ind w:firstLine="0"/>
      </w:pPr>
    </w:p>
    <w:p w14:paraId="3B35ED8C" w14:textId="77777777" w:rsidR="00731C4D" w:rsidRPr="00731C4D" w:rsidRDefault="00731C4D" w:rsidP="00731C4D">
      <w:r w:rsidRPr="00731C4D">
        <w:t>The percentages presented in Table 3 were calculated based on all respondents who answered the reporting question. These data should not be used to conclude that a particular gender demonstrates greater courage or a stronger tendency to report. The number of female respondents in this study was larger than the number of male respondents. The distribution of reporting by gender should therefore be interpreted as a description of respondent participation rather than as a comparison of reporting behavior between groups without further statistical testing.</w:t>
      </w:r>
    </w:p>
    <w:p w14:paraId="1EE6F711" w14:textId="77777777" w:rsidR="00731C4D" w:rsidRPr="00731C4D" w:rsidRDefault="00731C4D" w:rsidP="00731C4D">
      <w:r w:rsidRPr="00731C4D">
        <w:t>The high proportion of unreported cases indicates the presence of barriers in the disclosure of sexual violence. Victims or individuals who are aware of a case may choose to remain silent because they do not understand that the conduct they experienced constitutes sexual violence. Barriers may also arise because victims are unaware of the available reporting channels, feel ashamed, fear that they will not be believed, worry that they will be blamed, or anticipate academic and social consequences following a report. In relationships involving lecturers, supervisors, senior students, organizational leaders, or other influential individuals, victims may also feel that reporting the case could affect their grades, supervision process, academic activities, organizational position, or social relationships.</w:t>
      </w:r>
    </w:p>
    <w:p w14:paraId="1DA10D89" w14:textId="77777777" w:rsidR="00731C4D" w:rsidRPr="00731C4D" w:rsidRDefault="00731C4D" w:rsidP="00731C4D">
      <w:r w:rsidRPr="00731C4D">
        <w:t>Such fear shows that the decision not to report should not be understood as passivity on the part of the victim. Remaining silent may be a strategy used by victims to avoid further risks when the campus environment is not considered capable of guaranteeing safety and confidentiality. Victims consider not only the violence they have experienced but also the possibility of stigma, identity disclosure, pressure from the perpetrator, social rejection, and victim blaming. When victims are questioned about their clothing, behavior, relationship with the perpetrator, or reasons for not reporting immediately, responsibility for the violence may be shifted from the perpetrator to the victim. Such responses can intensify trauma and reduce trust in the institution.</w:t>
      </w:r>
    </w:p>
    <w:p w14:paraId="469109C0" w14:textId="77777777" w:rsidR="00731C4D" w:rsidRPr="00731C4D" w:rsidRDefault="00731C4D" w:rsidP="00731C4D">
      <w:r w:rsidRPr="00731C4D">
        <w:t>The parties chosen to receive disclosures or reports also provide an indication of the campus community’s level of trust in institutional systems. The data show that victims and other individuals who were aware of cases more frequently disclosed their experiences to family members or people with whom they had close personal relationships. Parents or other family members were the most frequently selected recipients, accounting for 55 cases. Reports were also made to trusted individuals in 28 cases, partners in 23 cases, institutions outside the campus in 23 cases, institutions within the campus in 21 cases, and other parties in 20 cases.</w:t>
      </w:r>
    </w:p>
    <w:p w14:paraId="0306C43F" w14:textId="663F714F" w:rsidR="005949A8" w:rsidRPr="005949A8" w:rsidRDefault="005949A8" w:rsidP="006704DF">
      <w:pPr>
        <w:pStyle w:val="Caption"/>
        <w:keepNext/>
        <w:spacing w:before="200" w:after="0" w:line="360" w:lineRule="auto"/>
        <w:ind w:firstLine="0"/>
        <w:jc w:val="center"/>
        <w:rPr>
          <w:i w:val="0"/>
          <w:iCs w:val="0"/>
          <w:color w:val="auto"/>
          <w:sz w:val="24"/>
          <w:szCs w:val="24"/>
        </w:rPr>
      </w:pPr>
      <w:r w:rsidRPr="005949A8">
        <w:rPr>
          <w:b/>
          <w:bCs/>
          <w:i w:val="0"/>
          <w:iCs w:val="0"/>
          <w:color w:val="auto"/>
          <w:sz w:val="24"/>
          <w:szCs w:val="24"/>
        </w:rPr>
        <w:lastRenderedPageBreak/>
        <w:t>Tab</w:t>
      </w:r>
      <w:r w:rsidR="00731C4D">
        <w:rPr>
          <w:b/>
          <w:bCs/>
          <w:i w:val="0"/>
          <w:iCs w:val="0"/>
          <w:color w:val="auto"/>
          <w:sz w:val="24"/>
          <w:szCs w:val="24"/>
        </w:rPr>
        <w:t>le</w:t>
      </w:r>
      <w:r w:rsidRPr="005949A8">
        <w:rPr>
          <w:b/>
          <w:bCs/>
          <w:i w:val="0"/>
          <w:iCs w:val="0"/>
          <w:color w:val="auto"/>
          <w:sz w:val="24"/>
          <w:szCs w:val="24"/>
        </w:rPr>
        <w:t xml:space="preserve"> </w:t>
      </w:r>
      <w:r w:rsidRPr="005949A8">
        <w:rPr>
          <w:b/>
          <w:bCs/>
          <w:i w:val="0"/>
          <w:iCs w:val="0"/>
          <w:color w:val="auto"/>
          <w:sz w:val="24"/>
          <w:szCs w:val="24"/>
        </w:rPr>
        <w:fldChar w:fldCharType="begin"/>
      </w:r>
      <w:r w:rsidRPr="005949A8">
        <w:rPr>
          <w:b/>
          <w:bCs/>
          <w:i w:val="0"/>
          <w:iCs w:val="0"/>
          <w:color w:val="auto"/>
          <w:sz w:val="24"/>
          <w:szCs w:val="24"/>
        </w:rPr>
        <w:instrText xml:space="preserve"> SEQ Tabel \* ARABIC </w:instrText>
      </w:r>
      <w:r w:rsidRPr="005949A8">
        <w:rPr>
          <w:b/>
          <w:bCs/>
          <w:i w:val="0"/>
          <w:iCs w:val="0"/>
          <w:color w:val="auto"/>
          <w:sz w:val="24"/>
          <w:szCs w:val="24"/>
        </w:rPr>
        <w:fldChar w:fldCharType="separate"/>
      </w:r>
      <w:r w:rsidRPr="005949A8">
        <w:rPr>
          <w:b/>
          <w:bCs/>
          <w:i w:val="0"/>
          <w:iCs w:val="0"/>
          <w:color w:val="auto"/>
          <w:sz w:val="24"/>
          <w:szCs w:val="24"/>
        </w:rPr>
        <w:t>4</w:t>
      </w:r>
      <w:r w:rsidRPr="005949A8">
        <w:rPr>
          <w:b/>
          <w:bCs/>
          <w:i w:val="0"/>
          <w:iCs w:val="0"/>
          <w:color w:val="auto"/>
          <w:sz w:val="24"/>
          <w:szCs w:val="24"/>
        </w:rPr>
        <w:fldChar w:fldCharType="end"/>
      </w:r>
      <w:r w:rsidRPr="005949A8">
        <w:rPr>
          <w:b/>
          <w:bCs/>
          <w:i w:val="0"/>
          <w:iCs w:val="0"/>
          <w:color w:val="auto"/>
          <w:sz w:val="24"/>
          <w:szCs w:val="24"/>
        </w:rPr>
        <w:t xml:space="preserve">. </w:t>
      </w:r>
      <w:r w:rsidR="006704DF" w:rsidRPr="006704DF">
        <w:rPr>
          <w:i w:val="0"/>
          <w:iCs w:val="0"/>
          <w:color w:val="auto"/>
          <w:sz w:val="24"/>
          <w:szCs w:val="24"/>
        </w:rPr>
        <w:t>Recipients of Sexual Violence Reports Based on the Position of the Reporting Party</w:t>
      </w:r>
    </w:p>
    <w:tbl>
      <w:tblPr>
        <w:tblStyle w:val="TableGrid"/>
        <w:tblW w:w="7943" w:type="dxa"/>
        <w:tblInd w:w="108" w:type="dxa"/>
        <w:tblLook w:val="0000" w:firstRow="0" w:lastRow="0" w:firstColumn="0" w:lastColumn="0" w:noHBand="0" w:noVBand="0"/>
      </w:tblPr>
      <w:tblGrid>
        <w:gridCol w:w="510"/>
        <w:gridCol w:w="3205"/>
        <w:gridCol w:w="1211"/>
        <w:gridCol w:w="1776"/>
        <w:gridCol w:w="1232"/>
        <w:gridCol w:w="9"/>
      </w:tblGrid>
      <w:tr w:rsidR="005949A8" w:rsidRPr="00BA4FCC" w14:paraId="07564826" w14:textId="77777777" w:rsidTr="009E6BC5">
        <w:trPr>
          <w:trHeight w:val="332"/>
        </w:trPr>
        <w:tc>
          <w:tcPr>
            <w:tcW w:w="510" w:type="dxa"/>
            <w:vMerge w:val="restart"/>
            <w:vAlign w:val="center"/>
          </w:tcPr>
          <w:p w14:paraId="11AD124C" w14:textId="77777777" w:rsidR="005949A8" w:rsidRPr="005949A8" w:rsidRDefault="005949A8" w:rsidP="005949A8">
            <w:pPr>
              <w:spacing w:line="240" w:lineRule="auto"/>
              <w:ind w:firstLine="0"/>
              <w:jc w:val="center"/>
              <w:rPr>
                <w:rFonts w:cs="Times New Roman"/>
                <w:b/>
                <w:bCs/>
              </w:rPr>
            </w:pPr>
            <w:r w:rsidRPr="005949A8">
              <w:rPr>
                <w:rFonts w:cs="Times New Roman"/>
                <w:b/>
                <w:bCs/>
              </w:rPr>
              <w:t>No</w:t>
            </w:r>
          </w:p>
        </w:tc>
        <w:tc>
          <w:tcPr>
            <w:tcW w:w="3205" w:type="dxa"/>
            <w:vMerge w:val="restart"/>
            <w:vAlign w:val="center"/>
          </w:tcPr>
          <w:p w14:paraId="37A3A9A1" w14:textId="4576B2C5" w:rsidR="005949A8" w:rsidRPr="005949A8" w:rsidRDefault="006704DF" w:rsidP="006704DF">
            <w:pPr>
              <w:spacing w:line="240" w:lineRule="auto"/>
              <w:ind w:firstLine="0"/>
              <w:jc w:val="center"/>
              <w:rPr>
                <w:rFonts w:cs="Times New Roman"/>
                <w:b/>
                <w:bCs/>
              </w:rPr>
            </w:pPr>
            <w:r w:rsidRPr="006704DF">
              <w:rPr>
                <w:rFonts w:cs="Times New Roman"/>
                <w:b/>
                <w:bCs/>
              </w:rPr>
              <w:t>Report Recipient</w:t>
            </w:r>
          </w:p>
        </w:tc>
        <w:tc>
          <w:tcPr>
            <w:tcW w:w="2987" w:type="dxa"/>
            <w:gridSpan w:val="2"/>
            <w:vAlign w:val="center"/>
          </w:tcPr>
          <w:p w14:paraId="1CAF4BEC" w14:textId="507A1BA9" w:rsidR="005949A8" w:rsidRPr="005949A8" w:rsidRDefault="009E6BC5" w:rsidP="005949A8">
            <w:pPr>
              <w:spacing w:line="240" w:lineRule="auto"/>
              <w:ind w:firstLine="0"/>
              <w:jc w:val="center"/>
              <w:rPr>
                <w:rFonts w:cs="Times New Roman"/>
                <w:b/>
                <w:bCs/>
              </w:rPr>
            </w:pPr>
            <w:r w:rsidRPr="005949A8">
              <w:rPr>
                <w:rFonts w:cs="Times New Roman"/>
                <w:b/>
                <w:bCs/>
              </w:rPr>
              <w:t>Reporter</w:t>
            </w:r>
          </w:p>
        </w:tc>
        <w:tc>
          <w:tcPr>
            <w:tcW w:w="1241" w:type="dxa"/>
            <w:gridSpan w:val="2"/>
            <w:vMerge w:val="restart"/>
            <w:vAlign w:val="center"/>
          </w:tcPr>
          <w:p w14:paraId="0C006CB0" w14:textId="08E1F2C7" w:rsidR="005949A8" w:rsidRPr="005949A8" w:rsidRDefault="006704DF" w:rsidP="006704DF">
            <w:pPr>
              <w:spacing w:line="240" w:lineRule="auto"/>
              <w:ind w:firstLine="0"/>
              <w:jc w:val="center"/>
              <w:rPr>
                <w:rFonts w:cs="Times New Roman"/>
                <w:b/>
                <w:bCs/>
              </w:rPr>
            </w:pPr>
            <w:r w:rsidRPr="006704DF">
              <w:rPr>
                <w:rFonts w:cs="Times New Roman"/>
                <w:b/>
                <w:bCs/>
              </w:rPr>
              <w:t>Total Reported Cases</w:t>
            </w:r>
          </w:p>
        </w:tc>
      </w:tr>
      <w:tr w:rsidR="005949A8" w:rsidRPr="00BA4FCC" w14:paraId="1AFC1A9E" w14:textId="77777777" w:rsidTr="009E6BC5">
        <w:trPr>
          <w:trHeight w:val="233"/>
        </w:trPr>
        <w:tc>
          <w:tcPr>
            <w:tcW w:w="510" w:type="dxa"/>
            <w:vMerge/>
          </w:tcPr>
          <w:p w14:paraId="141A93BA" w14:textId="77777777" w:rsidR="005949A8" w:rsidRPr="00BA4FCC" w:rsidRDefault="005949A8" w:rsidP="00BA4FCC">
            <w:pPr>
              <w:spacing w:line="240" w:lineRule="auto"/>
              <w:ind w:firstLine="0"/>
              <w:jc w:val="left"/>
              <w:rPr>
                <w:rFonts w:cs="Times New Roman"/>
              </w:rPr>
            </w:pPr>
          </w:p>
        </w:tc>
        <w:tc>
          <w:tcPr>
            <w:tcW w:w="3205" w:type="dxa"/>
            <w:vMerge/>
          </w:tcPr>
          <w:p w14:paraId="5AA209B4" w14:textId="77777777" w:rsidR="005949A8" w:rsidRPr="00BA4FCC" w:rsidRDefault="005949A8" w:rsidP="00BA4FCC">
            <w:pPr>
              <w:spacing w:line="240" w:lineRule="auto"/>
              <w:ind w:firstLine="0"/>
              <w:jc w:val="left"/>
              <w:rPr>
                <w:rFonts w:cs="Times New Roman"/>
              </w:rPr>
            </w:pPr>
          </w:p>
        </w:tc>
        <w:tc>
          <w:tcPr>
            <w:tcW w:w="1211" w:type="dxa"/>
            <w:vAlign w:val="center"/>
          </w:tcPr>
          <w:p w14:paraId="155B3501" w14:textId="7A63701A" w:rsidR="005949A8" w:rsidRPr="005949A8" w:rsidRDefault="009E6BC5" w:rsidP="005949A8">
            <w:pPr>
              <w:spacing w:line="240" w:lineRule="auto"/>
              <w:ind w:firstLine="0"/>
              <w:jc w:val="center"/>
              <w:rPr>
                <w:rFonts w:cs="Times New Roman"/>
                <w:b/>
                <w:bCs/>
              </w:rPr>
            </w:pPr>
            <w:r w:rsidRPr="005949A8">
              <w:rPr>
                <w:rFonts w:cs="Times New Roman"/>
                <w:b/>
                <w:bCs/>
              </w:rPr>
              <w:t>Victims</w:t>
            </w:r>
          </w:p>
        </w:tc>
        <w:tc>
          <w:tcPr>
            <w:tcW w:w="1776" w:type="dxa"/>
            <w:vAlign w:val="center"/>
          </w:tcPr>
          <w:p w14:paraId="670D2F71" w14:textId="492EC008" w:rsidR="005949A8" w:rsidRPr="005949A8" w:rsidRDefault="009E6BC5" w:rsidP="005949A8">
            <w:pPr>
              <w:spacing w:line="240" w:lineRule="auto"/>
              <w:ind w:firstLine="0"/>
              <w:jc w:val="center"/>
              <w:rPr>
                <w:rFonts w:cs="Times New Roman"/>
                <w:b/>
                <w:bCs/>
              </w:rPr>
            </w:pPr>
            <w:r w:rsidRPr="005949A8">
              <w:rPr>
                <w:rFonts w:cs="Times New Roman"/>
                <w:b/>
                <w:bCs/>
              </w:rPr>
              <w:t>Friends/Others as Victims</w:t>
            </w:r>
          </w:p>
        </w:tc>
        <w:tc>
          <w:tcPr>
            <w:tcW w:w="1241" w:type="dxa"/>
            <w:gridSpan w:val="2"/>
            <w:vMerge/>
            <w:vAlign w:val="center"/>
          </w:tcPr>
          <w:p w14:paraId="7FE1F836" w14:textId="77777777" w:rsidR="005949A8" w:rsidRPr="005949A8" w:rsidRDefault="005949A8" w:rsidP="005949A8">
            <w:pPr>
              <w:spacing w:line="240" w:lineRule="auto"/>
              <w:ind w:firstLine="0"/>
              <w:jc w:val="center"/>
              <w:rPr>
                <w:rFonts w:cs="Times New Roman"/>
                <w:b/>
                <w:bCs/>
              </w:rPr>
            </w:pPr>
          </w:p>
        </w:tc>
      </w:tr>
      <w:tr w:rsidR="00BA4FCC" w:rsidRPr="00BA4FCC" w14:paraId="5577E80B" w14:textId="77777777" w:rsidTr="009E6BC5">
        <w:tblPrEx>
          <w:tblLook w:val="04A0" w:firstRow="1" w:lastRow="0" w:firstColumn="1" w:lastColumn="0" w:noHBand="0" w:noVBand="1"/>
        </w:tblPrEx>
        <w:trPr>
          <w:gridAfter w:val="1"/>
          <w:wAfter w:w="9" w:type="dxa"/>
        </w:trPr>
        <w:tc>
          <w:tcPr>
            <w:tcW w:w="510" w:type="dxa"/>
          </w:tcPr>
          <w:p w14:paraId="5495E18F" w14:textId="77777777" w:rsidR="00BA4FCC" w:rsidRPr="00BA4FCC" w:rsidRDefault="00BA4FCC" w:rsidP="005949A8">
            <w:pPr>
              <w:spacing w:line="240" w:lineRule="auto"/>
              <w:ind w:firstLine="0"/>
              <w:jc w:val="center"/>
              <w:rPr>
                <w:rFonts w:cs="Times New Roman"/>
              </w:rPr>
            </w:pPr>
            <w:r w:rsidRPr="00BA4FCC">
              <w:rPr>
                <w:rFonts w:cs="Times New Roman"/>
              </w:rPr>
              <w:t>1</w:t>
            </w:r>
          </w:p>
        </w:tc>
        <w:tc>
          <w:tcPr>
            <w:tcW w:w="3205" w:type="dxa"/>
          </w:tcPr>
          <w:p w14:paraId="14FB13B4" w14:textId="5264D79C" w:rsidR="00BA4FCC" w:rsidRPr="00BA4FCC" w:rsidRDefault="00DF7C5D" w:rsidP="00DF7C5D">
            <w:pPr>
              <w:spacing w:line="240" w:lineRule="auto"/>
              <w:ind w:firstLine="0"/>
              <w:jc w:val="left"/>
              <w:rPr>
                <w:rFonts w:cs="Times New Roman"/>
              </w:rPr>
            </w:pPr>
            <w:r w:rsidRPr="00DF7C5D">
              <w:rPr>
                <w:rFonts w:cs="Times New Roman"/>
              </w:rPr>
              <w:t>Parents/other family members</w:t>
            </w:r>
          </w:p>
        </w:tc>
        <w:tc>
          <w:tcPr>
            <w:tcW w:w="1211" w:type="dxa"/>
          </w:tcPr>
          <w:p w14:paraId="7F2F9151" w14:textId="77777777" w:rsidR="00BA4FCC" w:rsidRPr="00BA4FCC" w:rsidRDefault="00BA4FCC" w:rsidP="005949A8">
            <w:pPr>
              <w:spacing w:line="240" w:lineRule="auto"/>
              <w:ind w:firstLine="0"/>
              <w:jc w:val="center"/>
              <w:rPr>
                <w:rFonts w:cs="Times New Roman"/>
              </w:rPr>
            </w:pPr>
            <w:r w:rsidRPr="00BA4FCC">
              <w:rPr>
                <w:rFonts w:cs="Times New Roman"/>
              </w:rPr>
              <w:t>10</w:t>
            </w:r>
          </w:p>
        </w:tc>
        <w:tc>
          <w:tcPr>
            <w:tcW w:w="1776" w:type="dxa"/>
          </w:tcPr>
          <w:p w14:paraId="5EE6C1B7" w14:textId="77777777" w:rsidR="00BA4FCC" w:rsidRPr="00BA4FCC" w:rsidRDefault="00BA4FCC" w:rsidP="005949A8">
            <w:pPr>
              <w:spacing w:line="240" w:lineRule="auto"/>
              <w:ind w:firstLine="0"/>
              <w:jc w:val="center"/>
              <w:rPr>
                <w:rFonts w:cs="Times New Roman"/>
              </w:rPr>
            </w:pPr>
            <w:r w:rsidRPr="00BA4FCC">
              <w:rPr>
                <w:rFonts w:cs="Times New Roman"/>
              </w:rPr>
              <w:t>45</w:t>
            </w:r>
          </w:p>
        </w:tc>
        <w:tc>
          <w:tcPr>
            <w:tcW w:w="1232" w:type="dxa"/>
            <w:tcBorders>
              <w:bottom w:val="single" w:sz="4" w:space="0" w:color="auto"/>
            </w:tcBorders>
          </w:tcPr>
          <w:p w14:paraId="55A27BE5" w14:textId="77777777" w:rsidR="00BA4FCC" w:rsidRPr="00BA4FCC" w:rsidRDefault="00BA4FCC" w:rsidP="005949A8">
            <w:pPr>
              <w:spacing w:line="240" w:lineRule="auto"/>
              <w:ind w:firstLine="0"/>
              <w:jc w:val="center"/>
              <w:rPr>
                <w:rFonts w:cs="Times New Roman"/>
              </w:rPr>
            </w:pPr>
            <w:r w:rsidRPr="00BA4FCC">
              <w:rPr>
                <w:rFonts w:cs="Times New Roman"/>
              </w:rPr>
              <w:t>55</w:t>
            </w:r>
          </w:p>
        </w:tc>
      </w:tr>
      <w:tr w:rsidR="00BA4FCC" w:rsidRPr="00BA4FCC" w14:paraId="73FE2FFB" w14:textId="77777777" w:rsidTr="009E6BC5">
        <w:tblPrEx>
          <w:tblLook w:val="04A0" w:firstRow="1" w:lastRow="0" w:firstColumn="1" w:lastColumn="0" w:noHBand="0" w:noVBand="1"/>
        </w:tblPrEx>
        <w:trPr>
          <w:gridAfter w:val="1"/>
          <w:wAfter w:w="9" w:type="dxa"/>
        </w:trPr>
        <w:tc>
          <w:tcPr>
            <w:tcW w:w="510" w:type="dxa"/>
          </w:tcPr>
          <w:p w14:paraId="740DBE64" w14:textId="77777777" w:rsidR="00BA4FCC" w:rsidRPr="00BA4FCC" w:rsidRDefault="00BA4FCC" w:rsidP="005949A8">
            <w:pPr>
              <w:spacing w:line="240" w:lineRule="auto"/>
              <w:ind w:firstLine="0"/>
              <w:jc w:val="center"/>
              <w:rPr>
                <w:rFonts w:cs="Times New Roman"/>
              </w:rPr>
            </w:pPr>
            <w:r w:rsidRPr="00BA4FCC">
              <w:rPr>
                <w:rFonts w:cs="Times New Roman"/>
              </w:rPr>
              <w:t>2</w:t>
            </w:r>
          </w:p>
        </w:tc>
        <w:tc>
          <w:tcPr>
            <w:tcW w:w="3205" w:type="dxa"/>
          </w:tcPr>
          <w:p w14:paraId="4E4DFEB5" w14:textId="7118F6B4" w:rsidR="00BA4FCC" w:rsidRPr="00BA4FCC" w:rsidRDefault="00DF7C5D" w:rsidP="00DF7C5D">
            <w:pPr>
              <w:spacing w:line="240" w:lineRule="auto"/>
              <w:ind w:firstLine="0"/>
              <w:jc w:val="left"/>
              <w:rPr>
                <w:rFonts w:cs="Times New Roman"/>
              </w:rPr>
            </w:pPr>
            <w:r w:rsidRPr="00DF7C5D">
              <w:rPr>
                <w:rFonts w:cs="Times New Roman"/>
              </w:rPr>
              <w:t>Partner</w:t>
            </w:r>
          </w:p>
        </w:tc>
        <w:tc>
          <w:tcPr>
            <w:tcW w:w="1211" w:type="dxa"/>
          </w:tcPr>
          <w:p w14:paraId="213153AD" w14:textId="77777777" w:rsidR="00BA4FCC" w:rsidRPr="00BA4FCC" w:rsidRDefault="00BA4FCC" w:rsidP="005949A8">
            <w:pPr>
              <w:spacing w:line="240" w:lineRule="auto"/>
              <w:ind w:firstLine="0"/>
              <w:jc w:val="center"/>
              <w:rPr>
                <w:rFonts w:cs="Times New Roman"/>
              </w:rPr>
            </w:pPr>
            <w:r w:rsidRPr="00BA4FCC">
              <w:rPr>
                <w:rFonts w:cs="Times New Roman"/>
              </w:rPr>
              <w:t>5</w:t>
            </w:r>
          </w:p>
        </w:tc>
        <w:tc>
          <w:tcPr>
            <w:tcW w:w="1776" w:type="dxa"/>
          </w:tcPr>
          <w:p w14:paraId="7C63D93A" w14:textId="77777777" w:rsidR="00BA4FCC" w:rsidRPr="00BA4FCC" w:rsidRDefault="00BA4FCC" w:rsidP="005949A8">
            <w:pPr>
              <w:spacing w:line="240" w:lineRule="auto"/>
              <w:ind w:firstLine="0"/>
              <w:jc w:val="center"/>
              <w:rPr>
                <w:rFonts w:cs="Times New Roman"/>
              </w:rPr>
            </w:pPr>
            <w:r w:rsidRPr="00BA4FCC">
              <w:rPr>
                <w:rFonts w:cs="Times New Roman"/>
              </w:rPr>
              <w:t>17</w:t>
            </w:r>
          </w:p>
        </w:tc>
        <w:tc>
          <w:tcPr>
            <w:tcW w:w="1232" w:type="dxa"/>
            <w:tcBorders>
              <w:bottom w:val="single" w:sz="4" w:space="0" w:color="auto"/>
            </w:tcBorders>
          </w:tcPr>
          <w:p w14:paraId="1D918DEB" w14:textId="77777777" w:rsidR="00BA4FCC" w:rsidRPr="00BA4FCC" w:rsidRDefault="00BA4FCC" w:rsidP="005949A8">
            <w:pPr>
              <w:spacing w:line="240" w:lineRule="auto"/>
              <w:ind w:firstLine="0"/>
              <w:jc w:val="center"/>
              <w:rPr>
                <w:rFonts w:cs="Times New Roman"/>
              </w:rPr>
            </w:pPr>
            <w:r w:rsidRPr="00BA4FCC">
              <w:rPr>
                <w:rFonts w:cs="Times New Roman"/>
              </w:rPr>
              <w:t>23</w:t>
            </w:r>
          </w:p>
        </w:tc>
      </w:tr>
      <w:tr w:rsidR="00BA4FCC" w:rsidRPr="00BA4FCC" w14:paraId="6EF58167" w14:textId="77777777" w:rsidTr="009E6BC5">
        <w:tblPrEx>
          <w:tblLook w:val="04A0" w:firstRow="1" w:lastRow="0" w:firstColumn="1" w:lastColumn="0" w:noHBand="0" w:noVBand="1"/>
        </w:tblPrEx>
        <w:trPr>
          <w:gridAfter w:val="1"/>
          <w:wAfter w:w="9" w:type="dxa"/>
        </w:trPr>
        <w:tc>
          <w:tcPr>
            <w:tcW w:w="510" w:type="dxa"/>
          </w:tcPr>
          <w:p w14:paraId="7983B88D" w14:textId="77777777" w:rsidR="00BA4FCC" w:rsidRPr="00BA4FCC" w:rsidRDefault="00BA4FCC" w:rsidP="005949A8">
            <w:pPr>
              <w:spacing w:line="240" w:lineRule="auto"/>
              <w:ind w:firstLine="0"/>
              <w:jc w:val="center"/>
              <w:rPr>
                <w:rFonts w:cs="Times New Roman"/>
              </w:rPr>
            </w:pPr>
            <w:r w:rsidRPr="00BA4FCC">
              <w:rPr>
                <w:rFonts w:cs="Times New Roman"/>
              </w:rPr>
              <w:t>3</w:t>
            </w:r>
          </w:p>
        </w:tc>
        <w:tc>
          <w:tcPr>
            <w:tcW w:w="3205" w:type="dxa"/>
          </w:tcPr>
          <w:p w14:paraId="4D4BE98A" w14:textId="5A2110DD" w:rsidR="00BA4FCC" w:rsidRPr="00BA4FCC" w:rsidRDefault="00DF7C5D" w:rsidP="00DF7C5D">
            <w:pPr>
              <w:spacing w:line="240" w:lineRule="auto"/>
              <w:ind w:firstLine="0"/>
              <w:jc w:val="left"/>
              <w:rPr>
                <w:rFonts w:cs="Times New Roman"/>
              </w:rPr>
            </w:pPr>
            <w:r w:rsidRPr="00DF7C5D">
              <w:rPr>
                <w:rFonts w:cs="Times New Roman"/>
              </w:rPr>
              <w:t>Trusted person from within or outside the academic community</w:t>
            </w:r>
          </w:p>
        </w:tc>
        <w:tc>
          <w:tcPr>
            <w:tcW w:w="1211" w:type="dxa"/>
          </w:tcPr>
          <w:p w14:paraId="744B37C2" w14:textId="77777777" w:rsidR="00BA4FCC" w:rsidRPr="00BA4FCC" w:rsidRDefault="00BA4FCC" w:rsidP="005949A8">
            <w:pPr>
              <w:spacing w:line="240" w:lineRule="auto"/>
              <w:ind w:firstLine="0"/>
              <w:jc w:val="center"/>
              <w:rPr>
                <w:rFonts w:cs="Times New Roman"/>
              </w:rPr>
            </w:pPr>
            <w:r w:rsidRPr="00BA4FCC">
              <w:rPr>
                <w:rFonts w:cs="Times New Roman"/>
              </w:rPr>
              <w:t>5</w:t>
            </w:r>
          </w:p>
        </w:tc>
        <w:tc>
          <w:tcPr>
            <w:tcW w:w="1776" w:type="dxa"/>
          </w:tcPr>
          <w:p w14:paraId="04A70B83" w14:textId="77777777" w:rsidR="00BA4FCC" w:rsidRPr="00BA4FCC" w:rsidRDefault="00BA4FCC" w:rsidP="005949A8">
            <w:pPr>
              <w:spacing w:line="240" w:lineRule="auto"/>
              <w:ind w:firstLine="0"/>
              <w:jc w:val="center"/>
              <w:rPr>
                <w:rFonts w:cs="Times New Roman"/>
              </w:rPr>
            </w:pPr>
            <w:r w:rsidRPr="00BA4FCC">
              <w:rPr>
                <w:rFonts w:cs="Times New Roman"/>
              </w:rPr>
              <w:t>23</w:t>
            </w:r>
          </w:p>
        </w:tc>
        <w:tc>
          <w:tcPr>
            <w:tcW w:w="1232" w:type="dxa"/>
            <w:tcBorders>
              <w:bottom w:val="single" w:sz="4" w:space="0" w:color="auto"/>
            </w:tcBorders>
          </w:tcPr>
          <w:p w14:paraId="177141C9" w14:textId="77777777" w:rsidR="00BA4FCC" w:rsidRPr="00BA4FCC" w:rsidRDefault="00BA4FCC" w:rsidP="005949A8">
            <w:pPr>
              <w:spacing w:line="240" w:lineRule="auto"/>
              <w:ind w:firstLine="0"/>
              <w:jc w:val="center"/>
              <w:rPr>
                <w:rFonts w:cs="Times New Roman"/>
              </w:rPr>
            </w:pPr>
            <w:r w:rsidRPr="00BA4FCC">
              <w:rPr>
                <w:rFonts w:cs="Times New Roman"/>
              </w:rPr>
              <w:t>28</w:t>
            </w:r>
          </w:p>
        </w:tc>
      </w:tr>
      <w:tr w:rsidR="00BA4FCC" w:rsidRPr="00BA4FCC" w14:paraId="7C5D57EE" w14:textId="77777777" w:rsidTr="009E6BC5">
        <w:tblPrEx>
          <w:tblLook w:val="04A0" w:firstRow="1" w:lastRow="0" w:firstColumn="1" w:lastColumn="0" w:noHBand="0" w:noVBand="1"/>
        </w:tblPrEx>
        <w:trPr>
          <w:gridAfter w:val="1"/>
          <w:wAfter w:w="9" w:type="dxa"/>
        </w:trPr>
        <w:tc>
          <w:tcPr>
            <w:tcW w:w="510" w:type="dxa"/>
          </w:tcPr>
          <w:p w14:paraId="5B722DE6" w14:textId="77777777" w:rsidR="00BA4FCC" w:rsidRPr="00BA4FCC" w:rsidRDefault="00BA4FCC" w:rsidP="005949A8">
            <w:pPr>
              <w:spacing w:line="240" w:lineRule="auto"/>
              <w:ind w:firstLine="0"/>
              <w:jc w:val="center"/>
              <w:rPr>
                <w:rFonts w:cs="Times New Roman"/>
              </w:rPr>
            </w:pPr>
            <w:r w:rsidRPr="00BA4FCC">
              <w:rPr>
                <w:rFonts w:cs="Times New Roman"/>
              </w:rPr>
              <w:t>4</w:t>
            </w:r>
          </w:p>
        </w:tc>
        <w:tc>
          <w:tcPr>
            <w:tcW w:w="3205" w:type="dxa"/>
          </w:tcPr>
          <w:p w14:paraId="4657B688" w14:textId="578B0E19" w:rsidR="00BA4FCC" w:rsidRPr="00BA4FCC" w:rsidRDefault="00DF7C5D" w:rsidP="00DF7C5D">
            <w:pPr>
              <w:spacing w:line="240" w:lineRule="auto"/>
              <w:ind w:firstLine="0"/>
              <w:jc w:val="left"/>
              <w:rPr>
                <w:rFonts w:cs="Times New Roman"/>
              </w:rPr>
            </w:pPr>
            <w:r w:rsidRPr="00DF7C5D">
              <w:rPr>
                <w:rFonts w:cs="Times New Roman"/>
              </w:rPr>
              <w:t>Institution within the campus</w:t>
            </w:r>
          </w:p>
        </w:tc>
        <w:tc>
          <w:tcPr>
            <w:tcW w:w="1211" w:type="dxa"/>
          </w:tcPr>
          <w:p w14:paraId="2E02616A" w14:textId="77777777" w:rsidR="00BA4FCC" w:rsidRPr="00BA4FCC" w:rsidRDefault="00BA4FCC" w:rsidP="005949A8">
            <w:pPr>
              <w:spacing w:line="240" w:lineRule="auto"/>
              <w:ind w:firstLine="0"/>
              <w:jc w:val="center"/>
              <w:rPr>
                <w:rFonts w:cs="Times New Roman"/>
              </w:rPr>
            </w:pPr>
            <w:r w:rsidRPr="00BA4FCC">
              <w:rPr>
                <w:rFonts w:cs="Times New Roman"/>
              </w:rPr>
              <w:t>3</w:t>
            </w:r>
          </w:p>
        </w:tc>
        <w:tc>
          <w:tcPr>
            <w:tcW w:w="1776" w:type="dxa"/>
          </w:tcPr>
          <w:p w14:paraId="2C5FE977" w14:textId="77777777" w:rsidR="00BA4FCC" w:rsidRPr="00BA4FCC" w:rsidRDefault="00BA4FCC" w:rsidP="005949A8">
            <w:pPr>
              <w:spacing w:line="240" w:lineRule="auto"/>
              <w:ind w:firstLine="0"/>
              <w:jc w:val="center"/>
              <w:rPr>
                <w:rFonts w:cs="Times New Roman"/>
              </w:rPr>
            </w:pPr>
            <w:r w:rsidRPr="00BA4FCC">
              <w:rPr>
                <w:rFonts w:cs="Times New Roman"/>
              </w:rPr>
              <w:t>18</w:t>
            </w:r>
          </w:p>
        </w:tc>
        <w:tc>
          <w:tcPr>
            <w:tcW w:w="1232" w:type="dxa"/>
            <w:tcBorders>
              <w:bottom w:val="single" w:sz="4" w:space="0" w:color="auto"/>
            </w:tcBorders>
          </w:tcPr>
          <w:p w14:paraId="768C386B" w14:textId="77777777" w:rsidR="00BA4FCC" w:rsidRPr="00BA4FCC" w:rsidRDefault="00BA4FCC" w:rsidP="005949A8">
            <w:pPr>
              <w:spacing w:line="240" w:lineRule="auto"/>
              <w:ind w:firstLine="0"/>
              <w:jc w:val="center"/>
              <w:rPr>
                <w:rFonts w:cs="Times New Roman"/>
              </w:rPr>
            </w:pPr>
            <w:r w:rsidRPr="00BA4FCC">
              <w:rPr>
                <w:rFonts w:cs="Times New Roman"/>
              </w:rPr>
              <w:t>21</w:t>
            </w:r>
          </w:p>
        </w:tc>
      </w:tr>
      <w:tr w:rsidR="00BA4FCC" w:rsidRPr="00BA4FCC" w14:paraId="69D65A7A" w14:textId="77777777" w:rsidTr="009E6BC5">
        <w:tblPrEx>
          <w:tblLook w:val="04A0" w:firstRow="1" w:lastRow="0" w:firstColumn="1" w:lastColumn="0" w:noHBand="0" w:noVBand="1"/>
        </w:tblPrEx>
        <w:trPr>
          <w:gridAfter w:val="1"/>
          <w:wAfter w:w="9" w:type="dxa"/>
        </w:trPr>
        <w:tc>
          <w:tcPr>
            <w:tcW w:w="510" w:type="dxa"/>
          </w:tcPr>
          <w:p w14:paraId="2403376E" w14:textId="77777777" w:rsidR="00BA4FCC" w:rsidRPr="00BA4FCC" w:rsidRDefault="00BA4FCC" w:rsidP="005949A8">
            <w:pPr>
              <w:spacing w:line="240" w:lineRule="auto"/>
              <w:ind w:firstLine="0"/>
              <w:jc w:val="center"/>
              <w:rPr>
                <w:rFonts w:cs="Times New Roman"/>
              </w:rPr>
            </w:pPr>
            <w:r w:rsidRPr="00BA4FCC">
              <w:rPr>
                <w:rFonts w:cs="Times New Roman"/>
              </w:rPr>
              <w:t>5</w:t>
            </w:r>
          </w:p>
        </w:tc>
        <w:tc>
          <w:tcPr>
            <w:tcW w:w="3205" w:type="dxa"/>
          </w:tcPr>
          <w:p w14:paraId="2A723514" w14:textId="1FE6B4BE" w:rsidR="00BA4FCC" w:rsidRPr="00BA4FCC" w:rsidRDefault="00DF7C5D" w:rsidP="00DF7C5D">
            <w:pPr>
              <w:spacing w:line="240" w:lineRule="auto"/>
              <w:ind w:firstLine="0"/>
              <w:jc w:val="left"/>
              <w:rPr>
                <w:rFonts w:cs="Times New Roman"/>
              </w:rPr>
            </w:pPr>
            <w:r w:rsidRPr="00DF7C5D">
              <w:rPr>
                <w:rFonts w:cs="Times New Roman"/>
              </w:rPr>
              <w:t>Institution outside the campus</w:t>
            </w:r>
          </w:p>
        </w:tc>
        <w:tc>
          <w:tcPr>
            <w:tcW w:w="1211" w:type="dxa"/>
          </w:tcPr>
          <w:p w14:paraId="7A6B09FE" w14:textId="77777777" w:rsidR="00BA4FCC" w:rsidRPr="00BA4FCC" w:rsidRDefault="00BA4FCC" w:rsidP="005949A8">
            <w:pPr>
              <w:spacing w:line="240" w:lineRule="auto"/>
              <w:ind w:firstLine="0"/>
              <w:jc w:val="center"/>
              <w:rPr>
                <w:rFonts w:cs="Times New Roman"/>
              </w:rPr>
            </w:pPr>
            <w:r w:rsidRPr="00BA4FCC">
              <w:rPr>
                <w:rFonts w:cs="Times New Roman"/>
              </w:rPr>
              <w:t>6</w:t>
            </w:r>
          </w:p>
        </w:tc>
        <w:tc>
          <w:tcPr>
            <w:tcW w:w="1776" w:type="dxa"/>
          </w:tcPr>
          <w:p w14:paraId="776B4B48" w14:textId="77777777" w:rsidR="00BA4FCC" w:rsidRPr="00BA4FCC" w:rsidRDefault="00BA4FCC" w:rsidP="005949A8">
            <w:pPr>
              <w:spacing w:line="240" w:lineRule="auto"/>
              <w:ind w:firstLine="0"/>
              <w:jc w:val="center"/>
              <w:rPr>
                <w:rFonts w:cs="Times New Roman"/>
              </w:rPr>
            </w:pPr>
            <w:r w:rsidRPr="00BA4FCC">
              <w:rPr>
                <w:rFonts w:cs="Times New Roman"/>
              </w:rPr>
              <w:t>17</w:t>
            </w:r>
          </w:p>
        </w:tc>
        <w:tc>
          <w:tcPr>
            <w:tcW w:w="1232" w:type="dxa"/>
            <w:tcBorders>
              <w:bottom w:val="single" w:sz="4" w:space="0" w:color="auto"/>
            </w:tcBorders>
          </w:tcPr>
          <w:p w14:paraId="6A340CA7" w14:textId="77777777" w:rsidR="00BA4FCC" w:rsidRPr="00BA4FCC" w:rsidRDefault="00BA4FCC" w:rsidP="005949A8">
            <w:pPr>
              <w:spacing w:line="240" w:lineRule="auto"/>
              <w:ind w:firstLine="0"/>
              <w:jc w:val="center"/>
              <w:rPr>
                <w:rFonts w:cs="Times New Roman"/>
              </w:rPr>
            </w:pPr>
            <w:r w:rsidRPr="00BA4FCC">
              <w:rPr>
                <w:rFonts w:cs="Times New Roman"/>
              </w:rPr>
              <w:t>23</w:t>
            </w:r>
          </w:p>
        </w:tc>
      </w:tr>
      <w:tr w:rsidR="00BA4FCC" w:rsidRPr="00BA4FCC" w14:paraId="6ADECEB9" w14:textId="77777777" w:rsidTr="009E6BC5">
        <w:tblPrEx>
          <w:tblLook w:val="04A0" w:firstRow="1" w:lastRow="0" w:firstColumn="1" w:lastColumn="0" w:noHBand="0" w:noVBand="1"/>
        </w:tblPrEx>
        <w:trPr>
          <w:gridAfter w:val="1"/>
          <w:wAfter w:w="9" w:type="dxa"/>
        </w:trPr>
        <w:tc>
          <w:tcPr>
            <w:tcW w:w="510" w:type="dxa"/>
          </w:tcPr>
          <w:p w14:paraId="5F59E52B" w14:textId="77777777" w:rsidR="00BA4FCC" w:rsidRPr="00BA4FCC" w:rsidRDefault="00BA4FCC" w:rsidP="005949A8">
            <w:pPr>
              <w:spacing w:line="240" w:lineRule="auto"/>
              <w:ind w:firstLine="0"/>
              <w:jc w:val="center"/>
              <w:rPr>
                <w:rFonts w:cs="Times New Roman"/>
              </w:rPr>
            </w:pPr>
            <w:r w:rsidRPr="00BA4FCC">
              <w:rPr>
                <w:rFonts w:cs="Times New Roman"/>
              </w:rPr>
              <w:t>6</w:t>
            </w:r>
          </w:p>
        </w:tc>
        <w:tc>
          <w:tcPr>
            <w:tcW w:w="3205" w:type="dxa"/>
          </w:tcPr>
          <w:p w14:paraId="16B97D36" w14:textId="0FEBBAA7" w:rsidR="00BA4FCC" w:rsidRPr="00BA4FCC" w:rsidRDefault="009E6BC5" w:rsidP="009E6BC5">
            <w:pPr>
              <w:spacing w:line="240" w:lineRule="auto"/>
              <w:ind w:firstLine="0"/>
              <w:jc w:val="left"/>
              <w:rPr>
                <w:rFonts w:cs="Times New Roman"/>
              </w:rPr>
            </w:pPr>
            <w:r w:rsidRPr="009E6BC5">
              <w:rPr>
                <w:rFonts w:cs="Times New Roman"/>
              </w:rPr>
              <w:t>Others</w:t>
            </w:r>
          </w:p>
        </w:tc>
        <w:tc>
          <w:tcPr>
            <w:tcW w:w="1211" w:type="dxa"/>
          </w:tcPr>
          <w:p w14:paraId="65054B3E" w14:textId="77777777" w:rsidR="00BA4FCC" w:rsidRPr="00BA4FCC" w:rsidRDefault="00BA4FCC" w:rsidP="005949A8">
            <w:pPr>
              <w:spacing w:line="240" w:lineRule="auto"/>
              <w:ind w:firstLine="0"/>
              <w:jc w:val="center"/>
              <w:rPr>
                <w:rFonts w:cs="Times New Roman"/>
              </w:rPr>
            </w:pPr>
            <w:r w:rsidRPr="00BA4FCC">
              <w:rPr>
                <w:rFonts w:cs="Times New Roman"/>
              </w:rPr>
              <w:t>1</w:t>
            </w:r>
          </w:p>
        </w:tc>
        <w:tc>
          <w:tcPr>
            <w:tcW w:w="1776" w:type="dxa"/>
          </w:tcPr>
          <w:p w14:paraId="1724866F" w14:textId="77777777" w:rsidR="00BA4FCC" w:rsidRPr="00BA4FCC" w:rsidRDefault="00BA4FCC" w:rsidP="005949A8">
            <w:pPr>
              <w:spacing w:line="240" w:lineRule="auto"/>
              <w:ind w:firstLine="0"/>
              <w:jc w:val="center"/>
              <w:rPr>
                <w:rFonts w:cs="Times New Roman"/>
              </w:rPr>
            </w:pPr>
            <w:r w:rsidRPr="00BA4FCC">
              <w:rPr>
                <w:rFonts w:cs="Times New Roman"/>
              </w:rPr>
              <w:t>19</w:t>
            </w:r>
          </w:p>
        </w:tc>
        <w:tc>
          <w:tcPr>
            <w:tcW w:w="1232" w:type="dxa"/>
            <w:tcBorders>
              <w:bottom w:val="single" w:sz="4" w:space="0" w:color="auto"/>
            </w:tcBorders>
          </w:tcPr>
          <w:p w14:paraId="6F45FBEE" w14:textId="77777777" w:rsidR="00BA4FCC" w:rsidRPr="00BA4FCC" w:rsidRDefault="00BA4FCC" w:rsidP="005949A8">
            <w:pPr>
              <w:spacing w:line="240" w:lineRule="auto"/>
              <w:ind w:firstLine="0"/>
              <w:jc w:val="center"/>
              <w:rPr>
                <w:rFonts w:cs="Times New Roman"/>
              </w:rPr>
            </w:pPr>
            <w:r w:rsidRPr="00BA4FCC">
              <w:rPr>
                <w:rFonts w:cs="Times New Roman"/>
              </w:rPr>
              <w:t>20</w:t>
            </w:r>
          </w:p>
        </w:tc>
      </w:tr>
      <w:tr w:rsidR="00BA4FCC" w:rsidRPr="00BA4FCC" w14:paraId="7630BB97" w14:textId="77777777" w:rsidTr="009E6BC5">
        <w:tblPrEx>
          <w:tblLook w:val="04A0" w:firstRow="1" w:lastRow="0" w:firstColumn="1" w:lastColumn="0" w:noHBand="0" w:noVBand="1"/>
        </w:tblPrEx>
        <w:trPr>
          <w:gridAfter w:val="1"/>
          <w:wAfter w:w="9" w:type="dxa"/>
        </w:trPr>
        <w:tc>
          <w:tcPr>
            <w:tcW w:w="510" w:type="dxa"/>
          </w:tcPr>
          <w:p w14:paraId="00AD7364" w14:textId="77777777" w:rsidR="00BA4FCC" w:rsidRPr="00BA4FCC" w:rsidRDefault="00BA4FCC" w:rsidP="005949A8">
            <w:pPr>
              <w:spacing w:line="240" w:lineRule="auto"/>
              <w:ind w:firstLine="0"/>
              <w:jc w:val="center"/>
              <w:rPr>
                <w:rFonts w:cs="Times New Roman"/>
              </w:rPr>
            </w:pPr>
          </w:p>
        </w:tc>
        <w:tc>
          <w:tcPr>
            <w:tcW w:w="3205" w:type="dxa"/>
          </w:tcPr>
          <w:p w14:paraId="19307143" w14:textId="075819D3" w:rsidR="00BA4FCC" w:rsidRPr="00BA4FCC" w:rsidRDefault="00BA4FCC" w:rsidP="009E6BC5">
            <w:pPr>
              <w:spacing w:line="240" w:lineRule="auto"/>
              <w:ind w:firstLine="0"/>
              <w:jc w:val="left"/>
              <w:rPr>
                <w:rFonts w:cs="Times New Roman"/>
              </w:rPr>
            </w:pPr>
            <w:r w:rsidRPr="00BA4FCC">
              <w:rPr>
                <w:rFonts w:cs="Times New Roman"/>
              </w:rPr>
              <w:t xml:space="preserve">Total </w:t>
            </w:r>
            <w:r w:rsidR="009E6BC5" w:rsidRPr="009E6BC5">
              <w:rPr>
                <w:rFonts w:cs="Times New Roman"/>
              </w:rPr>
              <w:t>cases</w:t>
            </w:r>
          </w:p>
        </w:tc>
        <w:tc>
          <w:tcPr>
            <w:tcW w:w="1211" w:type="dxa"/>
          </w:tcPr>
          <w:p w14:paraId="7275D814" w14:textId="77777777" w:rsidR="00BA4FCC" w:rsidRPr="00BA4FCC" w:rsidRDefault="00BA4FCC" w:rsidP="005949A8">
            <w:pPr>
              <w:spacing w:line="240" w:lineRule="auto"/>
              <w:ind w:firstLine="0"/>
              <w:jc w:val="center"/>
              <w:rPr>
                <w:rFonts w:cs="Times New Roman"/>
              </w:rPr>
            </w:pPr>
            <w:r w:rsidRPr="00BA4FCC">
              <w:rPr>
                <w:rFonts w:cs="Times New Roman"/>
              </w:rPr>
              <w:t>30</w:t>
            </w:r>
          </w:p>
        </w:tc>
        <w:tc>
          <w:tcPr>
            <w:tcW w:w="1776" w:type="dxa"/>
          </w:tcPr>
          <w:p w14:paraId="2DEF5A36" w14:textId="77777777" w:rsidR="00BA4FCC" w:rsidRPr="00BA4FCC" w:rsidRDefault="00BA4FCC" w:rsidP="005949A8">
            <w:pPr>
              <w:spacing w:line="240" w:lineRule="auto"/>
              <w:ind w:firstLine="0"/>
              <w:jc w:val="center"/>
              <w:rPr>
                <w:rFonts w:cs="Times New Roman"/>
              </w:rPr>
            </w:pPr>
            <w:r w:rsidRPr="00BA4FCC">
              <w:rPr>
                <w:rFonts w:cs="Times New Roman"/>
              </w:rPr>
              <w:t>140</w:t>
            </w:r>
          </w:p>
        </w:tc>
        <w:tc>
          <w:tcPr>
            <w:tcW w:w="1232" w:type="dxa"/>
            <w:tcBorders>
              <w:bottom w:val="single" w:sz="4" w:space="0" w:color="auto"/>
            </w:tcBorders>
          </w:tcPr>
          <w:p w14:paraId="52648AE1" w14:textId="77777777" w:rsidR="00BA4FCC" w:rsidRPr="00BA4FCC" w:rsidRDefault="00BA4FCC" w:rsidP="005949A8">
            <w:pPr>
              <w:spacing w:line="240" w:lineRule="auto"/>
              <w:ind w:firstLine="0"/>
              <w:jc w:val="center"/>
              <w:rPr>
                <w:rFonts w:cs="Times New Roman"/>
              </w:rPr>
            </w:pPr>
            <w:r w:rsidRPr="00BA4FCC">
              <w:rPr>
                <w:rFonts w:cs="Times New Roman"/>
              </w:rPr>
              <w:t>170</w:t>
            </w:r>
          </w:p>
        </w:tc>
      </w:tr>
    </w:tbl>
    <w:p w14:paraId="3D097738" w14:textId="77777777" w:rsidR="007B2DE1" w:rsidRDefault="007B2DE1" w:rsidP="007B2DE1">
      <w:pPr>
        <w:ind w:firstLine="0"/>
      </w:pPr>
    </w:p>
    <w:p w14:paraId="4C1E94ED" w14:textId="77777777" w:rsidR="00693262" w:rsidRPr="00693262" w:rsidRDefault="00693262" w:rsidP="00693262">
      <w:r w:rsidRPr="00693262">
        <w:t>Table 4 shows that family members and trusted individuals were selected more frequently than formal institutions within the campus. This preference indicates that emotional closeness and a sense of personal safety are important considerations when an individual discloses an experience of sexual violence. Victims tend to seek parties whom they believe will not blame them, reveal their identities, or create consequences for their academic lives. Campus institutions, by contrast, have not become the main reporting destination, even though higher education institutions are responsible for receiving reports, providing protection, offering assistance, and following up on cases.</w:t>
      </w:r>
    </w:p>
    <w:p w14:paraId="4C442DC7" w14:textId="77777777" w:rsidR="00693262" w:rsidRPr="00693262" w:rsidRDefault="00693262" w:rsidP="00693262">
      <w:r w:rsidRPr="00693262">
        <w:t>The limited use of campus institutions may be associated with several conditions. First, members of the campus community may not be aware of the existence of task forces, service units, or complaint procedures. Second, reporting channels may be available but have not been continuously and widely disseminated. Third, victims may doubt the institution’s ability to protect their identities and safeguard complainants from retaliation. Fourth, there may be concerns that the institution prioritizes its reputation over victims’ recovery. Fifth, unclear or lengthy case-handling procedures may lead victims to believe that reporting will not result in meaningful protection.</w:t>
      </w:r>
    </w:p>
    <w:p w14:paraId="6E9CFCE3" w14:textId="77777777" w:rsidR="00693262" w:rsidRPr="00693262" w:rsidRDefault="00693262" w:rsidP="00693262">
      <w:r w:rsidRPr="00693262">
        <w:t>The difference between the number of respondents who stated that a case had been reported in Table 3 and the number of reports presented in Table 4 indicates that one respondent could identify more than one recipient or be aware of more than one reporting process. The figures in Table 4 should therefore be understood as the number of responses or reports rather than the number of different respondents. This explanation should be included in the table note to prevent the data from being interpreted as the number of individual victims.</w:t>
      </w:r>
    </w:p>
    <w:p w14:paraId="179E8941" w14:textId="77777777" w:rsidR="00693262" w:rsidRPr="00693262" w:rsidRDefault="00693262" w:rsidP="00693262">
      <w:r w:rsidRPr="00693262">
        <w:t xml:space="preserve">The findings indicate that the existence of regulations and service units does not automatically generate trust among members of the campus community. </w:t>
      </w:r>
      <w:r w:rsidRPr="00693262">
        <w:lastRenderedPageBreak/>
        <w:t>Reporting mechanisms can only be used effectively when victims feel safe accessing them. Such safety includes guarantees of confidentiality, protection from intimidation, prevention of retaliation, assistance throughout the examination process, and assurance that reporting will not harm the victim’s academic position. Case handling must also adopt a victim-centered approach by avoiding questions, statements, and procedures that may blame victims or cause retraumatization.</w:t>
      </w:r>
    </w:p>
    <w:p w14:paraId="38042E99" w14:textId="77777777" w:rsidR="00693262" w:rsidRPr="00693262" w:rsidRDefault="00693262" w:rsidP="00693262">
      <w:r w:rsidRPr="00693262">
        <w:t>Higher education institutions need to provide easily recognizable reporting channels that can be accessed through several methods. Reports may be submitted through face-to-face services, complaint hotlines, email, online forms, or liaison officers at the faculty and study-program levels. A range of channels is needed so that victims can choose the method they consider safest according to their circumstances. Each channel must be connected to clear procedures for receiving reports, assessing victims’ needs, providing temporary protection, examining cases, offering assistance, providing updates on case progress, and referring victims to psychological, medical, legal, and academic services.</w:t>
      </w:r>
    </w:p>
    <w:p w14:paraId="137C6EF7" w14:textId="77777777" w:rsidR="00693262" w:rsidRPr="00693262" w:rsidRDefault="00693262" w:rsidP="00693262">
      <w:r w:rsidRPr="00693262">
        <w:t>Reporting mechanisms must also be strengthened through continuous dissemination. Information on forms of sexual violence, victims’ rights, reporting procedures, witness protection, identity confidentiality, and the prohibition of retaliation should be delivered during new-student orientation, training for lecturers and educational staff, student organization activities, academic supervision, and preparation for field activities. Dissemination should not be conducted only once or limited to the distribution of posters. Members of the campus community need practical information about the parties to whom reports should be submitted, the documents required, the forms of assistance available, and the steps that will be taken after a report is received.</w:t>
      </w:r>
    </w:p>
    <w:p w14:paraId="27B9A2DE" w14:textId="77777777" w:rsidR="00693262" w:rsidRPr="00693262" w:rsidRDefault="00693262" w:rsidP="00693262">
      <w:r w:rsidRPr="00693262">
        <w:t>The commitment of higher education leaders is essential because trust in the system is influenced by the way the institution responds to cases. Institutional leaders need to ensure the independence of the task force, the availability of funding, the competence of officers, coordination among units, and protection for victims and complainants. Case handling should not be directed toward informal settlements that pressure victims to reconcile with perpetrators, withdraw reports, or protect the institution’s reputation. The interests and safety of victims must form the basis of every stage of case handling.</w:t>
      </w:r>
    </w:p>
    <w:p w14:paraId="17A9EDC7" w14:textId="77777777" w:rsidR="00693262" w:rsidRPr="00693262" w:rsidRDefault="00693262" w:rsidP="00693262">
      <w:r w:rsidRPr="00693262">
        <w:t>Weaknesses in reporting mechanisms are not limited to the availability of complaint channels but are also associated with the knowledge, accessibility, safety, and institutional trust of campus community members. When victims do not understand the procedures, doubt confidentiality, fear possible consequences, or anticipate victim blaming, the decision to remain silent becomes more likely. This condition contributes to a culture of silence and makes cases of sexual violence difficult to detect. Strengthening PPKS must therefore focus on developing a reporting system that is safe, confidential, accessible, responsive, and victim-centered, supported by genuine protection from academic and social pressure.</w:t>
      </w:r>
    </w:p>
    <w:p w14:paraId="62DEF353" w14:textId="1ABFC72A" w:rsidR="00E5103D" w:rsidRDefault="00845877" w:rsidP="00845877">
      <w:pPr>
        <w:pStyle w:val="Heading2"/>
      </w:pPr>
      <w:r w:rsidRPr="00845877">
        <w:lastRenderedPageBreak/>
        <w:t>The Mechanism Underlying the Formation of a Culture of Silence</w:t>
      </w:r>
    </w:p>
    <w:p w14:paraId="4B4B60F8" w14:textId="35EE4C9B" w:rsidR="002D371D" w:rsidRDefault="00E319C3" w:rsidP="00E319C3">
      <w:r w:rsidRPr="00E319C3">
        <w:t>The findings show that a culture of silence in cases of sexual violence in higher education develops through the interaction of power relations, the normalization of sexual conduct, limited literacy, fear of consequences, and low trust in reporting mechanisms. Unequal relationships between lecturers and students, seniors and juniors, leaders and subordinates, or supervisors and activity participants may place victims in a difficult position to refuse or report misconduct because of their dependence on grades, supervision, recommendations, organizational positions, and academic opportunities.</w:t>
      </w:r>
    </w:p>
    <w:p w14:paraId="7651D752" w14:textId="77777777" w:rsidR="00E319C3" w:rsidRPr="00E319C3" w:rsidRDefault="00E319C3" w:rsidP="00E319C3">
      <w:r w:rsidRPr="00E319C3">
        <w:t>These power relations are reinforced by the normalization of sexual conduct. Sexual jokes, comments about someone’s body, sexually suggestive private messages, uncomfortable staring, and non-consensual touching may be perceived as ordinary parts of campus social interaction. Limited understanding of non-physical sexual violence, power relations, and consent means that victims and members of the campus community do not always recognize such conduct as a violation. Silence, personal closeness, or the absence of physical resistance may also be misinterpreted as consent.</w:t>
      </w:r>
    </w:p>
    <w:p w14:paraId="3CBE4AFE" w14:textId="77777777" w:rsidR="00E319C3" w:rsidRPr="00E319C3" w:rsidRDefault="00E319C3" w:rsidP="00E319C3">
      <w:r w:rsidRPr="00E319C3">
        <w:t>When an act is not recognized as sexual violence, victims tend to hesitate to disclose their experiences. This hesitation is reinforced by shame, stigma, fear of not being believed, threats to their academic and social standing, and the risk of being blamed. The research data show that 56.7% of cases were not reported, while 43.3% had been disclosed to another party. Victims and individuals who were aware of the cases were also more likely to approach family members or trusted individuals than official campus institutions. This pattern indicates that emotional closeness and a sense of personal safety are still trusted more than institutional mechanisms.</w:t>
      </w:r>
    </w:p>
    <w:p w14:paraId="6B4FC2D2" w14:textId="77777777" w:rsidR="00E319C3" w:rsidRPr="00E319C3" w:rsidRDefault="00E319C3" w:rsidP="00E319C3">
      <w:r w:rsidRPr="00E319C3">
        <w:t>The mechanism underlying the formation of a culture of silence can be illustrated as follows:</w:t>
      </w:r>
    </w:p>
    <w:p w14:paraId="53DB56C1" w14:textId="77777777" w:rsidR="0068688D" w:rsidRDefault="00881CA0" w:rsidP="0068688D">
      <w:pPr>
        <w:keepNext/>
        <w:ind w:firstLine="0"/>
        <w:jc w:val="center"/>
      </w:pPr>
      <w:r>
        <w:rPr>
          <w:noProof/>
        </w:rPr>
        <w:drawing>
          <wp:inline distT="0" distB="0" distL="0" distR="0" wp14:anchorId="1FD41AE1" wp14:editId="486449ED">
            <wp:extent cx="3767183" cy="2132330"/>
            <wp:effectExtent l="0" t="0" r="5080" b="1270"/>
            <wp:docPr id="2097083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3149" name="Picture 2097083149"/>
                    <pic:cNvPicPr/>
                  </pic:nvPicPr>
                  <pic:blipFill rotWithShape="1">
                    <a:blip r:embed="rId7" cstate="print">
                      <a:extLst>
                        <a:ext uri="{28A0092B-C50C-407E-A947-70E740481C1C}">
                          <a14:useLocalDpi xmlns:a14="http://schemas.microsoft.com/office/drawing/2010/main" val="0"/>
                        </a:ext>
                      </a:extLst>
                    </a:blip>
                    <a:srcRect t="11191" b="13341"/>
                    <a:stretch>
                      <a:fillRect/>
                    </a:stretch>
                  </pic:blipFill>
                  <pic:spPr bwMode="auto">
                    <a:xfrm>
                      <a:off x="0" y="0"/>
                      <a:ext cx="3785409" cy="2142646"/>
                    </a:xfrm>
                    <a:prstGeom prst="rect">
                      <a:avLst/>
                    </a:prstGeom>
                    <a:ln>
                      <a:noFill/>
                    </a:ln>
                    <a:extLst>
                      <a:ext uri="{53640926-AAD7-44D8-BBD7-CCE9431645EC}">
                        <a14:shadowObscured xmlns:a14="http://schemas.microsoft.com/office/drawing/2010/main"/>
                      </a:ext>
                    </a:extLst>
                  </pic:spPr>
                </pic:pic>
              </a:graphicData>
            </a:graphic>
          </wp:inline>
        </w:drawing>
      </w:r>
    </w:p>
    <w:p w14:paraId="6C16615E" w14:textId="1C64CE6C" w:rsidR="00881CA0" w:rsidRPr="0068688D" w:rsidRDefault="00E319C3" w:rsidP="00E319C3">
      <w:pPr>
        <w:pStyle w:val="Caption"/>
        <w:spacing w:line="360" w:lineRule="auto"/>
        <w:ind w:firstLine="0"/>
        <w:jc w:val="center"/>
        <w:rPr>
          <w:i w:val="0"/>
          <w:iCs w:val="0"/>
          <w:color w:val="auto"/>
          <w:sz w:val="24"/>
          <w:szCs w:val="24"/>
        </w:rPr>
      </w:pPr>
      <w:r w:rsidRPr="00E319C3">
        <w:rPr>
          <w:b/>
          <w:bCs/>
          <w:i w:val="0"/>
          <w:iCs w:val="0"/>
          <w:color w:val="auto"/>
          <w:sz w:val="24"/>
          <w:szCs w:val="24"/>
        </w:rPr>
        <w:t xml:space="preserve">Figure </w:t>
      </w:r>
      <w:r w:rsidR="0068688D" w:rsidRPr="0068688D">
        <w:rPr>
          <w:b/>
          <w:bCs/>
          <w:i w:val="0"/>
          <w:iCs w:val="0"/>
          <w:color w:val="auto"/>
          <w:sz w:val="24"/>
          <w:szCs w:val="24"/>
        </w:rPr>
        <w:fldChar w:fldCharType="begin"/>
      </w:r>
      <w:r w:rsidR="0068688D" w:rsidRPr="0068688D">
        <w:rPr>
          <w:b/>
          <w:bCs/>
          <w:i w:val="0"/>
          <w:iCs w:val="0"/>
          <w:color w:val="auto"/>
          <w:sz w:val="24"/>
          <w:szCs w:val="24"/>
        </w:rPr>
        <w:instrText xml:space="preserve"> SEQ Gambar \* ARABIC </w:instrText>
      </w:r>
      <w:r w:rsidR="0068688D" w:rsidRPr="0068688D">
        <w:rPr>
          <w:b/>
          <w:bCs/>
          <w:i w:val="0"/>
          <w:iCs w:val="0"/>
          <w:color w:val="auto"/>
          <w:sz w:val="24"/>
          <w:szCs w:val="24"/>
        </w:rPr>
        <w:fldChar w:fldCharType="separate"/>
      </w:r>
      <w:r w:rsidR="0068688D" w:rsidRPr="0068688D">
        <w:rPr>
          <w:b/>
          <w:bCs/>
          <w:i w:val="0"/>
          <w:iCs w:val="0"/>
          <w:color w:val="auto"/>
          <w:sz w:val="24"/>
          <w:szCs w:val="24"/>
        </w:rPr>
        <w:t>2</w:t>
      </w:r>
      <w:r w:rsidR="0068688D" w:rsidRPr="0068688D">
        <w:rPr>
          <w:b/>
          <w:bCs/>
          <w:i w:val="0"/>
          <w:iCs w:val="0"/>
          <w:color w:val="auto"/>
          <w:sz w:val="24"/>
          <w:szCs w:val="24"/>
        </w:rPr>
        <w:fldChar w:fldCharType="end"/>
      </w:r>
      <w:r w:rsidR="0068688D" w:rsidRPr="0068688D">
        <w:rPr>
          <w:b/>
          <w:bCs/>
          <w:i w:val="0"/>
          <w:iCs w:val="0"/>
          <w:color w:val="auto"/>
          <w:sz w:val="24"/>
          <w:szCs w:val="24"/>
        </w:rPr>
        <w:t xml:space="preserve">. </w:t>
      </w:r>
      <w:r w:rsidRPr="00E319C3">
        <w:rPr>
          <w:i w:val="0"/>
          <w:iCs w:val="0"/>
          <w:color w:val="auto"/>
          <w:sz w:val="24"/>
          <w:szCs w:val="24"/>
        </w:rPr>
        <w:t>The Mechanism Underlying the Formation of a Culture of Silence in Cases of Sexual Violence in Higher Education</w:t>
      </w:r>
    </w:p>
    <w:p w14:paraId="19287D09" w14:textId="77777777" w:rsidR="008B7BB0" w:rsidRPr="008B7BB0" w:rsidRDefault="008B7BB0" w:rsidP="008B7BB0">
      <w:r w:rsidRPr="008B7BB0">
        <w:lastRenderedPageBreak/>
        <w:t>The diagram shows that a culture of silence is not merely the result of a victim’s personal decision. It is shaped by social and institutional conditions that do not yet fully support case disclosure. Prevention efforts cannot be limited to encouraging victims to report their experiences. Higher education institutions need to reduce unequal power relations, stop the normalization of sexual conduct, strengthen victim protection, and establish reporting mechanisms that are safe, confidential, and trustworthy.</w:t>
      </w:r>
    </w:p>
    <w:p w14:paraId="41517A8A" w14:textId="77777777" w:rsidR="008B7BB0" w:rsidRPr="008B7BB0" w:rsidRDefault="008B7BB0" w:rsidP="008B7BB0">
      <w:r w:rsidRPr="008B7BB0">
        <w:t>Education on the Prevention and Handling of Sexual Violence in Higher Education (PPKS) represents an important point of intervention for disrupting this process. Education can help members of the campus community recognize different forms of sexual violence, understand consent, identify power relations, and respond appropriately to victims. Educational interventions can also strengthen students’ awareness and capacity to address sexual violence. The integration of PPKS materials into teaching materials and learning activities is necessary to ensure that this understanding becomes part of the values, attitudes, and actions of the campus community.</w:t>
      </w:r>
    </w:p>
    <w:p w14:paraId="2A80FE75" w14:textId="3D390880" w:rsidR="002D371D" w:rsidRDefault="008B7BB0" w:rsidP="008B7BB0">
      <w:pPr>
        <w:pStyle w:val="Heading2"/>
      </w:pPr>
      <w:r w:rsidRPr="008B7BB0">
        <w:t>PPKS Education as an Intervention Point for Breaking the Culture of Silence</w:t>
      </w:r>
    </w:p>
    <w:p w14:paraId="42200E2B" w14:textId="51A6CB90" w:rsidR="00462CA9" w:rsidRPr="00462CA9" w:rsidRDefault="008B7BB0" w:rsidP="008B7BB0">
      <w:r w:rsidRPr="008B7BB0">
        <w:t>The findings show that a culture of silence cannot be adequately addressed through regulations, task forces, or complaint channels alone. Unequal power relations, the normalization of sexual conduct, limited literacy, and low trust in reporting mechanisms require systematic educational intervention. PPKS education is necessary to enable members of the campus community to recognize different forms of sexual violence, understand consent, identify the abuse of power, and respond to victims without blaming them.</w:t>
      </w:r>
    </w:p>
    <w:p w14:paraId="1D245EA5" w14:textId="77777777" w:rsidR="00967F25" w:rsidRPr="00967F25" w:rsidRDefault="00967F25" w:rsidP="00967F25">
      <w:r w:rsidRPr="00967F25">
        <w:t>PPKS education can be integrated into learning outcomes, relevant courses, teaching materials, and academic activities. The materials should include examples that reflect campus life, such as classroom learning, academic supervision, student organizations, digital communication, internships, research activities, field practice, and community service programs. Learning activities may include case discussions, role-playing, critical reflection, and reporting simulations so that students not only understand the relevant concepts but are also able to respond appropriately.</w:t>
      </w:r>
    </w:p>
    <w:p w14:paraId="174F9DFC" w14:textId="77777777" w:rsidR="00967F25" w:rsidRPr="00967F25" w:rsidRDefault="00967F25" w:rsidP="00967F25">
      <w:r w:rsidRPr="00967F25">
        <w:t>Lecturers, educational staff, PPKS task forces, and student organizations need to be involved to ensure that education is aligned with campus policies and services. Every learning activity should also provide information about complaint channels, identity protection, assistance services, and victims’ rights. In this way, PPKS education can disrupt the normalization process, strengthen the courage to seek help, and encourage higher education institutions to move from reactive case handling toward educational and sustainable prevention.</w:t>
      </w:r>
    </w:p>
    <w:p w14:paraId="6B4F1AD0" w14:textId="265E8C14" w:rsidR="006C6EF6" w:rsidRDefault="00967F25" w:rsidP="00967F25">
      <w:pPr>
        <w:pStyle w:val="Heading1"/>
      </w:pPr>
      <w:r w:rsidRPr="00967F25">
        <w:lastRenderedPageBreak/>
        <w:t>Conclusion</w:t>
      </w:r>
    </w:p>
    <w:p w14:paraId="42FB5A92" w14:textId="2F84A911" w:rsidR="005122D5" w:rsidRPr="005122D5" w:rsidRDefault="00874784" w:rsidP="00874784">
      <w:r w:rsidRPr="00874784">
        <w:t>The culture of silence surrounding sexual violence cases at the three higher education institutions is shaped by the interaction of unequal power relations, the normalization of sexual conduct, limited literacy among campus community members, and low levels of trust in reporting mechanisms. Unequal academic relationships may create fear of consequences related to grades, academic supervision, organizational positions, and social relationships. Limited understanding of consent and the various forms of sexual violence also causes some acts to be perceived as jokes or normal behavior. Victims may experience shame, stigma, fear of not being believed, and the risk of being blamed. As a result, cases are more often kept private or disclosed only to trusted individuals rather than reported through official campus channels. These conditions make cases difficult to detect and allow sexual violence to recur. Prevention efforts should therefore focus on strengthening education on the Prevention and Handling of Sexual Violence (PPKS), particularly regarding consent, power relations, forms of sexual violence, victims’ rights, and reporting procedures. These efforts should be supported by complaint mechanisms that are safe, confidential, accessible, and victim-centered.</w:t>
      </w:r>
    </w:p>
    <w:p w14:paraId="54B41225" w14:textId="31878333" w:rsidR="00B13585" w:rsidRPr="00B13585" w:rsidRDefault="00967F25" w:rsidP="00B13585">
      <w:pPr>
        <w:pStyle w:val="Heading1"/>
        <w:numPr>
          <w:ilvl w:val="0"/>
          <w:numId w:val="0"/>
        </w:numPr>
        <w:ind w:left="-40"/>
      </w:pPr>
      <w:r>
        <w:t>REFERENCES</w:t>
      </w:r>
    </w:p>
    <w:p w14:paraId="14404576" w14:textId="21DAE0CA" w:rsidR="00095E91" w:rsidRPr="00095E91" w:rsidRDefault="006C6EF6" w:rsidP="00095E91">
      <w:pPr>
        <w:widowControl w:val="0"/>
        <w:autoSpaceDE w:val="0"/>
        <w:autoSpaceDN w:val="0"/>
        <w:adjustRightInd w:val="0"/>
        <w:spacing w:line="240" w:lineRule="auto"/>
        <w:ind w:left="480" w:hanging="480"/>
        <w:rPr>
          <w:rFonts w:cs="Times New Roman"/>
          <w:noProof/>
          <w:kern w:val="0"/>
        </w:rPr>
      </w:pPr>
      <w:r w:rsidRPr="00EE3DA3">
        <w:rPr>
          <w:rFonts w:cs="Times New Roman"/>
        </w:rPr>
        <w:fldChar w:fldCharType="begin" w:fldLock="1"/>
      </w:r>
      <w:r w:rsidRPr="00EE3DA3">
        <w:rPr>
          <w:rFonts w:cs="Times New Roman"/>
        </w:rPr>
        <w:instrText xml:space="preserve">ADDIN Mendeley Bibliography CSL_BIBLIOGRAPHY </w:instrText>
      </w:r>
      <w:r w:rsidRPr="00EE3DA3">
        <w:rPr>
          <w:rFonts w:cs="Times New Roman"/>
        </w:rPr>
        <w:fldChar w:fldCharType="separate"/>
      </w:r>
      <w:r w:rsidR="00095E91" w:rsidRPr="00095E91">
        <w:rPr>
          <w:rFonts w:cs="Times New Roman"/>
          <w:noProof/>
          <w:kern w:val="0"/>
        </w:rPr>
        <w:t xml:space="preserve">Adawiyah, R., Luayyin, R. H., &amp; Ardli, M. N. (2021). Analisis Permendikbud Ristek No 30 Tahun 2021 dan konstruksi sosial kekerasan seksual di perguruan tinggi perspektif sosiologis. </w:t>
      </w:r>
      <w:r w:rsidR="00095E91" w:rsidRPr="00095E91">
        <w:rPr>
          <w:rFonts w:cs="Times New Roman"/>
          <w:i/>
          <w:iCs/>
          <w:noProof/>
          <w:kern w:val="0"/>
        </w:rPr>
        <w:t>Al Qodiri: Jurnal Pendidikan, Sosial Dan Keagamaan</w:t>
      </w:r>
      <w:r w:rsidR="00095E91" w:rsidRPr="00095E91">
        <w:rPr>
          <w:rFonts w:cs="Times New Roman"/>
          <w:noProof/>
          <w:kern w:val="0"/>
        </w:rPr>
        <w:t xml:space="preserve">, </w:t>
      </w:r>
      <w:r w:rsidR="00095E91" w:rsidRPr="00095E91">
        <w:rPr>
          <w:rFonts w:cs="Times New Roman"/>
          <w:i/>
          <w:iCs/>
          <w:noProof/>
          <w:kern w:val="0"/>
        </w:rPr>
        <w:t>19</w:t>
      </w:r>
      <w:r w:rsidR="00095E91" w:rsidRPr="00095E91">
        <w:rPr>
          <w:rFonts w:cs="Times New Roman"/>
          <w:noProof/>
          <w:kern w:val="0"/>
        </w:rPr>
        <w:t>(3), 781–796. https://doi.org/10.53515/qodiri.2022.19.3.781-796</w:t>
      </w:r>
    </w:p>
    <w:p w14:paraId="00B57299"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Akbar, A. (2021). Framing Pemberitaan Rancangan Undang-Undang Penghapusan Kekerasan Seksual Pada Media Tirto Id Dan Republika Co Id. </w:t>
      </w:r>
      <w:r w:rsidRPr="00095E91">
        <w:rPr>
          <w:rFonts w:cs="Times New Roman"/>
          <w:i/>
          <w:iCs/>
          <w:noProof/>
          <w:kern w:val="0"/>
        </w:rPr>
        <w:t>Interaksi: Jurnal Ilmu Komunikasi</w:t>
      </w:r>
      <w:r w:rsidRPr="00095E91">
        <w:rPr>
          <w:rFonts w:cs="Times New Roman"/>
          <w:noProof/>
          <w:kern w:val="0"/>
        </w:rPr>
        <w:t xml:space="preserve">, </w:t>
      </w:r>
      <w:r w:rsidRPr="00095E91">
        <w:rPr>
          <w:rFonts w:cs="Times New Roman"/>
          <w:i/>
          <w:iCs/>
          <w:noProof/>
          <w:kern w:val="0"/>
        </w:rPr>
        <w:t>10</w:t>
      </w:r>
      <w:r w:rsidRPr="00095E91">
        <w:rPr>
          <w:rFonts w:cs="Times New Roman"/>
          <w:noProof/>
          <w:kern w:val="0"/>
        </w:rPr>
        <w:t>(2), 138–149. https://doi.org/10.14710/interaksi.10.2.138-149</w:t>
      </w:r>
    </w:p>
    <w:p w14:paraId="4BFA09EF"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Bonar, E. E., DeGue, S., Abbey, A., Coker, A. L., Lindquist, C. H., McCauley, H. L., Miller, E., Senn, C. Y., Thompson, M. P., Ngo, Q. M., &amp; others. (2022). Prevention of sexual violence among college students: Current challenges and future directions. </w:t>
      </w:r>
      <w:r w:rsidRPr="00095E91">
        <w:rPr>
          <w:rFonts w:cs="Times New Roman"/>
          <w:i/>
          <w:iCs/>
          <w:noProof/>
          <w:kern w:val="0"/>
        </w:rPr>
        <w:t>Journal of American College Health</w:t>
      </w:r>
      <w:r w:rsidRPr="00095E91">
        <w:rPr>
          <w:rFonts w:cs="Times New Roman"/>
          <w:noProof/>
          <w:kern w:val="0"/>
        </w:rPr>
        <w:t xml:space="preserve">, </w:t>
      </w:r>
      <w:r w:rsidRPr="00095E91">
        <w:rPr>
          <w:rFonts w:cs="Times New Roman"/>
          <w:i/>
          <w:iCs/>
          <w:noProof/>
          <w:kern w:val="0"/>
        </w:rPr>
        <w:t>70</w:t>
      </w:r>
      <w:r w:rsidRPr="00095E91">
        <w:rPr>
          <w:rFonts w:cs="Times New Roman"/>
          <w:noProof/>
          <w:kern w:val="0"/>
        </w:rPr>
        <w:t>(2), 575–588. https://doi.org/10.1080/07448481.2020.1757681</w:t>
      </w:r>
    </w:p>
    <w:p w14:paraId="525BF210"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Dworkin, E. R., Krahé, B., &amp; Zinzow, H. (2021). The global prevalence of sexual assault: A systematic review of international research since 2010. </w:t>
      </w:r>
      <w:r w:rsidRPr="00095E91">
        <w:rPr>
          <w:rFonts w:cs="Times New Roman"/>
          <w:i/>
          <w:iCs/>
          <w:noProof/>
          <w:kern w:val="0"/>
        </w:rPr>
        <w:t>Psychology of Violence</w:t>
      </w:r>
      <w:r w:rsidRPr="00095E91">
        <w:rPr>
          <w:rFonts w:cs="Times New Roman"/>
          <w:noProof/>
          <w:kern w:val="0"/>
        </w:rPr>
        <w:t xml:space="preserve">, </w:t>
      </w:r>
      <w:r w:rsidRPr="00095E91">
        <w:rPr>
          <w:rFonts w:cs="Times New Roman"/>
          <w:i/>
          <w:iCs/>
          <w:noProof/>
          <w:kern w:val="0"/>
        </w:rPr>
        <w:t>11</w:t>
      </w:r>
      <w:r w:rsidRPr="00095E91">
        <w:rPr>
          <w:rFonts w:cs="Times New Roman"/>
          <w:noProof/>
          <w:kern w:val="0"/>
        </w:rPr>
        <w:t>(5), 497. https://doi.org/10.1037/vio0000374</w:t>
      </w:r>
    </w:p>
    <w:p w14:paraId="2C6225C2"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Elindawati, R. (2021). Perspektif feminis dalam kasus perempuan sebagai korban kekerasan seksual di Perguruan Tinggi. </w:t>
      </w:r>
      <w:r w:rsidRPr="00095E91">
        <w:rPr>
          <w:rFonts w:cs="Times New Roman"/>
          <w:i/>
          <w:iCs/>
          <w:noProof/>
          <w:kern w:val="0"/>
        </w:rPr>
        <w:t>AL-WARDAH: Jurnal Kajian Perempuan, Gender Dan Agama</w:t>
      </w:r>
      <w:r w:rsidRPr="00095E91">
        <w:rPr>
          <w:rFonts w:cs="Times New Roman"/>
          <w:noProof/>
          <w:kern w:val="0"/>
        </w:rPr>
        <w:t xml:space="preserve">, </w:t>
      </w:r>
      <w:r w:rsidRPr="00095E91">
        <w:rPr>
          <w:rFonts w:cs="Times New Roman"/>
          <w:i/>
          <w:iCs/>
          <w:noProof/>
          <w:kern w:val="0"/>
        </w:rPr>
        <w:t>15</w:t>
      </w:r>
      <w:r w:rsidRPr="00095E91">
        <w:rPr>
          <w:rFonts w:cs="Times New Roman"/>
          <w:noProof/>
          <w:kern w:val="0"/>
        </w:rPr>
        <w:t>(2), 181–193.</w:t>
      </w:r>
    </w:p>
    <w:p w14:paraId="4C4F4410"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Fitri, A., Haekal, M., Almukarramah, A., &amp; Sari, F. M. (2021). Sexual violence in Indonesian University: On students’ critical consciousness and agency. </w:t>
      </w:r>
      <w:r w:rsidRPr="00095E91">
        <w:rPr>
          <w:rFonts w:cs="Times New Roman"/>
          <w:i/>
          <w:iCs/>
          <w:noProof/>
          <w:kern w:val="0"/>
        </w:rPr>
        <w:t>Gender Equality: International Journal of Child and Gender Studies</w:t>
      </w:r>
      <w:r w:rsidRPr="00095E91">
        <w:rPr>
          <w:rFonts w:cs="Times New Roman"/>
          <w:noProof/>
          <w:kern w:val="0"/>
        </w:rPr>
        <w:t xml:space="preserve">, </w:t>
      </w:r>
      <w:r w:rsidRPr="00095E91">
        <w:rPr>
          <w:rFonts w:cs="Times New Roman"/>
          <w:i/>
          <w:iCs/>
          <w:noProof/>
          <w:kern w:val="0"/>
        </w:rPr>
        <w:t>7</w:t>
      </w:r>
      <w:r w:rsidRPr="00095E91">
        <w:rPr>
          <w:rFonts w:cs="Times New Roman"/>
          <w:noProof/>
          <w:kern w:val="0"/>
        </w:rPr>
        <w:t>(2), 153–167. https://doi.org/10.22373/equality.v7i2.9869</w:t>
      </w:r>
    </w:p>
    <w:p w14:paraId="17F309AF"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Kennedy, K. M., Vellinga, A., Bonner, N., Stewart, B., &amp; McGrath, D. (2013). How teaching on the care of the victim of sexual violence alters undergraduate medical students’ awareness of the key issues involved in patient care and their </w:t>
      </w:r>
      <w:r w:rsidRPr="00095E91">
        <w:rPr>
          <w:rFonts w:cs="Times New Roman"/>
          <w:noProof/>
          <w:kern w:val="0"/>
        </w:rPr>
        <w:lastRenderedPageBreak/>
        <w:t xml:space="preserve">attitudes to such patients. </w:t>
      </w:r>
      <w:r w:rsidRPr="00095E91">
        <w:rPr>
          <w:rFonts w:cs="Times New Roman"/>
          <w:i/>
          <w:iCs/>
          <w:noProof/>
          <w:kern w:val="0"/>
        </w:rPr>
        <w:t>Journal of Forensic and Legal Medicine</w:t>
      </w:r>
      <w:r w:rsidRPr="00095E91">
        <w:rPr>
          <w:rFonts w:cs="Times New Roman"/>
          <w:noProof/>
          <w:kern w:val="0"/>
        </w:rPr>
        <w:t xml:space="preserve">, </w:t>
      </w:r>
      <w:r w:rsidRPr="00095E91">
        <w:rPr>
          <w:rFonts w:cs="Times New Roman"/>
          <w:i/>
          <w:iCs/>
          <w:noProof/>
          <w:kern w:val="0"/>
        </w:rPr>
        <w:t>20</w:t>
      </w:r>
      <w:r w:rsidRPr="00095E91">
        <w:rPr>
          <w:rFonts w:cs="Times New Roman"/>
          <w:noProof/>
          <w:kern w:val="0"/>
        </w:rPr>
        <w:t>(6), 582–587. https://doi.org/10.1016/j.jflm.2013.06.010</w:t>
      </w:r>
    </w:p>
    <w:p w14:paraId="61C73951"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Khafsoh, N. A., &amp; Suhairi, S. (2021). Pemahaman mahasiswa terhadap bentuk, proses, dan pandangan penanganan kekerasan seksual di kampus. </w:t>
      </w:r>
      <w:r w:rsidRPr="00095E91">
        <w:rPr>
          <w:rFonts w:cs="Times New Roman"/>
          <w:i/>
          <w:iCs/>
          <w:noProof/>
          <w:kern w:val="0"/>
        </w:rPr>
        <w:t>Marwah: Jurnal Perempuan, Agama Dan Jender</w:t>
      </w:r>
      <w:r w:rsidRPr="00095E91">
        <w:rPr>
          <w:rFonts w:cs="Times New Roman"/>
          <w:noProof/>
          <w:kern w:val="0"/>
        </w:rPr>
        <w:t xml:space="preserve">, </w:t>
      </w:r>
      <w:r w:rsidRPr="00095E91">
        <w:rPr>
          <w:rFonts w:cs="Times New Roman"/>
          <w:i/>
          <w:iCs/>
          <w:noProof/>
          <w:kern w:val="0"/>
        </w:rPr>
        <w:t>20</w:t>
      </w:r>
      <w:r w:rsidRPr="00095E91">
        <w:rPr>
          <w:rFonts w:cs="Times New Roman"/>
          <w:noProof/>
          <w:kern w:val="0"/>
        </w:rPr>
        <w:t>(1), 61–75. https://doi.org/10.24014/marwah.v20i1.10487</w:t>
      </w:r>
    </w:p>
    <w:p w14:paraId="32EEC1DA"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Linder, C. (2024). </w:t>
      </w:r>
      <w:r w:rsidRPr="00095E91">
        <w:rPr>
          <w:rFonts w:cs="Times New Roman"/>
          <w:i/>
          <w:iCs/>
          <w:noProof/>
          <w:kern w:val="0"/>
        </w:rPr>
        <w:t>Sexual violence on campus: Power-conscious approaches to awareness, prevention, and response</w:t>
      </w:r>
      <w:r w:rsidRPr="00095E91">
        <w:rPr>
          <w:rFonts w:cs="Times New Roman"/>
          <w:noProof/>
          <w:kern w:val="0"/>
        </w:rPr>
        <w:t>. Emerald Group Publishing.</w:t>
      </w:r>
    </w:p>
    <w:p w14:paraId="0C8F917B"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Marfu’ah, U., Rofi’ah, S., &amp; Maksun, M. (2021). Sistem Pencegahan Dan Penanganan Kekerasan Seksual Di Kampus. </w:t>
      </w:r>
      <w:r w:rsidRPr="00095E91">
        <w:rPr>
          <w:rFonts w:cs="Times New Roman"/>
          <w:i/>
          <w:iCs/>
          <w:noProof/>
          <w:kern w:val="0"/>
        </w:rPr>
        <w:t>Kafa’ah: Journal of Gender Studies</w:t>
      </w:r>
      <w:r w:rsidRPr="00095E91">
        <w:rPr>
          <w:rFonts w:cs="Times New Roman"/>
          <w:noProof/>
          <w:kern w:val="0"/>
        </w:rPr>
        <w:t xml:space="preserve">, </w:t>
      </w:r>
      <w:r w:rsidRPr="00095E91">
        <w:rPr>
          <w:rFonts w:cs="Times New Roman"/>
          <w:i/>
          <w:iCs/>
          <w:noProof/>
          <w:kern w:val="0"/>
        </w:rPr>
        <w:t>11</w:t>
      </w:r>
      <w:r w:rsidRPr="00095E91">
        <w:rPr>
          <w:rFonts w:cs="Times New Roman"/>
          <w:noProof/>
          <w:kern w:val="0"/>
        </w:rPr>
        <w:t>(1), 95–106. https://doi.org/10.15548/jk.v11i1.379</w:t>
      </w:r>
    </w:p>
    <w:p w14:paraId="7ACCC185"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Nikmatullah, N. (2020). Demi nama baik kampus vs perlindungan korban: kasus kekerasan seksual di kampus. </w:t>
      </w:r>
      <w:r w:rsidRPr="00095E91">
        <w:rPr>
          <w:rFonts w:cs="Times New Roman"/>
          <w:i/>
          <w:iCs/>
          <w:noProof/>
          <w:kern w:val="0"/>
        </w:rPr>
        <w:t>QAWWAM: Journal for Gender Mainstreaming</w:t>
      </w:r>
      <w:r w:rsidRPr="00095E91">
        <w:rPr>
          <w:rFonts w:cs="Times New Roman"/>
          <w:noProof/>
          <w:kern w:val="0"/>
        </w:rPr>
        <w:t xml:space="preserve">, </w:t>
      </w:r>
      <w:r w:rsidRPr="00095E91">
        <w:rPr>
          <w:rFonts w:cs="Times New Roman"/>
          <w:i/>
          <w:iCs/>
          <w:noProof/>
          <w:kern w:val="0"/>
        </w:rPr>
        <w:t>14</w:t>
      </w:r>
      <w:r w:rsidRPr="00095E91">
        <w:rPr>
          <w:rFonts w:cs="Times New Roman"/>
          <w:noProof/>
          <w:kern w:val="0"/>
        </w:rPr>
        <w:t>(2), 37–53. https://doi.org/10.20414/qawwam.v14i2.2875</w:t>
      </w:r>
    </w:p>
    <w:p w14:paraId="1C29011B"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Noer, K. U., Kartika, T., &amp; others. (2022). </w:t>
      </w:r>
      <w:r w:rsidRPr="00095E91">
        <w:rPr>
          <w:rFonts w:cs="Times New Roman"/>
          <w:i/>
          <w:iCs/>
          <w:noProof/>
          <w:kern w:val="0"/>
        </w:rPr>
        <w:t>Membongkar kekerasan seksual di pendidikan tinggi: pemikiran awal</w:t>
      </w:r>
      <w:r w:rsidRPr="00095E91">
        <w:rPr>
          <w:rFonts w:cs="Times New Roman"/>
          <w:noProof/>
          <w:kern w:val="0"/>
        </w:rPr>
        <w:t>. Yayasan Pustaka Obor Indonesia.</w:t>
      </w:r>
    </w:p>
    <w:p w14:paraId="6C1C30F6"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Saraswati, N. D., &amp; Sewu, P. L. S. (2022). Arah pengaturan hukum pencegahan dan penanganan kekerasan seksual di kampus menurut peraturan menteri pendidikan, kebudayaan, riset, dan teknologi nomor 30 tahun 2021 tentang pencegahan dan penanganan kekerasan seksual di lingkungan perguruan tinggi. </w:t>
      </w:r>
      <w:r w:rsidRPr="00095E91">
        <w:rPr>
          <w:rFonts w:cs="Times New Roman"/>
          <w:i/>
          <w:iCs/>
          <w:noProof/>
          <w:kern w:val="0"/>
        </w:rPr>
        <w:t>Jurnal Hukum Mimbar Justitia</w:t>
      </w:r>
      <w:r w:rsidRPr="00095E91">
        <w:rPr>
          <w:rFonts w:cs="Times New Roman"/>
          <w:noProof/>
          <w:kern w:val="0"/>
        </w:rPr>
        <w:t xml:space="preserve">, </w:t>
      </w:r>
      <w:r w:rsidRPr="00095E91">
        <w:rPr>
          <w:rFonts w:cs="Times New Roman"/>
          <w:i/>
          <w:iCs/>
          <w:noProof/>
          <w:kern w:val="0"/>
        </w:rPr>
        <w:t>8</w:t>
      </w:r>
      <w:r w:rsidRPr="00095E91">
        <w:rPr>
          <w:rFonts w:cs="Times New Roman"/>
          <w:noProof/>
          <w:kern w:val="0"/>
        </w:rPr>
        <w:t>(1), 115–137. https://doi.org/10.35194/jhmj.v8i1.2464</w:t>
      </w:r>
    </w:p>
    <w:p w14:paraId="108F4A80"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Schneider, M., &amp; Hirsch, J. S. (2020). Comprehensive sexuality education as a primary prevention strategy for sexual violence perpetration. </w:t>
      </w:r>
      <w:r w:rsidRPr="00095E91">
        <w:rPr>
          <w:rFonts w:cs="Times New Roman"/>
          <w:i/>
          <w:iCs/>
          <w:noProof/>
          <w:kern w:val="0"/>
        </w:rPr>
        <w:t>Trauma, Violence, &amp; Abuse</w:t>
      </w:r>
      <w:r w:rsidRPr="00095E91">
        <w:rPr>
          <w:rFonts w:cs="Times New Roman"/>
          <w:noProof/>
          <w:kern w:val="0"/>
        </w:rPr>
        <w:t xml:space="preserve">, </w:t>
      </w:r>
      <w:r w:rsidRPr="00095E91">
        <w:rPr>
          <w:rFonts w:cs="Times New Roman"/>
          <w:i/>
          <w:iCs/>
          <w:noProof/>
          <w:kern w:val="0"/>
        </w:rPr>
        <w:t>21</w:t>
      </w:r>
      <w:r w:rsidRPr="00095E91">
        <w:rPr>
          <w:rFonts w:cs="Times New Roman"/>
          <w:noProof/>
          <w:kern w:val="0"/>
        </w:rPr>
        <w:t>(3), 439–455. https://doi.org/10.1177/1524838018772855</w:t>
      </w:r>
    </w:p>
    <w:p w14:paraId="6429D129"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Soejoeti, A. H., &amp; Susanti, V. (2020). Diskusi Keadilan Restoratif dalam Konteks Kekerasan Seksual di Kampus. </w:t>
      </w:r>
      <w:r w:rsidRPr="00095E91">
        <w:rPr>
          <w:rFonts w:cs="Times New Roman"/>
          <w:i/>
          <w:iCs/>
          <w:noProof/>
          <w:kern w:val="0"/>
        </w:rPr>
        <w:t>Deviance Jurnal Kriminologi</w:t>
      </w:r>
      <w:r w:rsidRPr="00095E91">
        <w:rPr>
          <w:rFonts w:cs="Times New Roman"/>
          <w:noProof/>
          <w:kern w:val="0"/>
        </w:rPr>
        <w:t xml:space="preserve">, </w:t>
      </w:r>
      <w:r w:rsidRPr="00095E91">
        <w:rPr>
          <w:rFonts w:cs="Times New Roman"/>
          <w:i/>
          <w:iCs/>
          <w:noProof/>
          <w:kern w:val="0"/>
        </w:rPr>
        <w:t>4</w:t>
      </w:r>
      <w:r w:rsidRPr="00095E91">
        <w:rPr>
          <w:rFonts w:cs="Times New Roman"/>
          <w:noProof/>
          <w:kern w:val="0"/>
        </w:rPr>
        <w:t>(1), 67–83. https://doi.org/10.36080/djk.1311</w:t>
      </w:r>
    </w:p>
    <w:p w14:paraId="334A08BB" w14:textId="77777777" w:rsidR="00095E91" w:rsidRPr="00095E91" w:rsidRDefault="00095E91" w:rsidP="00095E91">
      <w:pPr>
        <w:widowControl w:val="0"/>
        <w:autoSpaceDE w:val="0"/>
        <w:autoSpaceDN w:val="0"/>
        <w:adjustRightInd w:val="0"/>
        <w:spacing w:line="240" w:lineRule="auto"/>
        <w:ind w:left="480" w:hanging="480"/>
        <w:rPr>
          <w:rFonts w:cs="Times New Roman"/>
          <w:noProof/>
          <w:kern w:val="0"/>
        </w:rPr>
      </w:pPr>
      <w:r w:rsidRPr="00095E91">
        <w:rPr>
          <w:rFonts w:cs="Times New Roman"/>
          <w:noProof/>
          <w:kern w:val="0"/>
        </w:rPr>
        <w:t xml:space="preserve">Yusran, S., Astina, A., Sabilu, Y., Sety, L. O. M., Akifah, A., &amp; Rezal, F. (2022). Premarital sexual behaviour among urban-rural school teenagers in Southeast Sulawesi, Indonesia: comparative study. </w:t>
      </w:r>
      <w:r w:rsidRPr="00095E91">
        <w:rPr>
          <w:rFonts w:cs="Times New Roman"/>
          <w:i/>
          <w:iCs/>
          <w:noProof/>
          <w:kern w:val="0"/>
        </w:rPr>
        <w:t>Unnes Journal of Public Health</w:t>
      </w:r>
      <w:r w:rsidRPr="00095E91">
        <w:rPr>
          <w:rFonts w:cs="Times New Roman"/>
          <w:noProof/>
          <w:kern w:val="0"/>
        </w:rPr>
        <w:t xml:space="preserve">, </w:t>
      </w:r>
      <w:r w:rsidRPr="00095E91">
        <w:rPr>
          <w:rFonts w:cs="Times New Roman"/>
          <w:i/>
          <w:iCs/>
          <w:noProof/>
          <w:kern w:val="0"/>
        </w:rPr>
        <w:t>11</w:t>
      </w:r>
      <w:r w:rsidRPr="00095E91">
        <w:rPr>
          <w:rFonts w:cs="Times New Roman"/>
          <w:noProof/>
          <w:kern w:val="0"/>
        </w:rPr>
        <w:t>(1), 65–74. https://doi.org/10.15294/ujph.v11i1.50666</w:t>
      </w:r>
    </w:p>
    <w:p w14:paraId="3A3DCAEC" w14:textId="77777777" w:rsidR="00095E91" w:rsidRPr="00095E91" w:rsidRDefault="00095E91" w:rsidP="00095E91">
      <w:pPr>
        <w:widowControl w:val="0"/>
        <w:autoSpaceDE w:val="0"/>
        <w:autoSpaceDN w:val="0"/>
        <w:adjustRightInd w:val="0"/>
        <w:spacing w:line="240" w:lineRule="auto"/>
        <w:ind w:left="480" w:hanging="480"/>
        <w:rPr>
          <w:rFonts w:cs="Times New Roman"/>
          <w:noProof/>
        </w:rPr>
      </w:pPr>
      <w:r w:rsidRPr="00095E91">
        <w:rPr>
          <w:rFonts w:cs="Times New Roman"/>
          <w:noProof/>
          <w:kern w:val="0"/>
        </w:rPr>
        <w:t xml:space="preserve">Yusran, S., Sabilu, Y., Yuniar, N., Hanafi, H., &amp; Badara, H. (2018). The needs of sexual and reproductive health education for secondary school in Kendari City, Southeast Sulawesi, Indonesia. </w:t>
      </w:r>
      <w:r w:rsidRPr="00095E91">
        <w:rPr>
          <w:rFonts w:cs="Times New Roman"/>
          <w:i/>
          <w:iCs/>
          <w:noProof/>
          <w:kern w:val="0"/>
        </w:rPr>
        <w:t>Indian J Sci Technol</w:t>
      </w:r>
      <w:r w:rsidRPr="00095E91">
        <w:rPr>
          <w:rFonts w:cs="Times New Roman"/>
          <w:noProof/>
          <w:kern w:val="0"/>
        </w:rPr>
        <w:t xml:space="preserve">, </w:t>
      </w:r>
      <w:r w:rsidRPr="00095E91">
        <w:rPr>
          <w:rFonts w:cs="Times New Roman"/>
          <w:i/>
          <w:iCs/>
          <w:noProof/>
          <w:kern w:val="0"/>
        </w:rPr>
        <w:t>11</w:t>
      </w:r>
      <w:r w:rsidRPr="00095E91">
        <w:rPr>
          <w:rFonts w:cs="Times New Roman"/>
          <w:noProof/>
          <w:kern w:val="0"/>
        </w:rPr>
        <w:t>(23), 1–9. https://doi.org/10.17485/ijst/2018/v11i23/110489</w:t>
      </w:r>
    </w:p>
    <w:p w14:paraId="60EA113F" w14:textId="373BF399" w:rsidR="00B13585" w:rsidRPr="00EE3DA3" w:rsidRDefault="006C6EF6" w:rsidP="001E6A76">
      <w:pPr>
        <w:ind w:left="720" w:hanging="720"/>
        <w:rPr>
          <w:rFonts w:cs="Times New Roman"/>
        </w:rPr>
      </w:pPr>
      <w:r w:rsidRPr="00EE3DA3">
        <w:rPr>
          <w:rFonts w:cs="Times New Roman"/>
        </w:rPr>
        <w:fldChar w:fldCharType="end"/>
      </w:r>
    </w:p>
    <w:sectPr w:rsidR="00B13585" w:rsidRPr="00EE3DA3" w:rsidSect="00786FB0">
      <w:pgSz w:w="11906" w:h="16838"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34EFB"/>
    <w:multiLevelType w:val="hybridMultilevel"/>
    <w:tmpl w:val="68085F82"/>
    <w:lvl w:ilvl="0" w:tplc="587AC4CC">
      <w:start w:val="1"/>
      <w:numFmt w:val="upperLetter"/>
      <w:pStyle w:val="Heading2"/>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52B529A1"/>
    <w:multiLevelType w:val="hybridMultilevel"/>
    <w:tmpl w:val="5A525558"/>
    <w:lvl w:ilvl="0" w:tplc="DDC21756">
      <w:start w:val="1"/>
      <w:numFmt w:val="upperRoman"/>
      <w:pStyle w:val="Heading1"/>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4956996"/>
    <w:multiLevelType w:val="hybridMultilevel"/>
    <w:tmpl w:val="D2C453D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241208225">
    <w:abstractNumId w:val="1"/>
  </w:num>
  <w:num w:numId="2" w16cid:durableId="626744237">
    <w:abstractNumId w:val="0"/>
  </w:num>
  <w:num w:numId="3" w16cid:durableId="1349527029">
    <w:abstractNumId w:val="0"/>
    <w:lvlOverride w:ilvl="0">
      <w:startOverride w:val="1"/>
    </w:lvlOverride>
  </w:num>
  <w:num w:numId="4" w16cid:durableId="412706895">
    <w:abstractNumId w:val="2"/>
  </w:num>
  <w:num w:numId="5" w16cid:durableId="382170792">
    <w:abstractNumId w:val="0"/>
    <w:lvlOverride w:ilvl="0">
      <w:startOverride w:val="1"/>
    </w:lvlOverride>
  </w:num>
  <w:num w:numId="6" w16cid:durableId="821503337">
    <w:abstractNumId w:val="0"/>
  </w:num>
  <w:num w:numId="7" w16cid:durableId="747962935">
    <w:abstractNumId w:val="0"/>
  </w:num>
  <w:num w:numId="8" w16cid:durableId="250284039">
    <w:abstractNumId w:val="0"/>
  </w:num>
  <w:num w:numId="9" w16cid:durableId="1336762512">
    <w:abstractNumId w:val="0"/>
  </w:num>
  <w:num w:numId="10" w16cid:durableId="260072406">
    <w:abstractNumId w:val="0"/>
  </w:num>
  <w:num w:numId="11" w16cid:durableId="1736468144">
    <w:abstractNumId w:val="0"/>
  </w:num>
  <w:num w:numId="12" w16cid:durableId="259027482">
    <w:abstractNumId w:val="0"/>
    <w:lvlOverride w:ilvl="0">
      <w:startOverride w:val="1"/>
    </w:lvlOverride>
  </w:num>
  <w:num w:numId="13" w16cid:durableId="664287543">
    <w:abstractNumId w:val="0"/>
  </w:num>
  <w:num w:numId="14" w16cid:durableId="684787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585"/>
    <w:rsid w:val="00004B83"/>
    <w:rsid w:val="0000642F"/>
    <w:rsid w:val="000118C7"/>
    <w:rsid w:val="00013683"/>
    <w:rsid w:val="00030195"/>
    <w:rsid w:val="0003499B"/>
    <w:rsid w:val="00041919"/>
    <w:rsid w:val="00065CDC"/>
    <w:rsid w:val="00075AAE"/>
    <w:rsid w:val="00095E91"/>
    <w:rsid w:val="00096F21"/>
    <w:rsid w:val="000B16CD"/>
    <w:rsid w:val="000D207B"/>
    <w:rsid w:val="000D2FC3"/>
    <w:rsid w:val="000E45DC"/>
    <w:rsid w:val="000E7AEE"/>
    <w:rsid w:val="000E7F2F"/>
    <w:rsid w:val="000F3C0A"/>
    <w:rsid w:val="00102330"/>
    <w:rsid w:val="00112E15"/>
    <w:rsid w:val="00114FA0"/>
    <w:rsid w:val="001168E9"/>
    <w:rsid w:val="00116A22"/>
    <w:rsid w:val="001277BA"/>
    <w:rsid w:val="00131E25"/>
    <w:rsid w:val="00134844"/>
    <w:rsid w:val="0014226A"/>
    <w:rsid w:val="00152FEC"/>
    <w:rsid w:val="00153C13"/>
    <w:rsid w:val="0016260B"/>
    <w:rsid w:val="00175973"/>
    <w:rsid w:val="001765B5"/>
    <w:rsid w:val="001809C4"/>
    <w:rsid w:val="0019377A"/>
    <w:rsid w:val="001A1E9F"/>
    <w:rsid w:val="001C44A4"/>
    <w:rsid w:val="001D0AC3"/>
    <w:rsid w:val="001D33A7"/>
    <w:rsid w:val="001E2A41"/>
    <w:rsid w:val="001E6A76"/>
    <w:rsid w:val="001F194C"/>
    <w:rsid w:val="0020247A"/>
    <w:rsid w:val="00204604"/>
    <w:rsid w:val="00211242"/>
    <w:rsid w:val="00215852"/>
    <w:rsid w:val="0022643F"/>
    <w:rsid w:val="00243F47"/>
    <w:rsid w:val="0024705E"/>
    <w:rsid w:val="002768EE"/>
    <w:rsid w:val="002845EC"/>
    <w:rsid w:val="002A1019"/>
    <w:rsid w:val="002B129D"/>
    <w:rsid w:val="002C238D"/>
    <w:rsid w:val="002D0E2C"/>
    <w:rsid w:val="002D371D"/>
    <w:rsid w:val="002E03E7"/>
    <w:rsid w:val="002E5F60"/>
    <w:rsid w:val="002E6FA7"/>
    <w:rsid w:val="002F04F9"/>
    <w:rsid w:val="002F2D12"/>
    <w:rsid w:val="002F3F56"/>
    <w:rsid w:val="0030178D"/>
    <w:rsid w:val="00305C0F"/>
    <w:rsid w:val="00314229"/>
    <w:rsid w:val="00314E60"/>
    <w:rsid w:val="00317523"/>
    <w:rsid w:val="00327E68"/>
    <w:rsid w:val="00350E7F"/>
    <w:rsid w:val="00353477"/>
    <w:rsid w:val="0035737A"/>
    <w:rsid w:val="0036538E"/>
    <w:rsid w:val="003833B9"/>
    <w:rsid w:val="00393FA0"/>
    <w:rsid w:val="003A2124"/>
    <w:rsid w:val="003B0064"/>
    <w:rsid w:val="003B1D33"/>
    <w:rsid w:val="003B64A6"/>
    <w:rsid w:val="003C607C"/>
    <w:rsid w:val="003E2DF3"/>
    <w:rsid w:val="003E3763"/>
    <w:rsid w:val="003F3758"/>
    <w:rsid w:val="00402B6E"/>
    <w:rsid w:val="0041157D"/>
    <w:rsid w:val="00424EB5"/>
    <w:rsid w:val="0042606A"/>
    <w:rsid w:val="004301C4"/>
    <w:rsid w:val="00440DCC"/>
    <w:rsid w:val="00457CD0"/>
    <w:rsid w:val="00462CA9"/>
    <w:rsid w:val="0046508C"/>
    <w:rsid w:val="00473AD7"/>
    <w:rsid w:val="004A16E6"/>
    <w:rsid w:val="004A257F"/>
    <w:rsid w:val="004A3352"/>
    <w:rsid w:val="004D3423"/>
    <w:rsid w:val="004E55D1"/>
    <w:rsid w:val="004E7391"/>
    <w:rsid w:val="004F6928"/>
    <w:rsid w:val="005122D5"/>
    <w:rsid w:val="00513AA5"/>
    <w:rsid w:val="00523EB0"/>
    <w:rsid w:val="00531947"/>
    <w:rsid w:val="0053377E"/>
    <w:rsid w:val="005374F3"/>
    <w:rsid w:val="00537D56"/>
    <w:rsid w:val="005437E3"/>
    <w:rsid w:val="005549A7"/>
    <w:rsid w:val="00575386"/>
    <w:rsid w:val="005771BA"/>
    <w:rsid w:val="00585088"/>
    <w:rsid w:val="005949A8"/>
    <w:rsid w:val="005A0C4A"/>
    <w:rsid w:val="005A2C0D"/>
    <w:rsid w:val="005B146C"/>
    <w:rsid w:val="005B2B5E"/>
    <w:rsid w:val="005C2F33"/>
    <w:rsid w:val="005D2F7A"/>
    <w:rsid w:val="005F733E"/>
    <w:rsid w:val="0060123D"/>
    <w:rsid w:val="00606CE3"/>
    <w:rsid w:val="00613D72"/>
    <w:rsid w:val="006243FA"/>
    <w:rsid w:val="00625FC1"/>
    <w:rsid w:val="006648B2"/>
    <w:rsid w:val="00667DED"/>
    <w:rsid w:val="006704DF"/>
    <w:rsid w:val="00670579"/>
    <w:rsid w:val="0068688D"/>
    <w:rsid w:val="0069261B"/>
    <w:rsid w:val="00693262"/>
    <w:rsid w:val="006B605C"/>
    <w:rsid w:val="006C6EF6"/>
    <w:rsid w:val="006C7C4E"/>
    <w:rsid w:val="006E4473"/>
    <w:rsid w:val="006F0DCB"/>
    <w:rsid w:val="006F607C"/>
    <w:rsid w:val="00701977"/>
    <w:rsid w:val="00706A79"/>
    <w:rsid w:val="0071440F"/>
    <w:rsid w:val="00716C38"/>
    <w:rsid w:val="00725491"/>
    <w:rsid w:val="00727234"/>
    <w:rsid w:val="00731C4D"/>
    <w:rsid w:val="0073662F"/>
    <w:rsid w:val="0074016E"/>
    <w:rsid w:val="00751D85"/>
    <w:rsid w:val="0075254D"/>
    <w:rsid w:val="0076392C"/>
    <w:rsid w:val="00766DC3"/>
    <w:rsid w:val="00777289"/>
    <w:rsid w:val="00786FB0"/>
    <w:rsid w:val="00790711"/>
    <w:rsid w:val="00792125"/>
    <w:rsid w:val="007A2DF9"/>
    <w:rsid w:val="007A35C9"/>
    <w:rsid w:val="007A7B1D"/>
    <w:rsid w:val="007B2DE1"/>
    <w:rsid w:val="007B39C4"/>
    <w:rsid w:val="007C30DA"/>
    <w:rsid w:val="007D0435"/>
    <w:rsid w:val="007D2EC4"/>
    <w:rsid w:val="007D41FD"/>
    <w:rsid w:val="007D7EEC"/>
    <w:rsid w:val="00807641"/>
    <w:rsid w:val="00814A77"/>
    <w:rsid w:val="0081606C"/>
    <w:rsid w:val="00823E5B"/>
    <w:rsid w:val="00845877"/>
    <w:rsid w:val="008458FE"/>
    <w:rsid w:val="00853CC1"/>
    <w:rsid w:val="008549F3"/>
    <w:rsid w:val="008656D2"/>
    <w:rsid w:val="008705A4"/>
    <w:rsid w:val="00873A77"/>
    <w:rsid w:val="00874784"/>
    <w:rsid w:val="0087510F"/>
    <w:rsid w:val="00881CA0"/>
    <w:rsid w:val="00887DD1"/>
    <w:rsid w:val="008B61ED"/>
    <w:rsid w:val="008B7BB0"/>
    <w:rsid w:val="008E0097"/>
    <w:rsid w:val="00904D76"/>
    <w:rsid w:val="009059C8"/>
    <w:rsid w:val="009115B5"/>
    <w:rsid w:val="00916235"/>
    <w:rsid w:val="00917500"/>
    <w:rsid w:val="00934B4B"/>
    <w:rsid w:val="00966A96"/>
    <w:rsid w:val="00967F25"/>
    <w:rsid w:val="00970400"/>
    <w:rsid w:val="009751DE"/>
    <w:rsid w:val="00997F4A"/>
    <w:rsid w:val="009A4B70"/>
    <w:rsid w:val="009B619F"/>
    <w:rsid w:val="009C0428"/>
    <w:rsid w:val="009E6BC5"/>
    <w:rsid w:val="009F2AF7"/>
    <w:rsid w:val="009F6F54"/>
    <w:rsid w:val="00A0119C"/>
    <w:rsid w:val="00A10432"/>
    <w:rsid w:val="00A176A4"/>
    <w:rsid w:val="00A17F1D"/>
    <w:rsid w:val="00A2202F"/>
    <w:rsid w:val="00A27DDA"/>
    <w:rsid w:val="00A508E8"/>
    <w:rsid w:val="00A5508C"/>
    <w:rsid w:val="00A60072"/>
    <w:rsid w:val="00A620F5"/>
    <w:rsid w:val="00A635DD"/>
    <w:rsid w:val="00A720C3"/>
    <w:rsid w:val="00AA5379"/>
    <w:rsid w:val="00AA7D2A"/>
    <w:rsid w:val="00AC12F0"/>
    <w:rsid w:val="00AC74B7"/>
    <w:rsid w:val="00AD1D67"/>
    <w:rsid w:val="00AF500B"/>
    <w:rsid w:val="00B029BB"/>
    <w:rsid w:val="00B13585"/>
    <w:rsid w:val="00B1677D"/>
    <w:rsid w:val="00B22A03"/>
    <w:rsid w:val="00B606C2"/>
    <w:rsid w:val="00B67E02"/>
    <w:rsid w:val="00B96D62"/>
    <w:rsid w:val="00BA0628"/>
    <w:rsid w:val="00BA4FCC"/>
    <w:rsid w:val="00BB2661"/>
    <w:rsid w:val="00BB58A7"/>
    <w:rsid w:val="00C06897"/>
    <w:rsid w:val="00C06D0E"/>
    <w:rsid w:val="00C15E6F"/>
    <w:rsid w:val="00C16F50"/>
    <w:rsid w:val="00C17748"/>
    <w:rsid w:val="00C30B65"/>
    <w:rsid w:val="00C4141C"/>
    <w:rsid w:val="00C44F3C"/>
    <w:rsid w:val="00C46A02"/>
    <w:rsid w:val="00C52C33"/>
    <w:rsid w:val="00C55B62"/>
    <w:rsid w:val="00C9113C"/>
    <w:rsid w:val="00C9310B"/>
    <w:rsid w:val="00C9412D"/>
    <w:rsid w:val="00CB78E2"/>
    <w:rsid w:val="00CC4029"/>
    <w:rsid w:val="00CC421C"/>
    <w:rsid w:val="00CC539A"/>
    <w:rsid w:val="00CC6A05"/>
    <w:rsid w:val="00CE067F"/>
    <w:rsid w:val="00CE3998"/>
    <w:rsid w:val="00D15176"/>
    <w:rsid w:val="00D15995"/>
    <w:rsid w:val="00D3162D"/>
    <w:rsid w:val="00D41F6B"/>
    <w:rsid w:val="00D44136"/>
    <w:rsid w:val="00D57040"/>
    <w:rsid w:val="00D57432"/>
    <w:rsid w:val="00D60DD5"/>
    <w:rsid w:val="00D64434"/>
    <w:rsid w:val="00D654C1"/>
    <w:rsid w:val="00DB407F"/>
    <w:rsid w:val="00DC3CE2"/>
    <w:rsid w:val="00DC52E3"/>
    <w:rsid w:val="00DE0503"/>
    <w:rsid w:val="00DE4857"/>
    <w:rsid w:val="00DE4F9C"/>
    <w:rsid w:val="00DE5A27"/>
    <w:rsid w:val="00DF7C5D"/>
    <w:rsid w:val="00E033F4"/>
    <w:rsid w:val="00E10C3C"/>
    <w:rsid w:val="00E12B8C"/>
    <w:rsid w:val="00E319C3"/>
    <w:rsid w:val="00E31DF3"/>
    <w:rsid w:val="00E43CE2"/>
    <w:rsid w:val="00E44718"/>
    <w:rsid w:val="00E453AE"/>
    <w:rsid w:val="00E470E4"/>
    <w:rsid w:val="00E5103D"/>
    <w:rsid w:val="00E7471F"/>
    <w:rsid w:val="00E74D9B"/>
    <w:rsid w:val="00EB0FEA"/>
    <w:rsid w:val="00EC0D3C"/>
    <w:rsid w:val="00EC3770"/>
    <w:rsid w:val="00ED4801"/>
    <w:rsid w:val="00ED4AC3"/>
    <w:rsid w:val="00ED7018"/>
    <w:rsid w:val="00EE3240"/>
    <w:rsid w:val="00EE3DA3"/>
    <w:rsid w:val="00F173EE"/>
    <w:rsid w:val="00F242D9"/>
    <w:rsid w:val="00F256C2"/>
    <w:rsid w:val="00F30291"/>
    <w:rsid w:val="00F425C5"/>
    <w:rsid w:val="00F5292E"/>
    <w:rsid w:val="00F56EA6"/>
    <w:rsid w:val="00F83ED8"/>
    <w:rsid w:val="00F84E7C"/>
    <w:rsid w:val="00F96010"/>
    <w:rsid w:val="00FB0D6A"/>
    <w:rsid w:val="00FB5810"/>
    <w:rsid w:val="00FC2397"/>
    <w:rsid w:val="00FE0A4C"/>
    <w:rsid w:val="00FE203C"/>
    <w:rsid w:val="00FF19A5"/>
    <w:rsid w:val="00FF561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1BAE"/>
  <w15:chartTrackingRefBased/>
  <w15:docId w15:val="{B01A56C0-E812-4FB2-A017-2769581D9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391"/>
    <w:pPr>
      <w:spacing w:after="0" w:line="276" w:lineRule="auto"/>
      <w:ind w:firstLine="720"/>
      <w:jc w:val="both"/>
    </w:pPr>
    <w:rPr>
      <w:rFonts w:ascii="Times New Roman" w:hAnsi="Times New Roman"/>
    </w:rPr>
  </w:style>
  <w:style w:type="paragraph" w:styleId="Heading1">
    <w:name w:val="heading 1"/>
    <w:basedOn w:val="Normal"/>
    <w:next w:val="Normal"/>
    <w:link w:val="Heading1Char"/>
    <w:uiPriority w:val="9"/>
    <w:qFormat/>
    <w:rsid w:val="00EE3DA3"/>
    <w:pPr>
      <w:keepNext/>
      <w:keepLines/>
      <w:numPr>
        <w:numId w:val="1"/>
      </w:numPr>
      <w:spacing w:before="240"/>
      <w:ind w:left="-40" w:hanging="357"/>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E3DA3"/>
    <w:pPr>
      <w:keepNext/>
      <w:keepLines/>
      <w:numPr>
        <w:numId w:val="2"/>
      </w:numPr>
      <w:spacing w:before="120"/>
      <w:ind w:left="357" w:hanging="357"/>
      <w:jc w:val="left"/>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B135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5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5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5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5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5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5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A3"/>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EE3DA3"/>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B135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5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5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585"/>
    <w:rPr>
      <w:rFonts w:eastAsiaTheme="majorEastAsia" w:cstheme="majorBidi"/>
      <w:color w:val="272727" w:themeColor="text1" w:themeTint="D8"/>
    </w:rPr>
  </w:style>
  <w:style w:type="paragraph" w:styleId="Title">
    <w:name w:val="Title"/>
    <w:basedOn w:val="Normal"/>
    <w:next w:val="Normal"/>
    <w:link w:val="TitleChar"/>
    <w:uiPriority w:val="10"/>
    <w:qFormat/>
    <w:rsid w:val="00B13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58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585"/>
    <w:pPr>
      <w:spacing w:before="160"/>
      <w:jc w:val="center"/>
    </w:pPr>
    <w:rPr>
      <w:i/>
      <w:iCs/>
      <w:color w:val="404040" w:themeColor="text1" w:themeTint="BF"/>
    </w:rPr>
  </w:style>
  <w:style w:type="character" w:customStyle="1" w:styleId="QuoteChar">
    <w:name w:val="Quote Char"/>
    <w:basedOn w:val="DefaultParagraphFont"/>
    <w:link w:val="Quote"/>
    <w:uiPriority w:val="29"/>
    <w:rsid w:val="00B13585"/>
    <w:rPr>
      <w:i/>
      <w:iCs/>
      <w:color w:val="404040" w:themeColor="text1" w:themeTint="BF"/>
    </w:rPr>
  </w:style>
  <w:style w:type="paragraph" w:styleId="ListParagraph">
    <w:name w:val="List Paragraph"/>
    <w:basedOn w:val="Normal"/>
    <w:link w:val="ListParagraphChar"/>
    <w:uiPriority w:val="34"/>
    <w:qFormat/>
    <w:rsid w:val="00B13585"/>
    <w:pPr>
      <w:ind w:left="720"/>
      <w:contextualSpacing/>
    </w:pPr>
  </w:style>
  <w:style w:type="character" w:styleId="IntenseEmphasis">
    <w:name w:val="Intense Emphasis"/>
    <w:basedOn w:val="DefaultParagraphFont"/>
    <w:uiPriority w:val="21"/>
    <w:qFormat/>
    <w:rsid w:val="00B13585"/>
    <w:rPr>
      <w:i/>
      <w:iCs/>
      <w:color w:val="2F5496" w:themeColor="accent1" w:themeShade="BF"/>
    </w:rPr>
  </w:style>
  <w:style w:type="paragraph" w:styleId="IntenseQuote">
    <w:name w:val="Intense Quote"/>
    <w:basedOn w:val="Normal"/>
    <w:next w:val="Normal"/>
    <w:link w:val="IntenseQuoteChar"/>
    <w:uiPriority w:val="30"/>
    <w:qFormat/>
    <w:rsid w:val="00B13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585"/>
    <w:rPr>
      <w:i/>
      <w:iCs/>
      <w:color w:val="2F5496" w:themeColor="accent1" w:themeShade="BF"/>
    </w:rPr>
  </w:style>
  <w:style w:type="character" w:styleId="IntenseReference">
    <w:name w:val="Intense Reference"/>
    <w:basedOn w:val="DefaultParagraphFont"/>
    <w:uiPriority w:val="32"/>
    <w:qFormat/>
    <w:rsid w:val="00B13585"/>
    <w:rPr>
      <w:b/>
      <w:bCs/>
      <w:smallCaps/>
      <w:color w:val="2F5496" w:themeColor="accent1" w:themeShade="BF"/>
      <w:spacing w:val="5"/>
    </w:rPr>
  </w:style>
  <w:style w:type="table" w:styleId="TableGrid">
    <w:name w:val="Table Grid"/>
    <w:basedOn w:val="TableNormal"/>
    <w:uiPriority w:val="59"/>
    <w:rsid w:val="00585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60072"/>
    <w:pPr>
      <w:spacing w:after="200" w:line="240" w:lineRule="auto"/>
    </w:pPr>
    <w:rPr>
      <w:i/>
      <w:iCs/>
      <w:color w:val="44546A" w:themeColor="text2"/>
      <w:sz w:val="18"/>
      <w:szCs w:val="18"/>
    </w:rPr>
  </w:style>
  <w:style w:type="character" w:customStyle="1" w:styleId="ListParagraphChar">
    <w:name w:val="List Paragraph Char"/>
    <w:basedOn w:val="DefaultParagraphFont"/>
    <w:link w:val="ListParagraph"/>
    <w:uiPriority w:val="34"/>
    <w:rsid w:val="001168E9"/>
    <w:rPr>
      <w:rFonts w:ascii="Times New Roman" w:hAnsi="Times New Roman"/>
    </w:rPr>
  </w:style>
  <w:style w:type="table" w:styleId="LightList-Accent3">
    <w:name w:val="Light List Accent 3"/>
    <w:basedOn w:val="TableNormal"/>
    <w:uiPriority w:val="61"/>
    <w:rsid w:val="001168E9"/>
    <w:pPr>
      <w:spacing w:after="0" w:line="240" w:lineRule="auto"/>
    </w:pPr>
    <w:rPr>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isselectedend">
    <w:name w:val="isselectedend"/>
    <w:basedOn w:val="Normal"/>
    <w:rsid w:val="00FF19A5"/>
    <w:pPr>
      <w:spacing w:before="100" w:beforeAutospacing="1" w:after="100" w:afterAutospacing="1" w:line="240" w:lineRule="auto"/>
      <w:ind w:firstLine="0"/>
      <w:jc w:val="left"/>
    </w:pPr>
    <w:rPr>
      <w:rFonts w:eastAsia="Times New Roman" w:cs="Times New Roman"/>
      <w:kern w:val="0"/>
      <w:lang w:eastAsia="en-ID"/>
      <w14:ligatures w14:val="none"/>
    </w:rPr>
  </w:style>
  <w:style w:type="paragraph" w:styleId="NormalWeb">
    <w:name w:val="Normal (Web)"/>
    <w:basedOn w:val="Normal"/>
    <w:uiPriority w:val="99"/>
    <w:semiHidden/>
    <w:unhideWhenUsed/>
    <w:rsid w:val="00FF19A5"/>
    <w:pPr>
      <w:spacing w:before="100" w:beforeAutospacing="1" w:after="100" w:afterAutospacing="1" w:line="240" w:lineRule="auto"/>
      <w:ind w:firstLine="0"/>
      <w:jc w:val="left"/>
    </w:pPr>
    <w:rPr>
      <w:rFonts w:eastAsia="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EF279-E3CB-4F0C-ADF9-E387D482E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20</Pages>
  <Words>13047</Words>
  <Characters>74370</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S E R😁</dc:creator>
  <cp:keywords/>
  <dc:description/>
  <cp:lastModifiedBy>SAFAROTUL INDARI</cp:lastModifiedBy>
  <cp:revision>117</cp:revision>
  <dcterms:created xsi:type="dcterms:W3CDTF">2026-06-12T06:49:00Z</dcterms:created>
  <dcterms:modified xsi:type="dcterms:W3CDTF">2026-06-19T03:00:00Z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http://www.zotero.org/styles/chicago-notes-bibliography</vt:lpwstr>
  </property>
  <property fmtid="{D5CDD505-2E9C-101B-9397-08002B2CF9AE}" pid="5" name="Mendeley Recent Style Name 1_1">
    <vt:lpwstr>Chicago Manual of Style 18th edition (notes and bibliography)</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http://www.zotero.org/styles/institut-pertanian-bogor</vt:lpwstr>
  </property>
  <property fmtid="{D5CDD505-2E9C-101B-9397-08002B2CF9AE}" pid="13" name="Mendeley Recent Style Name 5_1">
    <vt:lpwstr>Institut Pertanian Bogor: Pedoman Penulisan Karya Ilmiah Edisi ke-3 (Bahasa Indonesia)</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http://www.zotero.org/styles/oscola-journal-abbreviations</vt:lpwstr>
  </property>
  <property fmtid="{D5CDD505-2E9C-101B-9397-08002B2CF9AE}" pid="17" name="Mendeley Recent Style Name 7_1">
    <vt:lpwstr>OSCOLA 4th edition (journal abbreviations)</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3d8709cd-a97f-34f6-92d6-0e9aebb48ed3</vt:lpwstr>
  </property>
  <property fmtid="{D5CDD505-2E9C-101B-9397-08002B2CF9AE}" pid="24" name="Mendeley Citation Style_1">
    <vt:lpwstr>http://www.zotero.org/styles/apa</vt:lpwstr>
  </property>
</Properties>
</file>