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D56F0B" w14:textId="77777777" w:rsidR="00082584" w:rsidRDefault="00000000">
      <w:pPr>
        <w:jc w:val="center"/>
      </w:pPr>
      <w:r>
        <w:rPr>
          <w:rFonts w:eastAsia="Times New Roman"/>
          <w:b/>
          <w:sz w:val="30"/>
        </w:rPr>
        <w:t>MicroRNAs in myocardial infarction: pathophysiological mechanisms, biomarker utility, and therapeutic targeting - a systematic review</w:t>
      </w:r>
    </w:p>
    <w:p w14:paraId="1511B9BD" w14:textId="77777777" w:rsidR="00082584" w:rsidRDefault="00000000">
      <w:pPr>
        <w:keepNext/>
        <w:spacing w:before="200"/>
      </w:pPr>
      <w:r>
        <w:rPr>
          <w:rFonts w:eastAsia="Times New Roman"/>
          <w:b/>
        </w:rPr>
        <w:t>Abstract</w:t>
      </w:r>
    </w:p>
    <w:p w14:paraId="640F38BC" w14:textId="77777777" w:rsidR="00082584" w:rsidRDefault="00000000">
      <w:pPr>
        <w:jc w:val="both"/>
      </w:pPr>
      <w:r>
        <w:rPr>
          <w:rFonts w:eastAsia="Times New Roman"/>
          <w:b/>
        </w:rPr>
        <w:t xml:space="preserve">Background: </w:t>
      </w:r>
      <w:r>
        <w:rPr>
          <w:rFonts w:eastAsia="Times New Roman"/>
        </w:rPr>
        <w:t>MicroRNAs (miRNAs) are short non-coding RNAs that post-transcriptionally regulate gene expression and have emerged as key epigenetic modulators of myocardial infarction (MI). This review synthesized evidence on specific miRNAs governing MI pathophysiology and their translational relevance.</w:t>
      </w:r>
    </w:p>
    <w:p w14:paraId="37008387" w14:textId="77777777" w:rsidR="00082584" w:rsidRDefault="00000000">
      <w:pPr>
        <w:jc w:val="both"/>
      </w:pPr>
      <w:r>
        <w:rPr>
          <w:rFonts w:eastAsia="Times New Roman"/>
          <w:b/>
        </w:rPr>
        <w:t xml:space="preserve">Methods: </w:t>
      </w:r>
      <w:r>
        <w:rPr>
          <w:rFonts w:eastAsia="Times New Roman"/>
        </w:rPr>
        <w:t>Four databases (PubMed, Scopus, Web of Science, and the Cochrane Library) were searched for studies published between 2015 and 2025, following PRISMA 2020. Human observational and experimental (animal or cardiomyocyte) studies reporting miRNA dysregulation and MI-related pathophysiological outcomes were included. Risk of bias was appraised using the Newcastle-Ottawa Scale, SYRCLE, and QUIPS tools.</w:t>
      </w:r>
    </w:p>
    <w:p w14:paraId="29C295DB" w14:textId="77777777" w:rsidR="00082584" w:rsidRDefault="00000000">
      <w:pPr>
        <w:jc w:val="both"/>
      </w:pPr>
      <w:r>
        <w:rPr>
          <w:rFonts w:eastAsia="Times New Roman"/>
          <w:b/>
        </w:rPr>
        <w:t xml:space="preserve">Results: </w:t>
      </w:r>
      <w:r>
        <w:rPr>
          <w:rFonts w:eastAsia="Times New Roman"/>
        </w:rPr>
        <w:t>Twelve studies (5 human; 1,112 participants; 7 experimental) examining 11 miRNA entities were included. Circulating miR-499, miR-1, and miR-208a were up-regulated in MI and discriminated cases from controls with areas under the curve of 0.86, 0.863, and above 0.9, correlating with troponin and CK-MB (r = 0.488 to 0.495). A three-miRNA panel predicted 1-year major adverse cardiac events (AUC 0.865; event rate 18%). Experimentally, miR-208a and miR-34a promoted cardiomyocyte apoptosis, whereas down-regulated miR-133a was protective; miR-21 drove fibrosis through Smad7 and Jagged1; and miR-126 promoted angiogenesis via HIF-1α. Silencing miR-208a increased ejection fraction from 53.4% to 71.0% at 28 days.</w:t>
      </w:r>
    </w:p>
    <w:p w14:paraId="28FBB4CC" w14:textId="77777777" w:rsidR="00082584" w:rsidRDefault="00000000">
      <w:pPr>
        <w:jc w:val="both"/>
      </w:pPr>
      <w:r>
        <w:rPr>
          <w:rFonts w:eastAsia="Times New Roman"/>
          <w:b/>
        </w:rPr>
        <w:t xml:space="preserve">Conclusion: </w:t>
      </w:r>
      <w:r>
        <w:rPr>
          <w:rFonts w:eastAsia="Times New Roman"/>
        </w:rPr>
        <w:t>Distinct miRNAs orchestrate apoptosis, fibrosis, angiogenesis, and ischemia-reperfusion injury in MI and show diagnostic, prognostic, and therapeutic-targeting potential. The evidence is limited by small samples, unclear blinding, and publication-integrity concerns, warranting cautious interpretation.</w:t>
      </w:r>
    </w:p>
    <w:p w14:paraId="5B53BF76" w14:textId="77777777" w:rsidR="00082584" w:rsidRDefault="00000000">
      <w:pPr>
        <w:jc w:val="both"/>
      </w:pPr>
      <w:r>
        <w:rPr>
          <w:rFonts w:eastAsia="Times New Roman"/>
          <w:b/>
        </w:rPr>
        <w:lastRenderedPageBreak/>
        <w:t xml:space="preserve">Keywords: </w:t>
      </w:r>
      <w:r>
        <w:rPr>
          <w:rFonts w:eastAsia="Times New Roman"/>
        </w:rPr>
        <w:t>apoptosis; biomarkers; microRNAs; myocardial infarction; pharmacology.</w:t>
      </w:r>
    </w:p>
    <w:p w14:paraId="36E50B67" w14:textId="77777777" w:rsidR="00082584" w:rsidRDefault="00000000">
      <w:pPr>
        <w:keepNext/>
        <w:spacing w:before="200"/>
      </w:pPr>
      <w:r>
        <w:rPr>
          <w:rFonts w:eastAsia="Times New Roman"/>
          <w:b/>
        </w:rPr>
        <w:t>Introduction</w:t>
      </w:r>
    </w:p>
    <w:p w14:paraId="0BF339B9" w14:textId="77777777" w:rsidR="00082584" w:rsidRDefault="00000000">
      <w:pPr>
        <w:ind w:firstLine="357"/>
        <w:jc w:val="both"/>
      </w:pPr>
      <w:r>
        <w:rPr>
          <w:rFonts w:eastAsia="Times New Roman"/>
        </w:rPr>
        <w:t>Myocardial infarction (MI) remains the single largest contributor to cardiovascular mortality, and ischemic heart disease accounted for the greatest share of the 19.8 million cardiovascular deaths recorded worldwide in 2022.</w:t>
      </w:r>
      <w:r>
        <w:rPr>
          <w:rFonts w:eastAsia="Times New Roman"/>
          <w:sz w:val="17"/>
          <w:vertAlign w:val="superscript"/>
        </w:rPr>
        <w:t>1</w:t>
      </w:r>
      <w:r>
        <w:rPr>
          <w:rFonts w:eastAsia="Times New Roman"/>
        </w:rPr>
        <w:t xml:space="preserve"> MI is defined as cardiomyocyte necrosis in the setting of acute myocardial ischemia, identified by a rising cardiac troponin pattern together with supporting clinical evidence; troponin is highly sensitive but rises with a delay and conveys little mechanistic information about the downstream injury.</w:t>
      </w:r>
      <w:r>
        <w:rPr>
          <w:rFonts w:eastAsia="Times New Roman"/>
          <w:sz w:val="17"/>
          <w:vertAlign w:val="superscript"/>
        </w:rPr>
        <w:t>2</w:t>
      </w:r>
      <w:r>
        <w:rPr>
          <w:rFonts w:eastAsia="Times New Roman"/>
        </w:rPr>
        <w:t xml:space="preserve"> Although reperfusion has transformed outcomes, the abrupt restoration of flow itself injures the myocardium, and the ensuing cascade of cardiomyocyte apoptosis, interstitial fibrosis, impaired angiogenesis, and adverse ventricular remodeling dictates infarct size and the progression to heart failure.</w:t>
      </w:r>
      <w:r>
        <w:rPr>
          <w:rFonts w:eastAsia="Times New Roman"/>
          <w:sz w:val="17"/>
          <w:vertAlign w:val="superscript"/>
        </w:rPr>
        <w:t>3</w:t>
      </w:r>
      <w:r>
        <w:rPr>
          <w:rFonts w:eastAsia="Times New Roman"/>
        </w:rPr>
        <w:t xml:space="preserve"> These programs are increasingly recognised to be governed not only by the genome but by epigenetic regulation.</w:t>
      </w:r>
      <w:r>
        <w:rPr>
          <w:rFonts w:eastAsia="Times New Roman"/>
          <w:sz w:val="17"/>
          <w:vertAlign w:val="superscript"/>
        </w:rPr>
        <w:t>4</w:t>
      </w:r>
    </w:p>
    <w:p w14:paraId="0CFA36BE" w14:textId="77777777" w:rsidR="00082584" w:rsidRDefault="00000000">
      <w:pPr>
        <w:ind w:firstLine="357"/>
        <w:jc w:val="both"/>
      </w:pPr>
      <w:r>
        <w:rPr>
          <w:rFonts w:eastAsia="Times New Roman"/>
        </w:rPr>
        <w:t>MicroRNAs (miRNAs) are endogenous, approximately 22-nucleotide non-coding RNAs that bind target messenger RNAs to repress translation or direct their degradation, allowing a single miRNA to coordinate entire pathophysiological programs.</w:t>
      </w:r>
      <w:r>
        <w:rPr>
          <w:rFonts w:eastAsia="Times New Roman"/>
          <w:sz w:val="17"/>
          <w:vertAlign w:val="superscript"/>
        </w:rPr>
        <w:t>5</w:t>
      </w:r>
      <w:r>
        <w:rPr>
          <w:rFonts w:eastAsia="Times New Roman"/>
        </w:rPr>
        <w:t xml:space="preserve"> In the cardiovascular system, tissue-enriched miRNAs regulate cardiac development, conduction, and the response to ischemic stress, and their dysregulation has been linked to virtually every form of heart disease.</w:t>
      </w:r>
      <w:r>
        <w:rPr>
          <w:rFonts w:eastAsia="Times New Roman"/>
          <w:sz w:val="17"/>
          <w:vertAlign w:val="superscript"/>
        </w:rPr>
        <w:t>6</w:t>
      </w:r>
      <w:r>
        <w:rPr>
          <w:rFonts w:eastAsia="Times New Roman"/>
        </w:rPr>
        <w:t xml:space="preserve"> Among them, the muscle-enriched miR-1 and miR-133, the cardiac-specific miR-208 and miR-499, the pro-fibrotic miR-21, and the angiogenic miR-126 recur most consistently in ischemic myocardium. Because miRNAs are released into the circulation in a remarkably stable, protease-resistant form, they have also attracted attention as accessible biomarkers of myocardial injury.</w:t>
      </w:r>
      <w:r>
        <w:rPr>
          <w:rFonts w:eastAsia="Times New Roman"/>
          <w:sz w:val="17"/>
          <w:vertAlign w:val="superscript"/>
        </w:rPr>
        <w:t>7</w:t>
      </w:r>
      <w:r>
        <w:rPr>
          <w:rFonts w:eastAsia="Times New Roman"/>
        </w:rPr>
        <w:t xml:space="preserve"> Yet the specific miRNAs that drive each distinct MI pathophysiological domain remain dispersed across the heterogeneous clinical and experimental literature, with no single consolidated synthesis.</w:t>
      </w:r>
    </w:p>
    <w:p w14:paraId="7612C3E7" w14:textId="77777777" w:rsidR="00082584" w:rsidRDefault="00000000">
      <w:pPr>
        <w:ind w:firstLine="357"/>
        <w:jc w:val="both"/>
      </w:pPr>
      <w:r>
        <w:rPr>
          <w:rFonts w:eastAsia="Times New Roman"/>
        </w:rPr>
        <w:t xml:space="preserve">This systematic review aimed to synthesize human and experimental evidence on the role of specific microRNAs as epigenetic regulators in the pathophysiology of myocardial infarction, </w:t>
      </w:r>
      <w:r>
        <w:rPr>
          <w:rFonts w:eastAsia="Times New Roman"/>
        </w:rPr>
        <w:lastRenderedPageBreak/>
        <w:t>focusing on cardiomyocyte apoptosis, fibrosis, remodeling, angiogenesis, ischemia-reperfusion injury, and their diagnostic and prognostic correlates.</w:t>
      </w:r>
    </w:p>
    <w:p w14:paraId="48F26D8D" w14:textId="77777777" w:rsidR="00082584" w:rsidRDefault="00000000">
      <w:pPr>
        <w:keepNext/>
        <w:spacing w:before="200"/>
      </w:pPr>
      <w:r>
        <w:rPr>
          <w:rFonts w:eastAsia="Times New Roman"/>
          <w:b/>
        </w:rPr>
        <w:t>Methods</w:t>
      </w:r>
    </w:p>
    <w:p w14:paraId="1761A526" w14:textId="77777777" w:rsidR="00082584" w:rsidRDefault="00000000">
      <w:pPr>
        <w:keepNext/>
        <w:spacing w:before="200"/>
      </w:pPr>
      <w:r>
        <w:rPr>
          <w:rFonts w:eastAsia="Times New Roman"/>
          <w:b/>
        </w:rPr>
        <w:t>Protocol and reporting</w:t>
      </w:r>
    </w:p>
    <w:p w14:paraId="18095E00" w14:textId="77777777" w:rsidR="00082584" w:rsidRDefault="00000000">
      <w:pPr>
        <w:ind w:firstLine="357"/>
        <w:jc w:val="both"/>
      </w:pPr>
      <w:r>
        <w:rPr>
          <w:rFonts w:eastAsia="Times New Roman"/>
        </w:rPr>
        <w:t>This systematic review was conducted and reported in accordance with the Preferred Reporting Items for Systematic Reviews and Meta-Analyses (PRISMA) 2020 statement.</w:t>
      </w:r>
      <w:r>
        <w:rPr>
          <w:rFonts w:eastAsia="Times New Roman"/>
          <w:sz w:val="17"/>
          <w:vertAlign w:val="superscript"/>
        </w:rPr>
        <w:t>8</w:t>
      </w:r>
      <w:r>
        <w:rPr>
          <w:rFonts w:eastAsia="Times New Roman"/>
        </w:rPr>
        <w:t xml:space="preserve"> The review question was framed with the PECO structure (Population, Exposure, Comparison, Outcome). A review protocol was defined a priori; the review was not registered.</w:t>
      </w:r>
    </w:p>
    <w:p w14:paraId="3A67EC82" w14:textId="77777777" w:rsidR="00082584" w:rsidRDefault="00000000">
      <w:pPr>
        <w:keepNext/>
        <w:spacing w:before="200"/>
      </w:pPr>
      <w:r>
        <w:rPr>
          <w:rFonts w:eastAsia="Times New Roman"/>
          <w:b/>
        </w:rPr>
        <w:t>Eligibility criteria</w:t>
      </w:r>
    </w:p>
    <w:p w14:paraId="3FE90E25" w14:textId="77777777" w:rsidR="00082584" w:rsidRDefault="00000000">
      <w:pPr>
        <w:ind w:firstLine="357"/>
        <w:jc w:val="both"/>
      </w:pPr>
      <w:r>
        <w:rPr>
          <w:rFonts w:eastAsia="Times New Roman"/>
        </w:rPr>
        <w:t>Eligible studies examined microRNA expression or modulation in myocardial infarction. The population comprised patients with acute MI (STEMI, NSTEMI, or acute coronary syndrome) or suspected MI presenting with chest pain, and experimental MI models, namely rodent coronary-ligation or ischemia-reperfusion models and cardiomyocyte or endothelial cells under ischemia or hypoxia. The exposure was dysregulated miRNA expression (up- or down-regulation), including experimental gain-of-function (mimic or agomir) or loss-of-function (antagomir, sponge, or inhibitor) manipulation. Comparators were healthy controls, non-MI patients, sham-operated animals, or scrambled or negative-control transfection. Outcomes were MI-related pathophysiological processes (apoptosis, fibrosis, remodeling, ischemia-reperfusion injury, angiogenesis, inflammation) and related endpoints (infarct size, left-ventricular ejection fraction, major adverse cardiac events, and correlation with troponin or CK-MB). Only original studies published in English between 2015 and 2025 were included; reviews, editorials, and conference abstracts were excluded.</w:t>
      </w:r>
    </w:p>
    <w:p w14:paraId="6AD06FE4" w14:textId="77777777" w:rsidR="00082584" w:rsidRDefault="00000000">
      <w:pPr>
        <w:keepNext/>
        <w:spacing w:before="200"/>
      </w:pPr>
      <w:r>
        <w:rPr>
          <w:rFonts w:eastAsia="Times New Roman"/>
          <w:b/>
        </w:rPr>
        <w:t>Information sources and search strategy</w:t>
      </w:r>
    </w:p>
    <w:p w14:paraId="59615E7C" w14:textId="77777777" w:rsidR="00082584" w:rsidRDefault="00000000">
      <w:pPr>
        <w:ind w:firstLine="357"/>
        <w:jc w:val="both"/>
      </w:pPr>
      <w:r>
        <w:rPr>
          <w:rFonts w:eastAsia="Times New Roman"/>
        </w:rPr>
        <w:t xml:space="preserve">Four electronic databases (PubMed, Scopus, Web of Science, and the Cochrane Library) were searched from 2015 to 2025. The search combined controlled vocabulary and free-text terms for </w:t>
      </w:r>
      <w:r>
        <w:rPr>
          <w:rFonts w:eastAsia="Times New Roman"/>
        </w:rPr>
        <w:lastRenderedPageBreak/>
        <w:t>microRNAs, myocardial infarction, and pathophysiological processes using Boolean operators. The detailed search documentation is provided in Additional file 1.</w:t>
      </w:r>
    </w:p>
    <w:p w14:paraId="0772A12E" w14:textId="77777777" w:rsidR="00082584" w:rsidRDefault="00000000">
      <w:pPr>
        <w:keepNext/>
        <w:spacing w:before="200"/>
      </w:pPr>
      <w:r>
        <w:rPr>
          <w:rFonts w:eastAsia="Times New Roman"/>
          <w:b/>
        </w:rPr>
        <w:t>Study selection and data extraction</w:t>
      </w:r>
    </w:p>
    <w:p w14:paraId="539E04ED" w14:textId="77777777" w:rsidR="00082584" w:rsidRDefault="00000000">
      <w:pPr>
        <w:ind w:firstLine="357"/>
        <w:jc w:val="both"/>
      </w:pPr>
      <w:r>
        <w:rPr>
          <w:rFonts w:eastAsia="Times New Roman"/>
        </w:rPr>
        <w:t>Records were de-duplicated and screened by title and abstract against the eligibility criteria, after which full texts were assessed and the selection summarised in a PRISMA flow diagram (Figure 1). For each included study, data on authors, year, country, design, population or model, sample size, the miRNA studied and its direction of regulation, MI subtype or model, exposure or intervention, comparator, molecular target or pathway, pathophysiological domain, and quantitative outcomes were extracted into a standardised form.</w:t>
      </w:r>
    </w:p>
    <w:p w14:paraId="702FE02C" w14:textId="77777777" w:rsidR="00082584" w:rsidRDefault="00000000">
      <w:pPr>
        <w:keepNext/>
        <w:spacing w:before="200"/>
      </w:pPr>
      <w:r>
        <w:rPr>
          <w:rFonts w:eastAsia="Times New Roman"/>
          <w:b/>
        </w:rPr>
        <w:t>Risk-of-bias assessment</w:t>
      </w:r>
    </w:p>
    <w:p w14:paraId="77B7DD49" w14:textId="77777777" w:rsidR="00082584" w:rsidRDefault="00000000">
      <w:pPr>
        <w:ind w:firstLine="357"/>
        <w:jc w:val="both"/>
      </w:pPr>
      <w:r>
        <w:rPr>
          <w:rFonts w:eastAsia="Times New Roman"/>
        </w:rPr>
        <w:t>Methodological quality was appraised with design-specific tools. Human case-control and cohort studies were assessed with the Newcastle-Ottawa Scale,</w:t>
      </w:r>
      <w:r>
        <w:rPr>
          <w:rFonts w:eastAsia="Times New Roman"/>
          <w:sz w:val="17"/>
          <w:vertAlign w:val="superscript"/>
        </w:rPr>
        <w:t>9</w:t>
      </w:r>
      <w:r>
        <w:rPr>
          <w:rFonts w:eastAsia="Times New Roman"/>
        </w:rPr>
        <w:t xml:space="preserve"> experimental animal and in-vitro studies with the SYRCLE risk-of-bias tool,</w:t>
      </w:r>
      <w:r>
        <w:rPr>
          <w:rFonts w:eastAsia="Times New Roman"/>
          <w:sz w:val="17"/>
          <w:vertAlign w:val="superscript"/>
        </w:rPr>
        <w:t>10</w:t>
      </w:r>
      <w:r>
        <w:rPr>
          <w:rFonts w:eastAsia="Times New Roman"/>
        </w:rPr>
        <w:t xml:space="preserve"> and the prognostic-factor cohort with the Quality In Prognosis Studies (QUIPS) tool.</w:t>
      </w:r>
      <w:r>
        <w:rPr>
          <w:rFonts w:eastAsia="Times New Roman"/>
          <w:sz w:val="17"/>
          <w:vertAlign w:val="superscript"/>
        </w:rPr>
        <w:t>11</w:t>
      </w:r>
      <w:r>
        <w:rPr>
          <w:rFonts w:eastAsia="Times New Roman"/>
        </w:rPr>
        <w:t xml:space="preserve"> Publication-integrity concerns were recorded separately from internal-validity judgements.</w:t>
      </w:r>
    </w:p>
    <w:p w14:paraId="63B12989" w14:textId="77777777" w:rsidR="00082584" w:rsidRDefault="00000000">
      <w:pPr>
        <w:keepNext/>
        <w:spacing w:before="200"/>
      </w:pPr>
      <w:r>
        <w:rPr>
          <w:rFonts w:eastAsia="Times New Roman"/>
          <w:b/>
        </w:rPr>
        <w:t>Data synthesis</w:t>
      </w:r>
    </w:p>
    <w:p w14:paraId="1E935BE4" w14:textId="77777777" w:rsidR="00082584" w:rsidRDefault="00000000">
      <w:pPr>
        <w:ind w:firstLine="357"/>
        <w:jc w:val="both"/>
      </w:pPr>
      <w:r>
        <w:rPr>
          <w:rFonts w:eastAsia="Times New Roman"/>
        </w:rPr>
        <w:t>Because of substantial heterogeneity in populations, models, miRNA assays, and outcome measures, a quantitative meta-analysis was not appropriate; findings were synthesized narratively and grouped by pathophysiological domain.</w:t>
      </w:r>
    </w:p>
    <w:p w14:paraId="1638FB9E" w14:textId="77777777" w:rsidR="00082584" w:rsidRDefault="00000000">
      <w:pPr>
        <w:keepNext/>
        <w:spacing w:before="200"/>
      </w:pPr>
      <w:r>
        <w:rPr>
          <w:rFonts w:eastAsia="Times New Roman"/>
          <w:b/>
        </w:rPr>
        <w:t>Results</w:t>
      </w:r>
    </w:p>
    <w:p w14:paraId="2319A24F" w14:textId="77777777" w:rsidR="00082584" w:rsidRDefault="00000000">
      <w:pPr>
        <w:keepNext/>
        <w:spacing w:before="200"/>
      </w:pPr>
      <w:r>
        <w:rPr>
          <w:rFonts w:eastAsia="Times New Roman"/>
          <w:b/>
        </w:rPr>
        <w:t>Study selection</w:t>
      </w:r>
    </w:p>
    <w:p w14:paraId="2974763C" w14:textId="77777777" w:rsidR="00082584" w:rsidRDefault="00000000">
      <w:pPr>
        <w:ind w:firstLine="357"/>
        <w:jc w:val="both"/>
      </w:pPr>
      <w:r>
        <w:rPr>
          <w:rFonts w:eastAsia="Times New Roman"/>
        </w:rPr>
        <w:t xml:space="preserve">The four databases yielded 5,207 records (PubMed 1,121; Scopus 1,662; Web of Science 2,402; Cochrane Library 22). After 2,222 duplicates were removed, 2,985 records were screened by title and </w:t>
      </w:r>
      <w:r>
        <w:rPr>
          <w:rFonts w:eastAsia="Times New Roman"/>
        </w:rPr>
        <w:lastRenderedPageBreak/>
        <w:t>abstract, of which 2,898 were excluded. Of 87 reports sought for retrieval, 9 could not be obtained, leaving 78 assessed in full text; 66 were excluded (Figure 1). Twelve studies met the eligibility criteria, comprising 5 human observational studies (1,112 participants) and 7 experimental in vivo and in vitro studies.</w:t>
      </w:r>
    </w:p>
    <w:p w14:paraId="73E8A4D9" w14:textId="77777777" w:rsidR="00082584" w:rsidRDefault="00000000">
      <w:pPr>
        <w:keepNext/>
        <w:spacing w:before="200"/>
      </w:pPr>
      <w:r>
        <w:rPr>
          <w:rFonts w:eastAsia="Times New Roman"/>
          <w:b/>
        </w:rPr>
        <w:t>Characteristics of the included studies</w:t>
      </w:r>
    </w:p>
    <w:p w14:paraId="3F091CDB" w14:textId="77777777" w:rsidR="00082584" w:rsidRDefault="00000000">
      <w:pPr>
        <w:ind w:firstLine="357"/>
        <w:jc w:val="both"/>
      </w:pPr>
      <w:r>
        <w:rPr>
          <w:rFonts w:eastAsia="Times New Roman"/>
        </w:rPr>
        <w:t>The 12 studies were published between 2015 and 2022; 11 were conducted in China and 1 in Romania. Five were human observational studies, enrolling 1,112 participants with reported mean or median ages of 44.7 to 68 years.</w:t>
      </w:r>
      <w:r>
        <w:rPr>
          <w:rFonts w:eastAsia="Times New Roman"/>
          <w:sz w:val="17"/>
          <w:vertAlign w:val="superscript"/>
        </w:rPr>
        <w:t>12-16</w:t>
      </w:r>
      <w:r>
        <w:rPr>
          <w:rFonts w:eastAsia="Times New Roman"/>
        </w:rPr>
        <w:t xml:space="preserve"> Seven were experimental in vivo and in vitro studies using rodent coronary-ligation or ischemia-reperfusion models with parallel cardiomyocyte or endothelial-cell work.</w:t>
      </w:r>
      <w:r>
        <w:rPr>
          <w:rFonts w:eastAsia="Times New Roman"/>
          <w:sz w:val="17"/>
          <w:vertAlign w:val="superscript"/>
        </w:rPr>
        <w:t>17-23</w:t>
      </w:r>
      <w:r>
        <w:rPr>
          <w:rFonts w:eastAsia="Times New Roman"/>
        </w:rPr>
        <w:t xml:space="preserve"> Eleven miRNA entities were reported, including miR-21 and miR-21-5p as separate assays; 10 were up-regulated in MI, and miR-133a was down-regulated. The most frequently studied miRNA species/families were miR-21, miR-126, and miR-208a (2 studies each). All studies quantified miRNA by qRT-PCR (Table 1).</w:t>
      </w:r>
    </w:p>
    <w:p w14:paraId="5BA4D97F" w14:textId="77777777" w:rsidR="00082584" w:rsidRDefault="00000000">
      <w:pPr>
        <w:keepNext/>
        <w:spacing w:before="200"/>
      </w:pPr>
      <w:r>
        <w:rPr>
          <w:rFonts w:eastAsia="Times New Roman"/>
          <w:b/>
        </w:rPr>
        <w:t>Risk of bias</w:t>
      </w:r>
    </w:p>
    <w:p w14:paraId="5E38B21B" w14:textId="77777777" w:rsidR="00082584" w:rsidRDefault="00000000">
      <w:pPr>
        <w:ind w:firstLine="357"/>
        <w:jc w:val="both"/>
      </w:pPr>
      <w:r>
        <w:rPr>
          <w:rFonts w:eastAsia="Times New Roman"/>
        </w:rPr>
        <w:t>Among the 7 experimental studies, 3 were judged at high risk of bias and 4 raised some concerns, driven mainly by unreported allocation concealment, random housing, and blinding (Figure 3). Of the 5 human studies, the prospective miR-1 cohort scored 7/9 on the Newcastle-Ottawa Scale (lowest risk), 3 case-control studies scored 6/9, and the prognostic-panel study was rated high risk on QUIPS owing to a small sample with 6 candidate predictors. Three studies appeared in journals with a documented retraction history, and 2 reported statistically implausible accuracy (area under the curve above 0.9 and a C-statistic of 0.977); these were recorded as publication-integrity concerns separate from internal-validity judgments.</w:t>
      </w:r>
    </w:p>
    <w:p w14:paraId="40158EE6" w14:textId="77777777" w:rsidR="00082584" w:rsidRDefault="00000000">
      <w:pPr>
        <w:keepNext/>
        <w:spacing w:before="200"/>
      </w:pPr>
      <w:r>
        <w:rPr>
          <w:rFonts w:eastAsia="Times New Roman"/>
          <w:b/>
        </w:rPr>
        <w:lastRenderedPageBreak/>
        <w:t>Cardiomyocyte apoptosis</w:t>
      </w:r>
    </w:p>
    <w:p w14:paraId="1617E646" w14:textId="77777777" w:rsidR="00082584" w:rsidRDefault="00000000">
      <w:pPr>
        <w:ind w:firstLine="357"/>
        <w:jc w:val="both"/>
      </w:pPr>
      <w:r>
        <w:rPr>
          <w:rFonts w:eastAsia="Times New Roman"/>
        </w:rPr>
        <w:t>Three experimental studies addressed apoptosis. Tony et al. showed that miR-208a was up-regulated during ischemia and that its agomir increased, while its antagomir reduced, TUNEL-positive apoptosis; 28 days after MI, antagomir-treated mice had a higher left-ventricular ejection fraction than controls (71.0 +/- 5.60% vs 53.4 +/- 8.79%; sham 82.6 +/- 2.3%) and greater fractional shortening (35.0 +/- 4.2% vs 23.6 +/- 4.72%; all p &lt; 0.05), with less fibrosis and hypertrophy, involving altered Bax and caspase-8 expression.</w:t>
      </w:r>
      <w:r>
        <w:rPr>
          <w:rFonts w:eastAsia="Times New Roman"/>
          <w:sz w:val="17"/>
          <w:vertAlign w:val="superscript"/>
        </w:rPr>
        <w:t>17</w:t>
      </w:r>
      <w:r>
        <w:rPr>
          <w:rFonts w:eastAsia="Times New Roman"/>
        </w:rPr>
        <w:t xml:space="preserve"> By contrast, miR-133a fell after hypoxia-reoxygenation and ischemia-reperfusion, and its overexpression lowered the cardiomyocyte apoptosis rate by directly targeting DAPK2, whose luciferase signal decreased by roughly 50%.</w:t>
      </w:r>
      <w:r>
        <w:rPr>
          <w:rFonts w:eastAsia="Times New Roman"/>
          <w:sz w:val="17"/>
          <w:vertAlign w:val="superscript"/>
        </w:rPr>
        <w:t>18</w:t>
      </w:r>
      <w:r>
        <w:rPr>
          <w:rFonts w:eastAsia="Times New Roman"/>
        </w:rPr>
        <w:t xml:space="preserve"> Pan et al. found miR-34a up-regulated after coronary ligation; mimic transfection increased and inhibitor transfection decreased apoptosis, the myocardial Bcl-2/Bax ratio declined while caspase-3 rose, and Notch1 was confirmed as a direct target (all p &lt; 0.05).</w:t>
      </w:r>
      <w:r>
        <w:rPr>
          <w:rFonts w:eastAsia="Times New Roman"/>
          <w:sz w:val="17"/>
          <w:vertAlign w:val="superscript"/>
        </w:rPr>
        <w:t>19</w:t>
      </w:r>
    </w:p>
    <w:p w14:paraId="2DE9C14E" w14:textId="77777777" w:rsidR="00082584" w:rsidRDefault="00000000">
      <w:pPr>
        <w:keepNext/>
        <w:spacing w:before="200"/>
      </w:pPr>
      <w:r>
        <w:rPr>
          <w:rFonts w:eastAsia="Times New Roman"/>
          <w:b/>
        </w:rPr>
        <w:t>Myocardial fibrosis and remodeling</w:t>
      </w:r>
    </w:p>
    <w:p w14:paraId="7BA997D0" w14:textId="77777777" w:rsidR="00082584" w:rsidRDefault="00000000">
      <w:pPr>
        <w:ind w:firstLine="357"/>
        <w:jc w:val="both"/>
      </w:pPr>
      <w:r>
        <w:rPr>
          <w:rFonts w:eastAsia="Times New Roman"/>
        </w:rPr>
        <w:t>Two studies implicated miR-21 in post-infarction fibrosis. Yuan et al. reported that miR-21 was markedly elevated in the infarct zone, where mimic transfection activated cardiac fibroblasts and increased collagen I and α-smooth muscle actin, whereas inhibition reversed these changes; miR-21 acted by directly suppressing Smad7 within TGF-β1 signaling (p &lt; 0.05).</w:t>
      </w:r>
      <w:r>
        <w:rPr>
          <w:rFonts w:eastAsia="Times New Roman"/>
          <w:sz w:val="17"/>
          <w:vertAlign w:val="superscript"/>
        </w:rPr>
        <w:t>20</w:t>
      </w:r>
      <w:r>
        <w:rPr>
          <w:rFonts w:eastAsia="Times New Roman"/>
        </w:rPr>
        <w:t xml:space="preserve"> Zhou et al. showed that an miR-21 sponge reduced myocardial fibrosis and the fibroblast-to-myofibroblast transformation markers α-smooth muscle actin and tensin, and improved cardiac function, by relieving repression of Jagged1 (p &lt; 0.05).</w:t>
      </w:r>
      <w:r>
        <w:rPr>
          <w:rFonts w:eastAsia="Times New Roman"/>
          <w:sz w:val="17"/>
          <w:vertAlign w:val="superscript"/>
        </w:rPr>
        <w:t>21</w:t>
      </w:r>
      <w:r>
        <w:rPr>
          <w:rFonts w:eastAsia="Times New Roman"/>
        </w:rPr>
        <w:t xml:space="preserve"> Consistent with a remodeling role, silencing miR-208a likewise attenuated interstitial fibrosis and hypertrophy 28 days after infarction.</w:t>
      </w:r>
      <w:r>
        <w:rPr>
          <w:rFonts w:eastAsia="Times New Roman"/>
          <w:sz w:val="17"/>
          <w:vertAlign w:val="superscript"/>
        </w:rPr>
        <w:t>17</w:t>
      </w:r>
    </w:p>
    <w:p w14:paraId="3431F588" w14:textId="77777777" w:rsidR="00082584" w:rsidRDefault="00000000">
      <w:pPr>
        <w:keepNext/>
        <w:spacing w:before="200"/>
      </w:pPr>
      <w:r>
        <w:rPr>
          <w:rFonts w:eastAsia="Times New Roman"/>
          <w:b/>
        </w:rPr>
        <w:t>Angiogenesis</w:t>
      </w:r>
    </w:p>
    <w:p w14:paraId="7BA53CB1" w14:textId="77777777" w:rsidR="00082584" w:rsidRDefault="00000000">
      <w:pPr>
        <w:ind w:firstLine="357"/>
        <w:jc w:val="both"/>
      </w:pPr>
      <w:r>
        <w:rPr>
          <w:rFonts w:eastAsia="Times New Roman"/>
        </w:rPr>
        <w:t xml:space="preserve">Two studies examined miR-126-driven angiogenesis. In exercise-trained MI rats, Song et al. found that HIF-1α up-regulated miR-126, increasing PCNA-positive/vWF-positive neovessels and reducing collagen volume fraction, with higher left-ventricular systolic pressure and lower end-diastolic </w:t>
      </w:r>
      <w:r>
        <w:rPr>
          <w:rFonts w:eastAsia="Times New Roman"/>
        </w:rPr>
        <w:lastRenderedPageBreak/>
        <w:t>pressure (p &lt; 0.01); the HIF-1α inhibitor 2ME2 abolished these gains, and miR-126 acted through PIK3R2 and SPRED1 on the PI3K/AKT/eNOS axis.</w:t>
      </w:r>
      <w:r>
        <w:rPr>
          <w:rFonts w:eastAsia="Times New Roman"/>
          <w:sz w:val="17"/>
          <w:vertAlign w:val="superscript"/>
        </w:rPr>
        <w:t>22</w:t>
      </w:r>
      <w:r>
        <w:rPr>
          <w:rFonts w:eastAsia="Times New Roman"/>
        </w:rPr>
        <w:t xml:space="preserve"> Gao et al. confirmed that miR-126 was highly expressed in ischemic myocardium, where a mimic increased VEGF, CD34, and endothelial tube formation while an inhibitor suppressed them; infarction reduced ejection fraction and fractional shortening and enlarged left-ventricular internal diameters (p &lt; 0.01).</w:t>
      </w:r>
      <w:r>
        <w:rPr>
          <w:rFonts w:eastAsia="Times New Roman"/>
          <w:sz w:val="17"/>
          <w:vertAlign w:val="superscript"/>
        </w:rPr>
        <w:t>23</w:t>
      </w:r>
    </w:p>
    <w:p w14:paraId="0D164DC9" w14:textId="77777777" w:rsidR="00082584" w:rsidRDefault="00000000">
      <w:pPr>
        <w:keepNext/>
        <w:spacing w:before="200"/>
      </w:pPr>
      <w:r>
        <w:rPr>
          <w:rFonts w:eastAsia="Times New Roman"/>
          <w:b/>
        </w:rPr>
        <w:t>Ischemia-reperfusion injury</w:t>
      </w:r>
    </w:p>
    <w:p w14:paraId="2BB2D8AF" w14:textId="77777777" w:rsidR="00082584" w:rsidRDefault="00000000">
      <w:pPr>
        <w:ind w:firstLine="357"/>
        <w:jc w:val="both"/>
      </w:pPr>
      <w:r>
        <w:rPr>
          <w:rFonts w:eastAsia="Times New Roman"/>
        </w:rPr>
        <w:t>Ischemia-reperfusion injury was specifically modeled by Li et al., who combined 60 minutes of coronary occlusion with 120 minutes of reperfusion in rats and a parallel hypoxia-reoxygenation model in H9C2 cells; miR-133a decreased sharply after injury, and its restoration reduced apoptosis through DAPK2, identifying the miR-133a/DAPK2 axis as a protective node in reperfusion injury (p &lt; 0.05).</w:t>
      </w:r>
      <w:r>
        <w:rPr>
          <w:rFonts w:eastAsia="Times New Roman"/>
          <w:sz w:val="17"/>
          <w:vertAlign w:val="superscript"/>
        </w:rPr>
        <w:t>18</w:t>
      </w:r>
    </w:p>
    <w:p w14:paraId="072F820D" w14:textId="77777777" w:rsidR="00082584" w:rsidRDefault="00000000">
      <w:pPr>
        <w:keepNext/>
        <w:spacing w:before="200"/>
      </w:pPr>
      <w:r>
        <w:rPr>
          <w:rFonts w:eastAsia="Times New Roman"/>
          <w:b/>
        </w:rPr>
        <w:t>Inflammation</w:t>
      </w:r>
    </w:p>
    <w:p w14:paraId="449CE358" w14:textId="77777777" w:rsidR="00082584" w:rsidRDefault="00000000">
      <w:pPr>
        <w:ind w:firstLine="357"/>
        <w:jc w:val="both"/>
      </w:pPr>
      <w:r>
        <w:rPr>
          <w:rFonts w:eastAsia="Times New Roman"/>
        </w:rPr>
        <w:t>One inflammatory-signature study (Scarlatescu et al.) measured the immune-regulatory miRNAs miR-146a-5p, miR-223-3p, and miR-142-3p in 50 young STEMI patients; all three were elevated at baseline relative to controls and tracked the post-infarction inflammatory response.</w:t>
      </w:r>
      <w:r>
        <w:rPr>
          <w:rFonts w:eastAsia="Times New Roman"/>
          <w:sz w:val="17"/>
          <w:vertAlign w:val="superscript"/>
        </w:rPr>
        <w:t>16</w:t>
      </w:r>
    </w:p>
    <w:p w14:paraId="51CA90C4" w14:textId="77777777" w:rsidR="00082584" w:rsidRDefault="00000000">
      <w:pPr>
        <w:keepNext/>
        <w:spacing w:before="200"/>
      </w:pPr>
      <w:r>
        <w:rPr>
          <w:rFonts w:eastAsia="Times New Roman"/>
          <w:b/>
        </w:rPr>
        <w:t>Diagnostic and prognostic correlates</w:t>
      </w:r>
    </w:p>
    <w:p w14:paraId="63209B53" w14:textId="77777777" w:rsidR="00082584" w:rsidRDefault="00000000">
      <w:pPr>
        <w:ind w:firstLine="357"/>
        <w:jc w:val="both"/>
      </w:pPr>
      <w:r>
        <w:rPr>
          <w:rFonts w:eastAsia="Times New Roman"/>
        </w:rPr>
        <w:t>Five human studies evaluated circulating miRNAs as diagnostic or prognostic markers. For early diagnosis, miR-499 yielded an area under the curve (AUC) of 0.86 (95% CI 0.81 to 0.91) at a cut-off of 4.79, with 80% sensitivity and 80.28% specificity, approaching cardiac troponin I (AUC 0.90) and detectable within 1 hour of chest-pain onset.</w:t>
      </w:r>
      <w:r>
        <w:rPr>
          <w:rFonts w:eastAsia="Times New Roman"/>
          <w:sz w:val="17"/>
          <w:vertAlign w:val="superscript"/>
        </w:rPr>
        <w:t>12</w:t>
      </w:r>
      <w:r>
        <w:rPr>
          <w:rFonts w:eastAsia="Times New Roman"/>
        </w:rPr>
        <w:t xml:space="preserve"> Circulating miR-1 reached an AUC of 0.863 (0.820 to 0.906; cut-off 2.215; sensitivity 87.9%, specificity 80.2%), rising to 0.931 (0.904 to 0.959) when combined with troponin I.</w:t>
      </w:r>
      <w:r>
        <w:rPr>
          <w:rFonts w:eastAsia="Times New Roman"/>
          <w:sz w:val="17"/>
          <w:vertAlign w:val="superscript"/>
        </w:rPr>
        <w:t>13</w:t>
      </w:r>
      <w:r>
        <w:rPr>
          <w:rFonts w:eastAsia="Times New Roman"/>
        </w:rPr>
        <w:t xml:space="preserve"> miR-208a discriminated AMI from controls with an AUC above 0.9 and predicted treatment efficacy and adverse events with AUCs of 0.784 and 0.713, respectively.</w:t>
      </w:r>
      <w:r>
        <w:rPr>
          <w:rFonts w:eastAsia="Times New Roman"/>
          <w:sz w:val="17"/>
          <w:vertAlign w:val="superscript"/>
        </w:rPr>
        <w:t>14</w:t>
      </w:r>
      <w:r>
        <w:rPr>
          <w:rFonts w:eastAsia="Times New Roman"/>
        </w:rPr>
        <w:t xml:space="preserve"> Diagnostic miRNAs correlated positively with established biomarkers: miR-499 with troponin I and </w:t>
      </w:r>
      <w:r>
        <w:rPr>
          <w:rFonts w:eastAsia="Times New Roman"/>
        </w:rPr>
        <w:lastRenderedPageBreak/>
        <w:t>CK-MB (r = 0.488 and 0.495; p &lt; 0.001), and miR-208a with LDH, CK, and CK-MB.</w:t>
      </w:r>
      <w:r>
        <w:rPr>
          <w:rFonts w:eastAsia="Times New Roman"/>
          <w:sz w:val="17"/>
          <w:vertAlign w:val="superscript"/>
        </w:rPr>
        <w:t>12,14</w:t>
      </w:r>
      <w:r>
        <w:rPr>
          <w:rFonts w:eastAsia="Times New Roman"/>
        </w:rPr>
        <w:t xml:space="preserve"> Prognostically, high miR-1 was associated with 720-day mortality (34/341 deaths, 9.97%) and 30-day major adverse cardiac events.</w:t>
      </w:r>
      <w:r>
        <w:rPr>
          <w:rFonts w:eastAsia="Times New Roman"/>
          <w:sz w:val="17"/>
          <w:vertAlign w:val="superscript"/>
        </w:rPr>
        <w:t>13</w:t>
      </w:r>
      <w:r>
        <w:rPr>
          <w:rFonts w:eastAsia="Times New Roman"/>
        </w:rPr>
        <w:t xml:space="preserve"> In infarct-related-artery total occlusion, miR-21-5p and miR-126 were about 2.5-fold and 2.6-fold higher than in controls (3.616 vs 1.431 and 2.667 vs 1.04; p &lt; 0.0001), with MACE in 9/51 patients (17.6%).</w:t>
      </w:r>
      <w:r>
        <w:rPr>
          <w:rFonts w:eastAsia="Times New Roman"/>
          <w:sz w:val="17"/>
          <w:vertAlign w:val="superscript"/>
        </w:rPr>
        <w:t>15</w:t>
      </w:r>
      <w:r>
        <w:rPr>
          <w:rFonts w:eastAsia="Times New Roman"/>
        </w:rPr>
        <w:t xml:space="preserve"> A three-miRNA panel (miR-146a-5p, miR-223-3p, miR-142-3p) predicted 1-year MACE, which occurred in 9/50 young STEMI patients (18%); individual AUCs were 0.848, 0.832, and 0.732, and the combination reached 0.865.</w:t>
      </w:r>
      <w:r>
        <w:rPr>
          <w:rFonts w:eastAsia="Times New Roman"/>
          <w:sz w:val="17"/>
          <w:vertAlign w:val="superscript"/>
        </w:rPr>
        <w:t>16</w:t>
      </w:r>
      <w:r>
        <w:rPr>
          <w:rFonts w:eastAsia="Times New Roman"/>
        </w:rPr>
        <w:t xml:space="preserve"> The mapping of each miRNA to its pathophysiological domain and translational relevance is shown in Figure 2, and the quantitative outcomes are summarized in Table 2.</w:t>
      </w:r>
    </w:p>
    <w:p w14:paraId="74F39D1C" w14:textId="77777777" w:rsidR="00082584" w:rsidRDefault="00000000">
      <w:pPr>
        <w:keepNext/>
        <w:spacing w:before="200"/>
      </w:pPr>
      <w:r>
        <w:rPr>
          <w:rFonts w:eastAsia="Times New Roman"/>
          <w:b/>
        </w:rPr>
        <w:t>Discussion</w:t>
      </w:r>
    </w:p>
    <w:p w14:paraId="40DF32D5" w14:textId="77777777" w:rsidR="00082584" w:rsidRDefault="00000000">
      <w:pPr>
        <w:ind w:firstLine="357"/>
        <w:jc w:val="both"/>
      </w:pPr>
      <w:r>
        <w:rPr>
          <w:rFonts w:eastAsia="Times New Roman"/>
        </w:rPr>
        <w:t>The most consistent signal across the experimental studies was the control of cardiomyocyte apoptosis. Up-regulated miR-208a and miR-34a were associated with pro-apoptotic signaling involving Bax/caspase-8 and Notch1, respectively, whereas the loss of miR-133a after reperfusion removed a brake on DAPK2-mediated death.</w:t>
      </w:r>
      <w:r>
        <w:rPr>
          <w:rFonts w:eastAsia="Times New Roman"/>
          <w:sz w:val="17"/>
          <w:vertAlign w:val="superscript"/>
        </w:rPr>
        <w:t>17-19</w:t>
      </w:r>
      <w:r>
        <w:rPr>
          <w:rFonts w:eastAsia="Times New Roman"/>
        </w:rPr>
        <w:t xml:space="preserve"> These findings fit the established biology of miR-208a, an intronic, cardiac-specific miRNA that governs stress-dependent remodeling and conduction.</w:t>
      </w:r>
      <w:r>
        <w:rPr>
          <w:rFonts w:eastAsia="Times New Roman"/>
          <w:sz w:val="17"/>
          <w:vertAlign w:val="superscript"/>
        </w:rPr>
        <w:t>24</w:t>
      </w:r>
      <w:r>
        <w:rPr>
          <w:rFonts w:eastAsia="Times New Roman"/>
        </w:rPr>
        <w:t xml:space="preserve"> They also echo work showing that miR-34a accumulates in the aging and infarcted heart, where its inhibition reduces cell death and improves recovery.</w:t>
      </w:r>
      <w:r>
        <w:rPr>
          <w:rFonts w:eastAsia="Times New Roman"/>
          <w:sz w:val="17"/>
          <w:vertAlign w:val="superscript"/>
        </w:rPr>
        <w:t>25</w:t>
      </w:r>
      <w:r>
        <w:rPr>
          <w:rFonts w:eastAsia="Times New Roman"/>
        </w:rPr>
        <w:t xml:space="preserve"> Convergence of three independent groups on apoptosis, using complementary gain- and loss-of-function designs, strengthens causal inference, even though absolute effect sizes were reported inconsistently and often only in figures.</w:t>
      </w:r>
    </w:p>
    <w:p w14:paraId="4DADF25D" w14:textId="77777777" w:rsidR="00082584" w:rsidRDefault="00000000">
      <w:pPr>
        <w:ind w:firstLine="357"/>
        <w:jc w:val="both"/>
      </w:pPr>
      <w:r>
        <w:rPr>
          <w:rFonts w:eastAsia="Times New Roman"/>
        </w:rPr>
        <w:t>Fibrosis emerged as the second major theme, dominated by miR-21. Both rodent studies placed miR-21 upstream of myofibroblast activation, one through suppression of Smad7 within TGF-β1 signaling and the other through repression of Jagged1, and antagonism by sponge or inhibitor consistently reduced collagen deposition and improved function.</w:t>
      </w:r>
      <w:r>
        <w:rPr>
          <w:rFonts w:eastAsia="Times New Roman"/>
          <w:sz w:val="17"/>
          <w:vertAlign w:val="superscript"/>
        </w:rPr>
        <w:t>20,21</w:t>
      </w:r>
      <w:r>
        <w:rPr>
          <w:rFonts w:eastAsia="Times New Roman"/>
        </w:rPr>
        <w:t xml:space="preserve"> This dual-target picture is congruent with the landmark observation that fibroblast miR-21 sustains ERK-MAP kinase signaling and interstitial fibrosis in the stressed heart.</w:t>
      </w:r>
      <w:r>
        <w:rPr>
          <w:rFonts w:eastAsia="Times New Roman"/>
          <w:sz w:val="17"/>
          <w:vertAlign w:val="superscript"/>
        </w:rPr>
        <w:t>26</w:t>
      </w:r>
      <w:r>
        <w:rPr>
          <w:rFonts w:eastAsia="Times New Roman"/>
        </w:rPr>
        <w:t xml:space="preserve"> A recent synthesis likewise positions miR-21 at the </w:t>
      </w:r>
      <w:r>
        <w:rPr>
          <w:rFonts w:eastAsia="Times New Roman"/>
        </w:rPr>
        <w:lastRenderedPageBreak/>
        <w:t>center of several pro-fibrotic axes.</w:t>
      </w:r>
      <w:r>
        <w:rPr>
          <w:rFonts w:eastAsia="Times New Roman"/>
          <w:sz w:val="17"/>
          <w:vertAlign w:val="superscript"/>
        </w:rPr>
        <w:t>27</w:t>
      </w:r>
      <w:r>
        <w:rPr>
          <w:rFonts w:eastAsia="Times New Roman"/>
        </w:rPr>
        <w:t xml:space="preserve"> The therapeutic corollary, that local miR-21 inhibition could limit adverse remodeling, is attractive but remains unproven in the human infarct setting.</w:t>
      </w:r>
    </w:p>
    <w:p w14:paraId="2537C396" w14:textId="77777777" w:rsidR="00082584" w:rsidRDefault="00000000">
      <w:pPr>
        <w:ind w:firstLine="357"/>
        <w:jc w:val="both"/>
      </w:pPr>
      <w:r>
        <w:rPr>
          <w:rFonts w:eastAsia="Times New Roman"/>
        </w:rPr>
        <w:t>Angiogenesis was the third domain, and here an up-regulated miRNA was beneficial. miR-126 promoted neovascularization and preserved ventricular pressures through the PI3K/AKT/eNOS and HIF-1α/VEGF axes, and exercise amplified this response in a HIF-1α-dependent manner.</w:t>
      </w:r>
      <w:r>
        <w:rPr>
          <w:rFonts w:eastAsia="Times New Roman"/>
          <w:sz w:val="17"/>
          <w:vertAlign w:val="superscript"/>
        </w:rPr>
        <w:t>22,23</w:t>
      </w:r>
      <w:r>
        <w:rPr>
          <w:rFonts w:eastAsia="Times New Roman"/>
        </w:rPr>
        <w:t xml:space="preserve"> The direction of effect is biologically coherent, because miR-126 is the prototypical endothelial-enriched miRNA required for vascular integrity and angiogenic signaling.</w:t>
      </w:r>
      <w:r>
        <w:rPr>
          <w:rFonts w:eastAsia="Times New Roman"/>
          <w:sz w:val="17"/>
          <w:vertAlign w:val="superscript"/>
        </w:rPr>
        <w:t>28</w:t>
      </w:r>
      <w:r>
        <w:rPr>
          <w:rFonts w:eastAsia="Times New Roman"/>
        </w:rPr>
        <w:t xml:space="preserve"> That a non-pharmacological stimulus could increase endogenous miR-126 is clinically appealing, since it links exercise-based rehabilitation to a defined molecular mediator. Nonetheless, both studies used few animals, derived many outcomes from figures, and did not report blinded assessment, so the magnitude of benefit should be regarded as provisional.</w:t>
      </w:r>
    </w:p>
    <w:p w14:paraId="67571740" w14:textId="77777777" w:rsidR="00082584" w:rsidRDefault="00000000">
      <w:pPr>
        <w:ind w:firstLine="357"/>
        <w:jc w:val="both"/>
      </w:pPr>
      <w:r>
        <w:rPr>
          <w:rFonts w:eastAsia="Times New Roman"/>
        </w:rPr>
        <w:t>Translationally, the human studies position circulating miRNAs as early and prognostic markers. miR-499, miR-1, and miR-208a separated infarction from controls with areas under the curve of 0.86 to above 0.9, correlated with troponin and CK-MB, and, for miR-1, added value when combined with troponin.</w:t>
      </w:r>
      <w:r>
        <w:rPr>
          <w:rFonts w:eastAsia="Times New Roman"/>
          <w:sz w:val="17"/>
          <w:vertAlign w:val="superscript"/>
        </w:rPr>
        <w:t>12-14</w:t>
      </w:r>
      <w:r>
        <w:rPr>
          <w:rFonts w:eastAsia="Times New Roman"/>
        </w:rPr>
        <w:t xml:space="preserve"> These observations are consistent with the muscle-enriched origin of miR-1 and miR-133 and the arrhythmogenic role of miR-1 in ischemia.</w:t>
      </w:r>
      <w:r>
        <w:rPr>
          <w:rFonts w:eastAsia="Times New Roman"/>
          <w:sz w:val="17"/>
          <w:vertAlign w:val="superscript"/>
        </w:rPr>
        <w:t>29,30</w:t>
      </w:r>
      <w:r>
        <w:rPr>
          <w:rFonts w:eastAsia="Times New Roman"/>
        </w:rPr>
        <w:t xml:space="preserve"> Prognostically, baseline miRNA panels foreshadowed 1-year major adverse cardiac events.</w:t>
      </w:r>
      <w:r>
        <w:rPr>
          <w:rFonts w:eastAsia="Times New Roman"/>
          <w:sz w:val="17"/>
          <w:vertAlign w:val="superscript"/>
        </w:rPr>
        <w:t>15,16</w:t>
      </w:r>
      <w:r>
        <w:rPr>
          <w:rFonts w:eastAsia="Times New Roman"/>
        </w:rPr>
        <w:t xml:space="preserve"> However, several diagnostic estimates were implausibly high, healthy volunteers rather than symptomatic non-infarction patients served as comparators, and the prognostic panels were derived in fewer than sixty patients, raising clear concerns about spectrum bias and overfitting.</w:t>
      </w:r>
    </w:p>
    <w:p w14:paraId="1323D037" w14:textId="77777777" w:rsidR="00082584" w:rsidRDefault="00000000">
      <w:pPr>
        <w:keepNext/>
        <w:spacing w:before="200"/>
      </w:pPr>
      <w:r>
        <w:rPr>
          <w:rFonts w:eastAsia="Times New Roman"/>
          <w:b/>
        </w:rPr>
        <w:t>Pharmacological and translational implications</w:t>
      </w:r>
    </w:p>
    <w:p w14:paraId="5FF778EA" w14:textId="77777777" w:rsidR="00082584" w:rsidRDefault="00000000">
      <w:pPr>
        <w:ind w:firstLine="357"/>
        <w:jc w:val="both"/>
      </w:pPr>
      <w:r>
        <w:rPr>
          <w:rFonts w:eastAsia="Times New Roman"/>
        </w:rPr>
        <w:t xml:space="preserve">Taken together, the evidence supports a model in which distinct miRNAs can be silenced or restored to limit infarct injury. From a pharmaceutical perspective, antagomirs or inhibitors may be relevant for pro-apoptotic or pro-fibrotic miRNAs, whereas mimic or replacement approaches may be relevant for protective miRNAs. Antisense chemistries with favorable pharmacokinetics for </w:t>
      </w:r>
      <w:r>
        <w:rPr>
          <w:rFonts w:eastAsia="Times New Roman"/>
        </w:rPr>
        <w:lastRenderedPageBreak/>
        <w:t>cardiovascular indications now exist.</w:t>
      </w:r>
      <w:r>
        <w:rPr>
          <w:rFonts w:eastAsia="Times New Roman"/>
          <w:sz w:val="17"/>
          <w:vertAlign w:val="superscript"/>
        </w:rPr>
        <w:t>31</w:t>
      </w:r>
      <w:r>
        <w:rPr>
          <w:rFonts w:eastAsia="Times New Roman"/>
        </w:rPr>
        <w:t xml:space="preserve"> The first-in-human inhibition of miR-132 in patients after infarction reduced natriuretic peptides and narrowed the QRS, offering proof of principle for miRNA-directed therapy.</w:t>
      </w:r>
      <w:r>
        <w:rPr>
          <w:rFonts w:eastAsia="Times New Roman"/>
          <w:sz w:val="17"/>
          <w:vertAlign w:val="superscript"/>
        </w:rPr>
        <w:t>32</w:t>
      </w:r>
      <w:r>
        <w:rPr>
          <w:rFonts w:eastAsia="Times New Roman"/>
        </w:rPr>
        <w:t xml:space="preserve"> The miRNAs identified here - the pro-apoptotic miR-208a and miR-34a, the pro-fibrotic miR-21, and the protective miR-133a and miR-126 - are rational candidates for analogous strategies. Translation will nonetheless demand cardiac-selective, durable delivery with minimal off-target effects, none of which the included preclinical studies were designed to provide.</w:t>
      </w:r>
    </w:p>
    <w:p w14:paraId="33E685EC" w14:textId="77777777" w:rsidR="00082584" w:rsidRDefault="00000000">
      <w:pPr>
        <w:ind w:firstLine="357"/>
        <w:jc w:val="both"/>
      </w:pPr>
      <w:r>
        <w:rPr>
          <w:rFonts w:eastAsia="Times New Roman"/>
        </w:rPr>
        <w:t>Several limitations temper these conclusions. All but one study originated from a single country, the experimental work was uniformly small and rarely reported allocation concealment or blinding, and certain reports raised publication-integrity concerns, including journal-level retraction history and statistically implausible performance estimates. Heterogeneity in models, miRNA assays, and outcome reporting precluded meta-analysis, so the synthesis remains narrative. The review nonetheless has strengths: a comprehensive four-database search, appraisal with design-appropriate tools, and transparent integrity flagging. Future work should prioritize multicenter human cohorts with symptomatic comparators, standardized normalization, adequately powered and blinded animal studies, and pre-registered analyses before these microRNAs enter clinical pathways.</w:t>
      </w:r>
    </w:p>
    <w:p w14:paraId="2DAC6B34" w14:textId="77777777" w:rsidR="00082584" w:rsidRDefault="00000000">
      <w:pPr>
        <w:keepNext/>
        <w:spacing w:before="200"/>
      </w:pPr>
      <w:r>
        <w:rPr>
          <w:rFonts w:eastAsia="Times New Roman"/>
          <w:b/>
        </w:rPr>
        <w:t>Conclusion</w:t>
      </w:r>
    </w:p>
    <w:p w14:paraId="4A9973C5" w14:textId="77777777" w:rsidR="00082584" w:rsidRDefault="00000000">
      <w:pPr>
        <w:ind w:firstLine="357"/>
        <w:jc w:val="both"/>
      </w:pPr>
      <w:r>
        <w:rPr>
          <w:rFonts w:eastAsia="Times New Roman"/>
        </w:rPr>
        <w:t>Specific microRNAs act as epigenetic regulators of the core pathophysiological programs of myocardial infarction, driving or restraining apoptosis, fibrosis, angiogenesis, and reperfusion injury while mirroring injury in the circulation. They hold diagnostic, prognostic, and therapeutic-targeting potential, but the current evidence is preliminary, and rigorous, adequately powered, and integrity-assured studies are required before clinical adoption.</w:t>
      </w:r>
    </w:p>
    <w:p w14:paraId="7BFB2A26" w14:textId="77777777" w:rsidR="00082584" w:rsidRDefault="00000000">
      <w:pPr>
        <w:keepNext/>
        <w:spacing w:before="200"/>
      </w:pPr>
      <w:r>
        <w:rPr>
          <w:rFonts w:eastAsia="Times New Roman"/>
          <w:b/>
        </w:rPr>
        <w:t>References</w:t>
      </w:r>
    </w:p>
    <w:p w14:paraId="6D8CEEFC" w14:textId="77777777" w:rsidR="00082584" w:rsidRDefault="00000000">
      <w:pPr>
        <w:ind w:left="357" w:hanging="357"/>
      </w:pPr>
      <w:r>
        <w:rPr>
          <w:rFonts w:eastAsia="Times New Roman"/>
        </w:rPr>
        <w:t>1. Mensah GA, Fuster V, Murray CJL, et al. Global burden of cardiovascular diseases and risks, 1990-2022. J Am Coll Cardiol. 2023;82(25):2350-2473. doi: 10.1016/j.jacc.2023.11.007</w:t>
      </w:r>
    </w:p>
    <w:p w14:paraId="52B92B10" w14:textId="77777777" w:rsidR="00082584" w:rsidRDefault="00000000">
      <w:pPr>
        <w:ind w:left="357" w:hanging="357"/>
      </w:pPr>
      <w:r>
        <w:rPr>
          <w:rFonts w:eastAsia="Times New Roman"/>
        </w:rPr>
        <w:lastRenderedPageBreak/>
        <w:t>2. Thygesen K, Alpert JS, Jaffe AS, et al. Fourth universal definition of myocardial infarction (2018). Circulation. 2018;138(20):e618-e651. doi: 10.1161/CIR.0000000000000617</w:t>
      </w:r>
    </w:p>
    <w:p w14:paraId="24B5E5D9" w14:textId="77777777" w:rsidR="00082584" w:rsidRDefault="00000000">
      <w:pPr>
        <w:ind w:left="357" w:hanging="357"/>
      </w:pPr>
      <w:r>
        <w:rPr>
          <w:rFonts w:eastAsia="Times New Roman"/>
        </w:rPr>
        <w:t>3. Hausenloy DJ, Yellon DM. Myocardial ischemia-reperfusion injury: a neglected therapeutic target. J Clin Invest. 2013;123(1):92-100. doi: 10.1172/JCI62874</w:t>
      </w:r>
    </w:p>
    <w:p w14:paraId="713F71EC" w14:textId="77777777" w:rsidR="00082584" w:rsidRDefault="00000000">
      <w:pPr>
        <w:ind w:left="357" w:hanging="357"/>
      </w:pPr>
      <w:r>
        <w:rPr>
          <w:rFonts w:eastAsia="Times New Roman"/>
        </w:rPr>
        <w:t>4. Chen J, Liu Z, Ma L, et al. Targeting epigenetics and non-coding RNAs in myocardial infarction: from mechanisms to therapeutics. Front Genet. 2021;12:780649. doi: 10.3389/fgene.2021.780649</w:t>
      </w:r>
    </w:p>
    <w:p w14:paraId="2A025E80" w14:textId="77777777" w:rsidR="00082584" w:rsidRDefault="00000000">
      <w:pPr>
        <w:ind w:left="357" w:hanging="357"/>
      </w:pPr>
      <w:r>
        <w:rPr>
          <w:rFonts w:eastAsia="Times New Roman"/>
        </w:rPr>
        <w:t>5. Bartel DP. MicroRNAs: genomics, biogenesis, mechanism, and function. Cell. 2004;116(2):281-297. doi: 10.1016/S0092-8674(04)00045-5</w:t>
      </w:r>
    </w:p>
    <w:p w14:paraId="37F02067" w14:textId="77777777" w:rsidR="00082584" w:rsidRDefault="00000000">
      <w:pPr>
        <w:ind w:left="357" w:hanging="357"/>
      </w:pPr>
      <w:r>
        <w:rPr>
          <w:rFonts w:eastAsia="Times New Roman"/>
        </w:rPr>
        <w:t>6. Romaine SPR, Tomaszewski M, Condorelli G, Samani NJ. MicroRNAs in cardiovascular disease: an introduction for clinicians. Heart. 2015;101(12):921-928. doi: 10.1136/heartjnl-2013-305402</w:t>
      </w:r>
    </w:p>
    <w:p w14:paraId="1217E956" w14:textId="77777777" w:rsidR="00082584" w:rsidRDefault="00000000">
      <w:pPr>
        <w:ind w:left="357" w:hanging="357"/>
      </w:pPr>
      <w:r>
        <w:rPr>
          <w:rFonts w:eastAsia="Times New Roman"/>
        </w:rPr>
        <w:t>7. Mitchell PS, Parkin RK, Kroh EM, et al. Circulating microRNAs as stable blood-based markers for cancer detection. Proc Natl Acad Sci U S A. 2008;105(30):10513-10518. doi: 10.1073/pnas.0804549105</w:t>
      </w:r>
    </w:p>
    <w:p w14:paraId="3A5F3A85" w14:textId="77777777" w:rsidR="00082584" w:rsidRDefault="00000000">
      <w:pPr>
        <w:ind w:left="357" w:hanging="357"/>
      </w:pPr>
      <w:r>
        <w:rPr>
          <w:rFonts w:eastAsia="Times New Roman"/>
        </w:rPr>
        <w:t>8. Page MJ, McKenzie JE, Bossuyt PM, et al. The PRISMA 2020 statement: an updated guideline for reporting systematic reviews. BMJ. 2021;372:n71. doi: 10.1136/bmj.n71</w:t>
      </w:r>
    </w:p>
    <w:p w14:paraId="7254D595" w14:textId="77777777" w:rsidR="00082584" w:rsidRDefault="00000000">
      <w:pPr>
        <w:ind w:left="357" w:hanging="357"/>
      </w:pPr>
      <w:r>
        <w:rPr>
          <w:rFonts w:eastAsia="Times New Roman"/>
        </w:rPr>
        <w:t>9. Wells GA, Shea B, O'Connell D, et al. The Newcastle-Ottawa Scale (NOS) for assessing the quality of nonrandomised studies in meta-analyses. Ottawa: Ottawa Hospital Research Institute; 2021. Available from: https://www.ohri.ca/programs/clinical_epidemiology/oxford.asp</w:t>
      </w:r>
    </w:p>
    <w:p w14:paraId="3B92AA18" w14:textId="77777777" w:rsidR="00082584" w:rsidRDefault="00000000">
      <w:pPr>
        <w:ind w:left="357" w:hanging="357"/>
      </w:pPr>
      <w:r>
        <w:rPr>
          <w:rFonts w:eastAsia="Times New Roman"/>
        </w:rPr>
        <w:t>10. Hooijmans CR, Rovers MM, de Vries RBM, Leenaars M, Ritskes-Hoitinga M, Langendam MW. SYRCLE's risk of bias tool for animal studies. BMC Med Res Methodol. 2014;14:43. doi: 10.1186/1471-2288-14-43</w:t>
      </w:r>
    </w:p>
    <w:p w14:paraId="04942307" w14:textId="77777777" w:rsidR="00082584" w:rsidRDefault="00000000">
      <w:pPr>
        <w:ind w:left="357" w:hanging="357"/>
      </w:pPr>
      <w:r>
        <w:rPr>
          <w:rFonts w:eastAsia="Times New Roman"/>
        </w:rPr>
        <w:t>11. Hayden JA, van der Windt DA, Cartwright JL, Cote P, Bombardier C. Assessing bias in studies of prognostic factors. Ann Intern Med. 2013;158(4):280-286. doi: 10.7326/0003-4819-158-4-201302190-00009</w:t>
      </w:r>
    </w:p>
    <w:p w14:paraId="421081E2" w14:textId="77777777" w:rsidR="00082584" w:rsidRDefault="00000000">
      <w:pPr>
        <w:ind w:left="357" w:hanging="357"/>
      </w:pPr>
      <w:r>
        <w:rPr>
          <w:rFonts w:eastAsia="Times New Roman"/>
        </w:rPr>
        <w:lastRenderedPageBreak/>
        <w:t>12. Zhang L, Chen X, Su T, et al. Circulating miR-499 are novel and sensitive biomarker of acute myocardial infarction. J Thorac Dis. 2015;7(3):303-308. doi: 10.3978/j.issn.2072-1439.2015.02.05</w:t>
      </w:r>
    </w:p>
    <w:p w14:paraId="0E5399BD" w14:textId="77777777" w:rsidR="00082584" w:rsidRDefault="00000000">
      <w:pPr>
        <w:ind w:left="357" w:hanging="357"/>
      </w:pPr>
      <w:r>
        <w:rPr>
          <w:rFonts w:eastAsia="Times New Roman"/>
        </w:rPr>
        <w:t>13. Su T, Shao X, Zhang X, Han Z, Yang C, Li X. Circulating microRNA-1 in the diagnosis and predicting prognosis of patients with chest pain: a prospective cohort study. BMC Cardiovasc Disord. 2019;19(1):5. doi: 10.1186/s12872-018-0987-x</w:t>
      </w:r>
    </w:p>
    <w:p w14:paraId="383DAAF2" w14:textId="77777777" w:rsidR="00082584" w:rsidRDefault="00000000">
      <w:pPr>
        <w:ind w:left="357" w:hanging="357"/>
      </w:pPr>
      <w:r>
        <w:rPr>
          <w:rFonts w:eastAsia="Times New Roman"/>
        </w:rPr>
        <w:t>14. Chen S, Hong X, Wu Y, Chen Z. Diagnostic and prognostic significance of microRNA-208a in acute myocardial infarction. Dis Markers. 2022;2022:7030722. doi: 10.1155/2022/7030722</w:t>
      </w:r>
    </w:p>
    <w:p w14:paraId="30D3E41A" w14:textId="77777777" w:rsidR="00082584" w:rsidRDefault="00000000">
      <w:pPr>
        <w:ind w:left="357" w:hanging="357"/>
      </w:pPr>
      <w:r>
        <w:rPr>
          <w:rFonts w:eastAsia="Times New Roman"/>
        </w:rPr>
        <w:t>15. Mi X, Gao Y, Hao D, et al. Prognostic value of circulating microRNA-21-5p and microRNA-126 in patients with acute myocardial infarction and infarct-related artery total occlusion. Front Cardiovasc Med. 2022;9:947721. doi: 10.3389/fcvm.2022.947721</w:t>
      </w:r>
    </w:p>
    <w:p w14:paraId="4BE27949" w14:textId="77777777" w:rsidR="00082584" w:rsidRDefault="00000000">
      <w:pPr>
        <w:ind w:left="357" w:hanging="357"/>
      </w:pPr>
      <w:r>
        <w:rPr>
          <w:rFonts w:eastAsia="Times New Roman"/>
        </w:rPr>
        <w:t>16. Scarlatescu AI, Barbalata T, Sima AV, Stancu C, Niculescu LS, Micheu MM. miR-146a-5p, miR-223-3p and miR-142-3p as potential predictors of major adverse cardiac events in young patients with acute ST elevation myocardial infarction. Diagnostics (Basel). 2022;12(8):1946. doi: 10.3390/diagnostics12081946</w:t>
      </w:r>
    </w:p>
    <w:p w14:paraId="4A53B611" w14:textId="77777777" w:rsidR="00082584" w:rsidRDefault="00000000">
      <w:pPr>
        <w:ind w:left="357" w:hanging="357"/>
      </w:pPr>
      <w:r>
        <w:rPr>
          <w:rFonts w:eastAsia="Times New Roman"/>
        </w:rPr>
        <w:t>17. Tony H, Meng K, Wu B, et al. MicroRNA-208a dysregulates apoptosis genes expression and promotes cardiomyocyte apoptosis during ischemia and its silencing improves cardiac function after myocardial infarction. Mediators Inflamm. 2015;2015:479123. doi: 10.1155/2015/479123</w:t>
      </w:r>
    </w:p>
    <w:p w14:paraId="087C8E22" w14:textId="77777777" w:rsidR="00082584" w:rsidRDefault="00000000">
      <w:pPr>
        <w:ind w:left="357" w:hanging="357"/>
      </w:pPr>
      <w:r>
        <w:rPr>
          <w:rFonts w:eastAsia="Times New Roman"/>
        </w:rPr>
        <w:t>18. Li S, Xiao FY, Shan PR, et al. Overexpression of microRNA-133a inhibits ischemia-reperfusion-induced cardiomyocyte apoptosis by targeting DAPK2. J Hum Genet. 2015;60(11):709-716. doi: 10.1038/jhg.2015.96</w:t>
      </w:r>
    </w:p>
    <w:p w14:paraId="2D656DAB" w14:textId="77777777" w:rsidR="00082584" w:rsidRDefault="00000000">
      <w:pPr>
        <w:ind w:left="357" w:hanging="357"/>
      </w:pPr>
      <w:r>
        <w:rPr>
          <w:rFonts w:eastAsia="Times New Roman"/>
        </w:rPr>
        <w:t>19. Pan J, Zhou L, Lin C, Xue W, Chen P, Lin J. MicroRNA-34a promotes ischemia-induced cardiomyocytes apoptosis through targeting Notch1. Evid Based Complement Alternat Med. 2022;2022:1388415. doi: 10.1155/2022/1388415</w:t>
      </w:r>
    </w:p>
    <w:p w14:paraId="272CFF41" w14:textId="77777777" w:rsidR="00082584" w:rsidRDefault="00000000">
      <w:pPr>
        <w:ind w:left="357" w:hanging="357"/>
      </w:pPr>
      <w:r>
        <w:rPr>
          <w:rFonts w:eastAsia="Times New Roman"/>
        </w:rPr>
        <w:t>20. Yuan J, Chen H, Ge D, et al. Mir-21 promotes cardiac fibrosis after myocardial infarction via targeting Smad7. Cell Physiol Biochem. 2017;42(6):2207-2219. doi: 10.1159/000479995</w:t>
      </w:r>
    </w:p>
    <w:p w14:paraId="04493B0E" w14:textId="77777777" w:rsidR="00082584" w:rsidRDefault="00000000">
      <w:pPr>
        <w:ind w:left="357" w:hanging="357"/>
      </w:pPr>
      <w:r>
        <w:rPr>
          <w:rFonts w:eastAsia="Times New Roman"/>
        </w:rPr>
        <w:lastRenderedPageBreak/>
        <w:t>21. Zhou XL, Xu H, Liu ZB, Wu QC, Zhu RR, Liu JC. miR-21 promotes cardiac fibroblast-to-myofibroblast transformation and myocardial fibrosis by targeting Jagged1. J Cell Mol Med. 2018;22(8):3816-3824. doi: 10.1111/jcmm.13654</w:t>
      </w:r>
    </w:p>
    <w:p w14:paraId="086B44C8" w14:textId="77777777" w:rsidR="00082584" w:rsidRDefault="00000000">
      <w:pPr>
        <w:ind w:left="357" w:hanging="357"/>
      </w:pPr>
      <w:r>
        <w:rPr>
          <w:rFonts w:eastAsia="Times New Roman"/>
        </w:rPr>
        <w:t>22. Song W, Liang Q, Cai M, Tian Z. HIF-1a-induced up-regulation of microRNA-126 contributes to the effectiveness of exercise training on myocardial angiogenesis in myocardial infarction rats. J Cell Mol Med. 2020;24(22):12970-12979. doi: 10.1111/jcmm.15892</w:t>
      </w:r>
    </w:p>
    <w:p w14:paraId="163A6515" w14:textId="77777777" w:rsidR="00082584" w:rsidRDefault="00000000">
      <w:pPr>
        <w:ind w:left="357" w:hanging="357"/>
      </w:pPr>
      <w:r>
        <w:rPr>
          <w:rFonts w:eastAsia="Times New Roman"/>
        </w:rPr>
        <w:t>23. Gao S, Gao H, Dai L, et al. miR-126 regulates angiogenesis in myocardial ischemia by targeting HIF-1a. Exp Cell Res. 2021;409(2):112925. doi: 10.1016/j.yexcr.2021.112925</w:t>
      </w:r>
    </w:p>
    <w:p w14:paraId="5944817D" w14:textId="77777777" w:rsidR="00082584" w:rsidRDefault="00000000">
      <w:pPr>
        <w:ind w:left="357" w:hanging="357"/>
      </w:pPr>
      <w:r>
        <w:rPr>
          <w:rFonts w:eastAsia="Times New Roman"/>
        </w:rPr>
        <w:t>24. van Rooij E, Sutherland LB, Qi X, Richardson JA, Hill J, Olson EN. Control of stress-dependent cardiac growth and gene expression by a microRNA. Science. 2007;316(5824):575-579. doi: 10.1126/science.1139089</w:t>
      </w:r>
    </w:p>
    <w:p w14:paraId="34286E5B" w14:textId="77777777" w:rsidR="00082584" w:rsidRDefault="00000000">
      <w:pPr>
        <w:ind w:left="357" w:hanging="357"/>
      </w:pPr>
      <w:r>
        <w:rPr>
          <w:rFonts w:eastAsia="Times New Roman"/>
        </w:rPr>
        <w:t>25. Boon RA, Iekushi K, Lechner S, et al. MicroRNA-34a regulates cardiac ageing and function. Nature. 2013;495(7439):107-110. doi: 10.1038/nature11919</w:t>
      </w:r>
    </w:p>
    <w:p w14:paraId="0E1E59A6" w14:textId="77777777" w:rsidR="00082584" w:rsidRDefault="00000000">
      <w:pPr>
        <w:ind w:left="357" w:hanging="357"/>
      </w:pPr>
      <w:r>
        <w:rPr>
          <w:rFonts w:eastAsia="Times New Roman"/>
        </w:rPr>
        <w:t>26. Thum T, Gross C, Fiedler J, et al. MicroRNA-21 contributes to myocardial disease by stimulating MAP kinase signalling in fibroblasts. Nature. 2008;456(7224):980-984. doi: 10.1038/nature07511</w:t>
      </w:r>
    </w:p>
    <w:p w14:paraId="3D61FECF" w14:textId="77777777" w:rsidR="00082584" w:rsidRDefault="00000000">
      <w:pPr>
        <w:ind w:left="357" w:hanging="357"/>
      </w:pPr>
      <w:r>
        <w:rPr>
          <w:rFonts w:eastAsia="Times New Roman"/>
        </w:rPr>
        <w:t>27. Khalaji A, Mehrtabar S, Jabraeilipour A, et al. Inhibitory effect of microRNA-21 on pathways and mechanisms involved in cardiac fibrosis development. Ther Adv Cardiovasc Dis. 2024;18:17539447241253134. doi: 10.1177/17539447241253134</w:t>
      </w:r>
    </w:p>
    <w:p w14:paraId="73792C4E" w14:textId="77777777" w:rsidR="00082584" w:rsidRDefault="00000000">
      <w:pPr>
        <w:ind w:left="357" w:hanging="357"/>
      </w:pPr>
      <w:r>
        <w:rPr>
          <w:rFonts w:eastAsia="Times New Roman"/>
        </w:rPr>
        <w:t>28. Wang S, Aurora AB, Johnson BA, et al. The endothelial-specific microRNA miR-126 governs vascular integrity and angiogenesis. Dev Cell. 2008;15(2):261-271. doi: 10.1016/j.devcel.2008.07.002</w:t>
      </w:r>
    </w:p>
    <w:p w14:paraId="0AA595C3" w14:textId="77777777" w:rsidR="00082584" w:rsidRDefault="00000000">
      <w:pPr>
        <w:ind w:left="357" w:hanging="357"/>
      </w:pPr>
      <w:r>
        <w:rPr>
          <w:rFonts w:eastAsia="Times New Roman"/>
        </w:rPr>
        <w:t>29. Chen JF, Mandel EM, Thomson JM, et al. The role of microRNA-1 and microRNA-133 in skeletal muscle proliferation and differentiation. Nat Genet. 2006;38(2):228-233. doi: 10.1038/ng1725</w:t>
      </w:r>
    </w:p>
    <w:p w14:paraId="0D6F2333" w14:textId="77777777" w:rsidR="00082584" w:rsidRDefault="00000000">
      <w:pPr>
        <w:ind w:left="357" w:hanging="357"/>
      </w:pPr>
      <w:r>
        <w:rPr>
          <w:rFonts w:eastAsia="Times New Roman"/>
        </w:rPr>
        <w:lastRenderedPageBreak/>
        <w:t>30. Yang B, Lin H, Xiao J, et al. The muscle-specific microRNA miR-1 regulates cardiac arrhythmogenic potential by targeting GJA1 and KCNJ2. Nat Med. 2007;13(4):486-491. doi: 10.1038/nm1569</w:t>
      </w:r>
    </w:p>
    <w:p w14:paraId="7BA60855" w14:textId="77777777" w:rsidR="00082584" w:rsidRDefault="00000000">
      <w:pPr>
        <w:ind w:left="357" w:hanging="357"/>
      </w:pPr>
      <w:r>
        <w:rPr>
          <w:rFonts w:eastAsia="Times New Roman"/>
        </w:rPr>
        <w:t>31. van Rooij E, Olson EN. MicroRNA therapeutics for cardiovascular disease: opportunities and obstacles. Nat Rev Drug Discov. 2012;11(11):860-872. doi: 10.1038/nrd3864</w:t>
      </w:r>
    </w:p>
    <w:p w14:paraId="2B9A968C" w14:textId="77777777" w:rsidR="00082584" w:rsidRDefault="00000000">
      <w:pPr>
        <w:ind w:left="357" w:hanging="357"/>
      </w:pPr>
      <w:r>
        <w:rPr>
          <w:rFonts w:eastAsia="Times New Roman"/>
        </w:rPr>
        <w:t>32. Taubel J, Hauke W, Rump S, et al. Novel antisense therapy targeting microRNA-132 in patients with heart failure: results of a first-in-human Phase 1b randomized, double-blind, placebo-controlled study. Eur Heart J. 2021;42(2):178-188. doi: 10.1093/eurheartj/ehaa898</w:t>
      </w:r>
    </w:p>
    <w:p w14:paraId="648E4177" w14:textId="77777777" w:rsidR="00082584" w:rsidRDefault="00000000">
      <w:pPr>
        <w:keepNext/>
        <w:spacing w:before="200"/>
      </w:pPr>
      <w:r>
        <w:rPr>
          <w:rFonts w:eastAsia="Times New Roman"/>
          <w:b/>
        </w:rPr>
        <w:t>Tables</w:t>
      </w:r>
    </w:p>
    <w:p w14:paraId="40724C72" w14:textId="77777777" w:rsidR="00082584" w:rsidRDefault="00000000">
      <w:r>
        <w:rPr>
          <w:rFonts w:eastAsia="Times New Roman"/>
          <w:b/>
        </w:rPr>
        <w:t>Table 1. Characteristics of the 12 included studies.</w:t>
      </w:r>
      <w:r>
        <w:rPr>
          <w:rFonts w:eastAsia="Times New Roman"/>
          <w:b/>
          <w:sz w:val="17"/>
          <w:vertAlign w:val="superscript"/>
        </w:rPr>
        <w:t>12-23</w:t>
      </w:r>
    </w:p>
    <w:tbl>
      <w:tblPr>
        <w:tblStyle w:val="TableGrid"/>
        <w:tblW w:w="0" w:type="auto"/>
        <w:jc w:val="center"/>
        <w:tblLayout w:type="fixed"/>
        <w:tblLook w:val="04A0" w:firstRow="1" w:lastRow="0" w:firstColumn="1" w:lastColumn="0" w:noHBand="0" w:noVBand="1"/>
      </w:tblPr>
      <w:tblGrid>
        <w:gridCol w:w="792"/>
        <w:gridCol w:w="605"/>
        <w:gridCol w:w="907"/>
        <w:gridCol w:w="2059"/>
        <w:gridCol w:w="936"/>
        <w:gridCol w:w="1354"/>
        <w:gridCol w:w="1757"/>
      </w:tblGrid>
      <w:tr w:rsidR="00082584" w:rsidRPr="00ED581A" w14:paraId="17936EF4" w14:textId="77777777">
        <w:trPr>
          <w:tblHeader/>
          <w:jc w:val="center"/>
        </w:trPr>
        <w:tc>
          <w:tcPr>
            <w:tcW w:w="792" w:type="dxa"/>
            <w:shd w:val="clear" w:color="auto" w:fill="F2F2F2"/>
            <w:tcMar>
              <w:top w:w="35" w:type="dxa"/>
              <w:left w:w="35" w:type="dxa"/>
              <w:bottom w:w="35" w:type="dxa"/>
              <w:right w:w="35" w:type="dxa"/>
            </w:tcMar>
            <w:vAlign w:val="center"/>
          </w:tcPr>
          <w:p w14:paraId="7BEB7F90" w14:textId="77777777" w:rsidR="00082584" w:rsidRPr="00ED581A" w:rsidRDefault="00000000">
            <w:pPr>
              <w:spacing w:line="240" w:lineRule="auto"/>
              <w:jc w:val="center"/>
              <w:rPr>
                <w:sz w:val="16"/>
                <w:szCs w:val="24"/>
              </w:rPr>
            </w:pPr>
            <w:r w:rsidRPr="00ED581A">
              <w:rPr>
                <w:rFonts w:eastAsia="Times New Roman"/>
                <w:b/>
                <w:sz w:val="16"/>
                <w:szCs w:val="24"/>
              </w:rPr>
              <w:t>Study (Year)</w:t>
            </w:r>
          </w:p>
        </w:tc>
        <w:tc>
          <w:tcPr>
            <w:tcW w:w="605" w:type="dxa"/>
            <w:shd w:val="clear" w:color="auto" w:fill="F2F2F2"/>
            <w:tcMar>
              <w:top w:w="35" w:type="dxa"/>
              <w:left w:w="35" w:type="dxa"/>
              <w:bottom w:w="35" w:type="dxa"/>
              <w:right w:w="35" w:type="dxa"/>
            </w:tcMar>
            <w:vAlign w:val="center"/>
          </w:tcPr>
          <w:p w14:paraId="1489A277" w14:textId="77777777" w:rsidR="00082584" w:rsidRPr="00ED581A" w:rsidRDefault="00000000">
            <w:pPr>
              <w:spacing w:line="240" w:lineRule="auto"/>
              <w:jc w:val="center"/>
              <w:rPr>
                <w:sz w:val="16"/>
                <w:szCs w:val="24"/>
              </w:rPr>
            </w:pPr>
            <w:r w:rsidRPr="00ED581A">
              <w:rPr>
                <w:rFonts w:eastAsia="Times New Roman"/>
                <w:b/>
                <w:sz w:val="16"/>
                <w:szCs w:val="24"/>
              </w:rPr>
              <w:t>Country</w:t>
            </w:r>
          </w:p>
        </w:tc>
        <w:tc>
          <w:tcPr>
            <w:tcW w:w="907" w:type="dxa"/>
            <w:shd w:val="clear" w:color="auto" w:fill="F2F2F2"/>
            <w:tcMar>
              <w:top w:w="35" w:type="dxa"/>
              <w:left w:w="35" w:type="dxa"/>
              <w:bottom w:w="35" w:type="dxa"/>
              <w:right w:w="35" w:type="dxa"/>
            </w:tcMar>
            <w:vAlign w:val="center"/>
          </w:tcPr>
          <w:p w14:paraId="7F2A591D" w14:textId="77777777" w:rsidR="00082584" w:rsidRPr="00ED581A" w:rsidRDefault="00000000">
            <w:pPr>
              <w:spacing w:line="240" w:lineRule="auto"/>
              <w:jc w:val="center"/>
              <w:rPr>
                <w:sz w:val="16"/>
                <w:szCs w:val="24"/>
              </w:rPr>
            </w:pPr>
            <w:r w:rsidRPr="00ED581A">
              <w:rPr>
                <w:rFonts w:eastAsia="Times New Roman"/>
                <w:b/>
                <w:sz w:val="16"/>
                <w:szCs w:val="24"/>
              </w:rPr>
              <w:t>Design</w:t>
            </w:r>
          </w:p>
        </w:tc>
        <w:tc>
          <w:tcPr>
            <w:tcW w:w="2059" w:type="dxa"/>
            <w:shd w:val="clear" w:color="auto" w:fill="F2F2F2"/>
            <w:tcMar>
              <w:top w:w="35" w:type="dxa"/>
              <w:left w:w="35" w:type="dxa"/>
              <w:bottom w:w="35" w:type="dxa"/>
              <w:right w:w="35" w:type="dxa"/>
            </w:tcMar>
            <w:vAlign w:val="center"/>
          </w:tcPr>
          <w:p w14:paraId="16A99BFB" w14:textId="77777777" w:rsidR="00082584" w:rsidRPr="00ED581A" w:rsidRDefault="00000000">
            <w:pPr>
              <w:spacing w:line="240" w:lineRule="auto"/>
              <w:jc w:val="center"/>
              <w:rPr>
                <w:sz w:val="16"/>
                <w:szCs w:val="24"/>
              </w:rPr>
            </w:pPr>
            <w:r w:rsidRPr="00ED581A">
              <w:rPr>
                <w:rFonts w:eastAsia="Times New Roman"/>
                <w:b/>
                <w:sz w:val="16"/>
                <w:szCs w:val="24"/>
              </w:rPr>
              <w:t>Population / model (n)</w:t>
            </w:r>
          </w:p>
        </w:tc>
        <w:tc>
          <w:tcPr>
            <w:tcW w:w="936" w:type="dxa"/>
            <w:shd w:val="clear" w:color="auto" w:fill="F2F2F2"/>
            <w:tcMar>
              <w:top w:w="35" w:type="dxa"/>
              <w:left w:w="35" w:type="dxa"/>
              <w:bottom w:w="35" w:type="dxa"/>
              <w:right w:w="35" w:type="dxa"/>
            </w:tcMar>
            <w:vAlign w:val="center"/>
          </w:tcPr>
          <w:p w14:paraId="03D1BC23" w14:textId="77777777" w:rsidR="00082584" w:rsidRPr="00ED581A" w:rsidRDefault="00000000">
            <w:pPr>
              <w:spacing w:line="240" w:lineRule="auto"/>
              <w:jc w:val="center"/>
              <w:rPr>
                <w:sz w:val="16"/>
                <w:szCs w:val="24"/>
              </w:rPr>
            </w:pPr>
            <w:r w:rsidRPr="00ED581A">
              <w:rPr>
                <w:rFonts w:eastAsia="Times New Roman"/>
                <w:b/>
                <w:sz w:val="16"/>
                <w:szCs w:val="24"/>
              </w:rPr>
              <w:t>miRNA (reg.)</w:t>
            </w:r>
          </w:p>
        </w:tc>
        <w:tc>
          <w:tcPr>
            <w:tcW w:w="1354" w:type="dxa"/>
            <w:shd w:val="clear" w:color="auto" w:fill="F2F2F2"/>
            <w:tcMar>
              <w:top w:w="35" w:type="dxa"/>
              <w:left w:w="35" w:type="dxa"/>
              <w:bottom w:w="35" w:type="dxa"/>
              <w:right w:w="35" w:type="dxa"/>
            </w:tcMar>
            <w:vAlign w:val="center"/>
          </w:tcPr>
          <w:p w14:paraId="202B36ED" w14:textId="77777777" w:rsidR="00082584" w:rsidRPr="00ED581A" w:rsidRDefault="00000000">
            <w:pPr>
              <w:spacing w:line="240" w:lineRule="auto"/>
              <w:jc w:val="center"/>
              <w:rPr>
                <w:sz w:val="16"/>
                <w:szCs w:val="24"/>
              </w:rPr>
            </w:pPr>
            <w:r w:rsidRPr="00ED581A">
              <w:rPr>
                <w:rFonts w:eastAsia="Times New Roman"/>
                <w:b/>
                <w:sz w:val="16"/>
                <w:szCs w:val="24"/>
              </w:rPr>
              <w:t>Domain</w:t>
            </w:r>
          </w:p>
        </w:tc>
        <w:tc>
          <w:tcPr>
            <w:tcW w:w="1757" w:type="dxa"/>
            <w:shd w:val="clear" w:color="auto" w:fill="F2F2F2"/>
            <w:tcMar>
              <w:top w:w="35" w:type="dxa"/>
              <w:left w:w="35" w:type="dxa"/>
              <w:bottom w:w="35" w:type="dxa"/>
              <w:right w:w="35" w:type="dxa"/>
            </w:tcMar>
            <w:vAlign w:val="center"/>
          </w:tcPr>
          <w:p w14:paraId="34E6DC05" w14:textId="77777777" w:rsidR="00082584" w:rsidRPr="00ED581A" w:rsidRDefault="00000000">
            <w:pPr>
              <w:spacing w:line="240" w:lineRule="auto"/>
              <w:jc w:val="center"/>
              <w:rPr>
                <w:sz w:val="16"/>
                <w:szCs w:val="24"/>
              </w:rPr>
            </w:pPr>
            <w:r w:rsidRPr="00ED581A">
              <w:rPr>
                <w:rFonts w:eastAsia="Times New Roman"/>
                <w:b/>
                <w:sz w:val="16"/>
                <w:szCs w:val="24"/>
              </w:rPr>
              <w:t>Target / pathway</w:t>
            </w:r>
          </w:p>
        </w:tc>
      </w:tr>
      <w:tr w:rsidR="00082584" w:rsidRPr="00ED581A" w14:paraId="340B966A" w14:textId="77777777">
        <w:trPr>
          <w:jc w:val="center"/>
        </w:trPr>
        <w:tc>
          <w:tcPr>
            <w:tcW w:w="792" w:type="dxa"/>
            <w:tcMar>
              <w:top w:w="35" w:type="dxa"/>
              <w:left w:w="35" w:type="dxa"/>
              <w:bottom w:w="35" w:type="dxa"/>
              <w:right w:w="35" w:type="dxa"/>
            </w:tcMar>
            <w:vAlign w:val="center"/>
          </w:tcPr>
          <w:p w14:paraId="0E1456E4" w14:textId="77777777" w:rsidR="00082584" w:rsidRPr="00ED581A" w:rsidRDefault="00000000">
            <w:pPr>
              <w:spacing w:line="240" w:lineRule="auto"/>
              <w:rPr>
                <w:sz w:val="16"/>
                <w:szCs w:val="24"/>
              </w:rPr>
            </w:pPr>
            <w:r w:rsidRPr="00ED581A">
              <w:rPr>
                <w:rFonts w:eastAsia="Times New Roman"/>
                <w:sz w:val="16"/>
                <w:szCs w:val="24"/>
              </w:rPr>
              <w:t>Zhang, 2015</w:t>
            </w:r>
          </w:p>
        </w:tc>
        <w:tc>
          <w:tcPr>
            <w:tcW w:w="605" w:type="dxa"/>
            <w:tcMar>
              <w:top w:w="35" w:type="dxa"/>
              <w:left w:w="35" w:type="dxa"/>
              <w:bottom w:w="35" w:type="dxa"/>
              <w:right w:w="35" w:type="dxa"/>
            </w:tcMar>
            <w:vAlign w:val="center"/>
          </w:tcPr>
          <w:p w14:paraId="3D5630E9" w14:textId="77777777" w:rsidR="00082584" w:rsidRPr="00ED581A" w:rsidRDefault="00000000">
            <w:pPr>
              <w:spacing w:line="240" w:lineRule="auto"/>
              <w:rPr>
                <w:sz w:val="16"/>
                <w:szCs w:val="24"/>
              </w:rPr>
            </w:pPr>
            <w:r w:rsidRPr="00ED581A">
              <w:rPr>
                <w:rFonts w:eastAsia="Times New Roman"/>
                <w:sz w:val="16"/>
                <w:szCs w:val="24"/>
              </w:rPr>
              <w:t>China</w:t>
            </w:r>
          </w:p>
        </w:tc>
        <w:tc>
          <w:tcPr>
            <w:tcW w:w="907" w:type="dxa"/>
            <w:tcMar>
              <w:top w:w="35" w:type="dxa"/>
              <w:left w:w="35" w:type="dxa"/>
              <w:bottom w:w="35" w:type="dxa"/>
              <w:right w:w="35" w:type="dxa"/>
            </w:tcMar>
            <w:vAlign w:val="center"/>
          </w:tcPr>
          <w:p w14:paraId="2E9F2A72" w14:textId="77777777" w:rsidR="00082584" w:rsidRPr="00ED581A" w:rsidRDefault="00000000">
            <w:pPr>
              <w:spacing w:line="240" w:lineRule="auto"/>
              <w:rPr>
                <w:sz w:val="16"/>
                <w:szCs w:val="24"/>
              </w:rPr>
            </w:pPr>
            <w:r w:rsidRPr="00ED581A">
              <w:rPr>
                <w:rFonts w:eastAsia="Times New Roman"/>
                <w:sz w:val="16"/>
                <w:szCs w:val="24"/>
              </w:rPr>
              <w:t>Case-control</w:t>
            </w:r>
          </w:p>
        </w:tc>
        <w:tc>
          <w:tcPr>
            <w:tcW w:w="2059" w:type="dxa"/>
            <w:tcMar>
              <w:top w:w="35" w:type="dxa"/>
              <w:left w:w="35" w:type="dxa"/>
              <w:bottom w:w="35" w:type="dxa"/>
              <w:right w:w="35" w:type="dxa"/>
            </w:tcMar>
            <w:vAlign w:val="center"/>
          </w:tcPr>
          <w:p w14:paraId="2B2C1C0D" w14:textId="77777777" w:rsidR="00082584" w:rsidRPr="00ED581A" w:rsidRDefault="00000000">
            <w:pPr>
              <w:spacing w:line="240" w:lineRule="auto"/>
              <w:rPr>
                <w:sz w:val="16"/>
                <w:szCs w:val="24"/>
              </w:rPr>
            </w:pPr>
            <w:r w:rsidRPr="00ED581A">
              <w:rPr>
                <w:rFonts w:eastAsia="Times New Roman"/>
                <w:sz w:val="16"/>
                <w:szCs w:val="24"/>
              </w:rPr>
              <w:t>Chest pain (AMI 142 / non-AMI 85 / HC 100)</w:t>
            </w:r>
          </w:p>
        </w:tc>
        <w:tc>
          <w:tcPr>
            <w:tcW w:w="936" w:type="dxa"/>
            <w:tcMar>
              <w:top w:w="35" w:type="dxa"/>
              <w:left w:w="35" w:type="dxa"/>
              <w:bottom w:w="35" w:type="dxa"/>
              <w:right w:w="35" w:type="dxa"/>
            </w:tcMar>
            <w:vAlign w:val="center"/>
          </w:tcPr>
          <w:p w14:paraId="563CE0E2" w14:textId="77777777" w:rsidR="00082584" w:rsidRPr="00ED581A" w:rsidRDefault="00000000">
            <w:pPr>
              <w:spacing w:line="240" w:lineRule="auto"/>
              <w:rPr>
                <w:sz w:val="16"/>
                <w:szCs w:val="24"/>
              </w:rPr>
            </w:pPr>
            <w:r w:rsidRPr="00ED581A">
              <w:rPr>
                <w:rFonts w:eastAsia="Times New Roman"/>
                <w:sz w:val="16"/>
                <w:szCs w:val="24"/>
              </w:rPr>
              <w:t>miR-499 (↑)</w:t>
            </w:r>
          </w:p>
        </w:tc>
        <w:tc>
          <w:tcPr>
            <w:tcW w:w="1354" w:type="dxa"/>
            <w:tcMar>
              <w:top w:w="35" w:type="dxa"/>
              <w:left w:w="35" w:type="dxa"/>
              <w:bottom w:w="35" w:type="dxa"/>
              <w:right w:w="35" w:type="dxa"/>
            </w:tcMar>
            <w:vAlign w:val="center"/>
          </w:tcPr>
          <w:p w14:paraId="788C26D9" w14:textId="77777777" w:rsidR="00082584" w:rsidRPr="00ED581A" w:rsidRDefault="00000000">
            <w:pPr>
              <w:spacing w:line="240" w:lineRule="auto"/>
              <w:rPr>
                <w:sz w:val="16"/>
                <w:szCs w:val="24"/>
              </w:rPr>
            </w:pPr>
            <w:r w:rsidRPr="00ED581A">
              <w:rPr>
                <w:rFonts w:eastAsia="Times New Roman"/>
                <w:sz w:val="16"/>
                <w:szCs w:val="24"/>
              </w:rPr>
              <w:t>Diagnosis</w:t>
            </w:r>
          </w:p>
        </w:tc>
        <w:tc>
          <w:tcPr>
            <w:tcW w:w="1757" w:type="dxa"/>
            <w:tcMar>
              <w:top w:w="35" w:type="dxa"/>
              <w:left w:w="35" w:type="dxa"/>
              <w:bottom w:w="35" w:type="dxa"/>
              <w:right w:w="35" w:type="dxa"/>
            </w:tcMar>
            <w:vAlign w:val="center"/>
          </w:tcPr>
          <w:p w14:paraId="33BB507D" w14:textId="77777777" w:rsidR="00082584" w:rsidRPr="00ED581A" w:rsidRDefault="00000000">
            <w:pPr>
              <w:spacing w:line="240" w:lineRule="auto"/>
              <w:rPr>
                <w:sz w:val="16"/>
                <w:szCs w:val="24"/>
              </w:rPr>
            </w:pPr>
            <w:r w:rsidRPr="00ED581A">
              <w:rPr>
                <w:rFonts w:eastAsia="Times New Roman"/>
                <w:sz w:val="16"/>
                <w:szCs w:val="24"/>
              </w:rPr>
              <w:t>Cardiac-specific marker</w:t>
            </w:r>
          </w:p>
        </w:tc>
      </w:tr>
      <w:tr w:rsidR="00082584" w:rsidRPr="00ED581A" w14:paraId="5831F5B4" w14:textId="77777777">
        <w:trPr>
          <w:jc w:val="center"/>
        </w:trPr>
        <w:tc>
          <w:tcPr>
            <w:tcW w:w="792" w:type="dxa"/>
            <w:tcMar>
              <w:top w:w="35" w:type="dxa"/>
              <w:left w:w="35" w:type="dxa"/>
              <w:bottom w:w="35" w:type="dxa"/>
              <w:right w:w="35" w:type="dxa"/>
            </w:tcMar>
            <w:vAlign w:val="center"/>
          </w:tcPr>
          <w:p w14:paraId="3B963387" w14:textId="77777777" w:rsidR="00082584" w:rsidRPr="00ED581A" w:rsidRDefault="00000000">
            <w:pPr>
              <w:spacing w:line="240" w:lineRule="auto"/>
              <w:rPr>
                <w:sz w:val="16"/>
                <w:szCs w:val="24"/>
              </w:rPr>
            </w:pPr>
            <w:r w:rsidRPr="00ED581A">
              <w:rPr>
                <w:rFonts w:eastAsia="Times New Roman"/>
                <w:sz w:val="16"/>
                <w:szCs w:val="24"/>
              </w:rPr>
              <w:t>Su, 2019</w:t>
            </w:r>
          </w:p>
        </w:tc>
        <w:tc>
          <w:tcPr>
            <w:tcW w:w="605" w:type="dxa"/>
            <w:tcMar>
              <w:top w:w="35" w:type="dxa"/>
              <w:left w:w="35" w:type="dxa"/>
              <w:bottom w:w="35" w:type="dxa"/>
              <w:right w:w="35" w:type="dxa"/>
            </w:tcMar>
            <w:vAlign w:val="center"/>
          </w:tcPr>
          <w:p w14:paraId="0C43A5C7" w14:textId="77777777" w:rsidR="00082584" w:rsidRPr="00ED581A" w:rsidRDefault="00000000">
            <w:pPr>
              <w:spacing w:line="240" w:lineRule="auto"/>
              <w:rPr>
                <w:sz w:val="16"/>
                <w:szCs w:val="24"/>
              </w:rPr>
            </w:pPr>
            <w:r w:rsidRPr="00ED581A">
              <w:rPr>
                <w:rFonts w:eastAsia="Times New Roman"/>
                <w:sz w:val="16"/>
                <w:szCs w:val="24"/>
              </w:rPr>
              <w:t>China</w:t>
            </w:r>
          </w:p>
        </w:tc>
        <w:tc>
          <w:tcPr>
            <w:tcW w:w="907" w:type="dxa"/>
            <w:tcMar>
              <w:top w:w="35" w:type="dxa"/>
              <w:left w:w="35" w:type="dxa"/>
              <w:bottom w:w="35" w:type="dxa"/>
              <w:right w:w="35" w:type="dxa"/>
            </w:tcMar>
            <w:vAlign w:val="center"/>
          </w:tcPr>
          <w:p w14:paraId="1A3B6DB4" w14:textId="77777777" w:rsidR="00082584" w:rsidRPr="00ED581A" w:rsidRDefault="00000000">
            <w:pPr>
              <w:spacing w:line="240" w:lineRule="auto"/>
              <w:rPr>
                <w:sz w:val="16"/>
                <w:szCs w:val="24"/>
              </w:rPr>
            </w:pPr>
            <w:r w:rsidRPr="00ED581A">
              <w:rPr>
                <w:rFonts w:eastAsia="Times New Roman"/>
                <w:sz w:val="16"/>
                <w:szCs w:val="24"/>
              </w:rPr>
              <w:t>Prospective cohort</w:t>
            </w:r>
          </w:p>
        </w:tc>
        <w:tc>
          <w:tcPr>
            <w:tcW w:w="2059" w:type="dxa"/>
            <w:tcMar>
              <w:top w:w="35" w:type="dxa"/>
              <w:left w:w="35" w:type="dxa"/>
              <w:bottom w:w="35" w:type="dxa"/>
              <w:right w:w="35" w:type="dxa"/>
            </w:tcMar>
            <w:vAlign w:val="center"/>
          </w:tcPr>
          <w:p w14:paraId="74EC64E2" w14:textId="77777777" w:rsidR="00082584" w:rsidRPr="00ED581A" w:rsidRDefault="00000000">
            <w:pPr>
              <w:spacing w:line="240" w:lineRule="auto"/>
              <w:rPr>
                <w:sz w:val="16"/>
                <w:szCs w:val="24"/>
              </w:rPr>
            </w:pPr>
            <w:r w:rsidRPr="00ED581A">
              <w:rPr>
                <w:rFonts w:eastAsia="Times New Roman"/>
                <w:sz w:val="16"/>
                <w:szCs w:val="24"/>
              </w:rPr>
              <w:t>Acute chest pain (AMI 174 / non-AMI 167 / control 100)</w:t>
            </w:r>
          </w:p>
        </w:tc>
        <w:tc>
          <w:tcPr>
            <w:tcW w:w="936" w:type="dxa"/>
            <w:tcMar>
              <w:top w:w="35" w:type="dxa"/>
              <w:left w:w="35" w:type="dxa"/>
              <w:bottom w:w="35" w:type="dxa"/>
              <w:right w:w="35" w:type="dxa"/>
            </w:tcMar>
            <w:vAlign w:val="center"/>
          </w:tcPr>
          <w:p w14:paraId="2BE731C8" w14:textId="77777777" w:rsidR="00082584" w:rsidRPr="00ED581A" w:rsidRDefault="00000000">
            <w:pPr>
              <w:spacing w:line="240" w:lineRule="auto"/>
              <w:rPr>
                <w:sz w:val="16"/>
                <w:szCs w:val="24"/>
              </w:rPr>
            </w:pPr>
            <w:r w:rsidRPr="00ED581A">
              <w:rPr>
                <w:rFonts w:eastAsia="Times New Roman"/>
                <w:sz w:val="16"/>
                <w:szCs w:val="24"/>
              </w:rPr>
              <w:t>miR-1 (↑)</w:t>
            </w:r>
          </w:p>
        </w:tc>
        <w:tc>
          <w:tcPr>
            <w:tcW w:w="1354" w:type="dxa"/>
            <w:tcMar>
              <w:top w:w="35" w:type="dxa"/>
              <w:left w:w="35" w:type="dxa"/>
              <w:bottom w:w="35" w:type="dxa"/>
              <w:right w:w="35" w:type="dxa"/>
            </w:tcMar>
            <w:vAlign w:val="center"/>
          </w:tcPr>
          <w:p w14:paraId="5F6D8CE9" w14:textId="77777777" w:rsidR="00082584" w:rsidRPr="00ED581A" w:rsidRDefault="00000000">
            <w:pPr>
              <w:spacing w:line="240" w:lineRule="auto"/>
              <w:rPr>
                <w:sz w:val="16"/>
                <w:szCs w:val="24"/>
              </w:rPr>
            </w:pPr>
            <w:r w:rsidRPr="00ED581A">
              <w:rPr>
                <w:rFonts w:eastAsia="Times New Roman"/>
                <w:sz w:val="16"/>
                <w:szCs w:val="24"/>
              </w:rPr>
              <w:t>Diagnosis, prognosis</w:t>
            </w:r>
          </w:p>
        </w:tc>
        <w:tc>
          <w:tcPr>
            <w:tcW w:w="1757" w:type="dxa"/>
            <w:tcMar>
              <w:top w:w="35" w:type="dxa"/>
              <w:left w:w="35" w:type="dxa"/>
              <w:bottom w:w="35" w:type="dxa"/>
              <w:right w:w="35" w:type="dxa"/>
            </w:tcMar>
            <w:vAlign w:val="center"/>
          </w:tcPr>
          <w:p w14:paraId="08C3BCE3" w14:textId="77777777" w:rsidR="00082584" w:rsidRPr="00ED581A" w:rsidRDefault="00000000">
            <w:pPr>
              <w:spacing w:line="240" w:lineRule="auto"/>
              <w:rPr>
                <w:sz w:val="16"/>
                <w:szCs w:val="24"/>
              </w:rPr>
            </w:pPr>
            <w:r w:rsidRPr="00ED581A">
              <w:rPr>
                <w:rFonts w:eastAsia="Times New Roman"/>
                <w:sz w:val="16"/>
                <w:szCs w:val="24"/>
              </w:rPr>
              <w:t>cTnI correlation</w:t>
            </w:r>
          </w:p>
        </w:tc>
      </w:tr>
      <w:tr w:rsidR="00082584" w:rsidRPr="00ED581A" w14:paraId="11A90968" w14:textId="77777777">
        <w:trPr>
          <w:jc w:val="center"/>
        </w:trPr>
        <w:tc>
          <w:tcPr>
            <w:tcW w:w="792" w:type="dxa"/>
            <w:tcMar>
              <w:top w:w="35" w:type="dxa"/>
              <w:left w:w="35" w:type="dxa"/>
              <w:bottom w:w="35" w:type="dxa"/>
              <w:right w:w="35" w:type="dxa"/>
            </w:tcMar>
            <w:vAlign w:val="center"/>
          </w:tcPr>
          <w:p w14:paraId="0FABDECC" w14:textId="77777777" w:rsidR="00082584" w:rsidRPr="00ED581A" w:rsidRDefault="00000000">
            <w:pPr>
              <w:spacing w:line="240" w:lineRule="auto"/>
              <w:rPr>
                <w:sz w:val="16"/>
                <w:szCs w:val="24"/>
              </w:rPr>
            </w:pPr>
            <w:r w:rsidRPr="00ED581A">
              <w:rPr>
                <w:rFonts w:eastAsia="Times New Roman"/>
                <w:sz w:val="16"/>
                <w:szCs w:val="24"/>
              </w:rPr>
              <w:t>Chen, 2022</w:t>
            </w:r>
          </w:p>
        </w:tc>
        <w:tc>
          <w:tcPr>
            <w:tcW w:w="605" w:type="dxa"/>
            <w:tcMar>
              <w:top w:w="35" w:type="dxa"/>
              <w:left w:w="35" w:type="dxa"/>
              <w:bottom w:w="35" w:type="dxa"/>
              <w:right w:w="35" w:type="dxa"/>
            </w:tcMar>
            <w:vAlign w:val="center"/>
          </w:tcPr>
          <w:p w14:paraId="4F8EFADF" w14:textId="77777777" w:rsidR="00082584" w:rsidRPr="00ED581A" w:rsidRDefault="00000000">
            <w:pPr>
              <w:spacing w:line="240" w:lineRule="auto"/>
              <w:rPr>
                <w:sz w:val="16"/>
                <w:szCs w:val="24"/>
              </w:rPr>
            </w:pPr>
            <w:r w:rsidRPr="00ED581A">
              <w:rPr>
                <w:rFonts w:eastAsia="Times New Roman"/>
                <w:sz w:val="16"/>
                <w:szCs w:val="24"/>
              </w:rPr>
              <w:t>China</w:t>
            </w:r>
          </w:p>
        </w:tc>
        <w:tc>
          <w:tcPr>
            <w:tcW w:w="907" w:type="dxa"/>
            <w:tcMar>
              <w:top w:w="35" w:type="dxa"/>
              <w:left w:w="35" w:type="dxa"/>
              <w:bottom w:w="35" w:type="dxa"/>
              <w:right w:w="35" w:type="dxa"/>
            </w:tcMar>
            <w:vAlign w:val="center"/>
          </w:tcPr>
          <w:p w14:paraId="3B3B10C8" w14:textId="77777777" w:rsidR="00082584" w:rsidRPr="00ED581A" w:rsidRDefault="00000000">
            <w:pPr>
              <w:spacing w:line="240" w:lineRule="auto"/>
              <w:rPr>
                <w:sz w:val="16"/>
                <w:szCs w:val="24"/>
              </w:rPr>
            </w:pPr>
            <w:r w:rsidRPr="00ED581A">
              <w:rPr>
                <w:rFonts w:eastAsia="Times New Roman"/>
                <w:sz w:val="16"/>
                <w:szCs w:val="24"/>
              </w:rPr>
              <w:t>Case-control</w:t>
            </w:r>
          </w:p>
        </w:tc>
        <w:tc>
          <w:tcPr>
            <w:tcW w:w="2059" w:type="dxa"/>
            <w:tcMar>
              <w:top w:w="35" w:type="dxa"/>
              <w:left w:w="35" w:type="dxa"/>
              <w:bottom w:w="35" w:type="dxa"/>
              <w:right w:w="35" w:type="dxa"/>
            </w:tcMar>
            <w:vAlign w:val="center"/>
          </w:tcPr>
          <w:p w14:paraId="63FFA557" w14:textId="77777777" w:rsidR="00082584" w:rsidRPr="00ED581A" w:rsidRDefault="00000000">
            <w:pPr>
              <w:spacing w:line="240" w:lineRule="auto"/>
              <w:rPr>
                <w:sz w:val="16"/>
                <w:szCs w:val="24"/>
              </w:rPr>
            </w:pPr>
            <w:r w:rsidRPr="00ED581A">
              <w:rPr>
                <w:rFonts w:eastAsia="Times New Roman"/>
                <w:sz w:val="16"/>
                <w:szCs w:val="24"/>
              </w:rPr>
              <w:t>AMI post-PCI 84 + HC 50</w:t>
            </w:r>
          </w:p>
        </w:tc>
        <w:tc>
          <w:tcPr>
            <w:tcW w:w="936" w:type="dxa"/>
            <w:tcMar>
              <w:top w:w="35" w:type="dxa"/>
              <w:left w:w="35" w:type="dxa"/>
              <w:bottom w:w="35" w:type="dxa"/>
              <w:right w:w="35" w:type="dxa"/>
            </w:tcMar>
            <w:vAlign w:val="center"/>
          </w:tcPr>
          <w:p w14:paraId="6176EEE4" w14:textId="77777777" w:rsidR="00082584" w:rsidRPr="00ED581A" w:rsidRDefault="00000000">
            <w:pPr>
              <w:spacing w:line="240" w:lineRule="auto"/>
              <w:rPr>
                <w:sz w:val="16"/>
                <w:szCs w:val="24"/>
              </w:rPr>
            </w:pPr>
            <w:r w:rsidRPr="00ED581A">
              <w:rPr>
                <w:rFonts w:eastAsia="Times New Roman"/>
                <w:sz w:val="16"/>
                <w:szCs w:val="24"/>
              </w:rPr>
              <w:t>miR-208a (↑)</w:t>
            </w:r>
          </w:p>
        </w:tc>
        <w:tc>
          <w:tcPr>
            <w:tcW w:w="1354" w:type="dxa"/>
            <w:tcMar>
              <w:top w:w="35" w:type="dxa"/>
              <w:left w:w="35" w:type="dxa"/>
              <w:bottom w:w="35" w:type="dxa"/>
              <w:right w:w="35" w:type="dxa"/>
            </w:tcMar>
            <w:vAlign w:val="center"/>
          </w:tcPr>
          <w:p w14:paraId="2AB79D6F" w14:textId="77777777" w:rsidR="00082584" w:rsidRPr="00ED581A" w:rsidRDefault="00000000">
            <w:pPr>
              <w:spacing w:line="240" w:lineRule="auto"/>
              <w:rPr>
                <w:sz w:val="16"/>
                <w:szCs w:val="24"/>
              </w:rPr>
            </w:pPr>
            <w:r w:rsidRPr="00ED581A">
              <w:rPr>
                <w:rFonts w:eastAsia="Times New Roman"/>
                <w:sz w:val="16"/>
                <w:szCs w:val="24"/>
              </w:rPr>
              <w:t>Diagnosis, prognosis</w:t>
            </w:r>
          </w:p>
        </w:tc>
        <w:tc>
          <w:tcPr>
            <w:tcW w:w="1757" w:type="dxa"/>
            <w:tcMar>
              <w:top w:w="35" w:type="dxa"/>
              <w:left w:w="35" w:type="dxa"/>
              <w:bottom w:w="35" w:type="dxa"/>
              <w:right w:w="35" w:type="dxa"/>
            </w:tcMar>
            <w:vAlign w:val="center"/>
          </w:tcPr>
          <w:p w14:paraId="611F87C9" w14:textId="77777777" w:rsidR="00082584" w:rsidRPr="00ED581A" w:rsidRDefault="00000000">
            <w:pPr>
              <w:spacing w:line="240" w:lineRule="auto"/>
              <w:rPr>
                <w:sz w:val="16"/>
                <w:szCs w:val="24"/>
              </w:rPr>
            </w:pPr>
            <w:r w:rsidRPr="00ED581A">
              <w:rPr>
                <w:rFonts w:eastAsia="Times New Roman"/>
                <w:sz w:val="16"/>
                <w:szCs w:val="24"/>
              </w:rPr>
              <w:t>Senescence; mTOR; Wnt</w:t>
            </w:r>
          </w:p>
        </w:tc>
      </w:tr>
      <w:tr w:rsidR="00082584" w:rsidRPr="00ED581A" w14:paraId="2AEE3ED3" w14:textId="77777777">
        <w:trPr>
          <w:jc w:val="center"/>
        </w:trPr>
        <w:tc>
          <w:tcPr>
            <w:tcW w:w="792" w:type="dxa"/>
            <w:tcMar>
              <w:top w:w="35" w:type="dxa"/>
              <w:left w:w="35" w:type="dxa"/>
              <w:bottom w:w="35" w:type="dxa"/>
              <w:right w:w="35" w:type="dxa"/>
            </w:tcMar>
            <w:vAlign w:val="center"/>
          </w:tcPr>
          <w:p w14:paraId="1CDA9707" w14:textId="77777777" w:rsidR="00082584" w:rsidRPr="00ED581A" w:rsidRDefault="00000000">
            <w:pPr>
              <w:spacing w:line="240" w:lineRule="auto"/>
              <w:rPr>
                <w:sz w:val="16"/>
                <w:szCs w:val="24"/>
              </w:rPr>
            </w:pPr>
            <w:r w:rsidRPr="00ED581A">
              <w:rPr>
                <w:rFonts w:eastAsia="Times New Roman"/>
                <w:sz w:val="16"/>
                <w:szCs w:val="24"/>
              </w:rPr>
              <w:t>Mi, 2022</w:t>
            </w:r>
          </w:p>
        </w:tc>
        <w:tc>
          <w:tcPr>
            <w:tcW w:w="605" w:type="dxa"/>
            <w:tcMar>
              <w:top w:w="35" w:type="dxa"/>
              <w:left w:w="35" w:type="dxa"/>
              <w:bottom w:w="35" w:type="dxa"/>
              <w:right w:w="35" w:type="dxa"/>
            </w:tcMar>
            <w:vAlign w:val="center"/>
          </w:tcPr>
          <w:p w14:paraId="08E09C85" w14:textId="77777777" w:rsidR="00082584" w:rsidRPr="00ED581A" w:rsidRDefault="00000000">
            <w:pPr>
              <w:spacing w:line="240" w:lineRule="auto"/>
              <w:rPr>
                <w:sz w:val="16"/>
                <w:szCs w:val="24"/>
              </w:rPr>
            </w:pPr>
            <w:r w:rsidRPr="00ED581A">
              <w:rPr>
                <w:rFonts w:eastAsia="Times New Roman"/>
                <w:sz w:val="16"/>
                <w:szCs w:val="24"/>
              </w:rPr>
              <w:t>China</w:t>
            </w:r>
          </w:p>
        </w:tc>
        <w:tc>
          <w:tcPr>
            <w:tcW w:w="907" w:type="dxa"/>
            <w:tcMar>
              <w:top w:w="35" w:type="dxa"/>
              <w:left w:w="35" w:type="dxa"/>
              <w:bottom w:w="35" w:type="dxa"/>
              <w:right w:w="35" w:type="dxa"/>
            </w:tcMar>
            <w:vAlign w:val="center"/>
          </w:tcPr>
          <w:p w14:paraId="2BE15DE7" w14:textId="77777777" w:rsidR="00082584" w:rsidRPr="00ED581A" w:rsidRDefault="00000000">
            <w:pPr>
              <w:spacing w:line="240" w:lineRule="auto"/>
              <w:rPr>
                <w:sz w:val="16"/>
                <w:szCs w:val="24"/>
              </w:rPr>
            </w:pPr>
            <w:r w:rsidRPr="00ED581A">
              <w:rPr>
                <w:rFonts w:eastAsia="Times New Roman"/>
                <w:sz w:val="16"/>
                <w:szCs w:val="24"/>
              </w:rPr>
              <w:t>Case-control</w:t>
            </w:r>
          </w:p>
        </w:tc>
        <w:tc>
          <w:tcPr>
            <w:tcW w:w="2059" w:type="dxa"/>
            <w:tcMar>
              <w:top w:w="35" w:type="dxa"/>
              <w:left w:w="35" w:type="dxa"/>
              <w:bottom w:w="35" w:type="dxa"/>
              <w:right w:w="35" w:type="dxa"/>
            </w:tcMar>
            <w:vAlign w:val="center"/>
          </w:tcPr>
          <w:p w14:paraId="7FDC3A9C" w14:textId="77777777" w:rsidR="00082584" w:rsidRPr="00ED581A" w:rsidRDefault="00000000">
            <w:pPr>
              <w:spacing w:line="240" w:lineRule="auto"/>
              <w:rPr>
                <w:sz w:val="16"/>
                <w:szCs w:val="24"/>
              </w:rPr>
            </w:pPr>
            <w:r w:rsidRPr="00ED581A">
              <w:rPr>
                <w:rFonts w:eastAsia="Times New Roman"/>
                <w:sz w:val="16"/>
                <w:szCs w:val="24"/>
              </w:rPr>
              <w:t>STEMI (IR-ATO/IR-BVR) 100 + HC 50</w:t>
            </w:r>
          </w:p>
        </w:tc>
        <w:tc>
          <w:tcPr>
            <w:tcW w:w="936" w:type="dxa"/>
            <w:tcMar>
              <w:top w:w="35" w:type="dxa"/>
              <w:left w:w="35" w:type="dxa"/>
              <w:bottom w:w="35" w:type="dxa"/>
              <w:right w:w="35" w:type="dxa"/>
            </w:tcMar>
            <w:vAlign w:val="center"/>
          </w:tcPr>
          <w:p w14:paraId="3EC16EC1" w14:textId="77777777" w:rsidR="00082584" w:rsidRPr="00ED581A" w:rsidRDefault="00000000">
            <w:pPr>
              <w:spacing w:line="240" w:lineRule="auto"/>
              <w:rPr>
                <w:sz w:val="16"/>
                <w:szCs w:val="24"/>
              </w:rPr>
            </w:pPr>
            <w:r w:rsidRPr="00ED581A">
              <w:rPr>
                <w:rFonts w:eastAsia="Times New Roman"/>
                <w:sz w:val="16"/>
                <w:szCs w:val="24"/>
              </w:rPr>
              <w:t>miR-21-5p, miR-126 (↑)</w:t>
            </w:r>
          </w:p>
        </w:tc>
        <w:tc>
          <w:tcPr>
            <w:tcW w:w="1354" w:type="dxa"/>
            <w:tcMar>
              <w:top w:w="35" w:type="dxa"/>
              <w:left w:w="35" w:type="dxa"/>
              <w:bottom w:w="35" w:type="dxa"/>
              <w:right w:w="35" w:type="dxa"/>
            </w:tcMar>
            <w:vAlign w:val="center"/>
          </w:tcPr>
          <w:p w14:paraId="1DC2B42A" w14:textId="77777777" w:rsidR="00082584" w:rsidRPr="00ED581A" w:rsidRDefault="00000000">
            <w:pPr>
              <w:spacing w:line="240" w:lineRule="auto"/>
              <w:rPr>
                <w:sz w:val="16"/>
                <w:szCs w:val="24"/>
              </w:rPr>
            </w:pPr>
            <w:r w:rsidRPr="00ED581A">
              <w:rPr>
                <w:rFonts w:eastAsia="Times New Roman"/>
                <w:sz w:val="16"/>
                <w:szCs w:val="24"/>
              </w:rPr>
              <w:t>Prognosis (MACE)</w:t>
            </w:r>
          </w:p>
        </w:tc>
        <w:tc>
          <w:tcPr>
            <w:tcW w:w="1757" w:type="dxa"/>
            <w:tcMar>
              <w:top w:w="35" w:type="dxa"/>
              <w:left w:w="35" w:type="dxa"/>
              <w:bottom w:w="35" w:type="dxa"/>
              <w:right w:w="35" w:type="dxa"/>
            </w:tcMar>
            <w:vAlign w:val="center"/>
          </w:tcPr>
          <w:p w14:paraId="51865EC3" w14:textId="77777777" w:rsidR="00082584" w:rsidRPr="00ED581A" w:rsidRDefault="00000000">
            <w:pPr>
              <w:spacing w:line="240" w:lineRule="auto"/>
              <w:rPr>
                <w:sz w:val="16"/>
                <w:szCs w:val="24"/>
              </w:rPr>
            </w:pPr>
            <w:r w:rsidRPr="00ED581A">
              <w:rPr>
                <w:rFonts w:eastAsia="Times New Roman"/>
                <w:sz w:val="16"/>
                <w:szCs w:val="24"/>
              </w:rPr>
              <w:t>PTEN; PI3K/AKT</w:t>
            </w:r>
          </w:p>
        </w:tc>
      </w:tr>
      <w:tr w:rsidR="00082584" w:rsidRPr="00ED581A" w14:paraId="0F3363E3" w14:textId="77777777">
        <w:trPr>
          <w:jc w:val="center"/>
        </w:trPr>
        <w:tc>
          <w:tcPr>
            <w:tcW w:w="792" w:type="dxa"/>
            <w:tcMar>
              <w:top w:w="35" w:type="dxa"/>
              <w:left w:w="35" w:type="dxa"/>
              <w:bottom w:w="35" w:type="dxa"/>
              <w:right w:w="35" w:type="dxa"/>
            </w:tcMar>
            <w:vAlign w:val="center"/>
          </w:tcPr>
          <w:p w14:paraId="10ECF248" w14:textId="77777777" w:rsidR="00082584" w:rsidRPr="00ED581A" w:rsidRDefault="00000000">
            <w:pPr>
              <w:spacing w:line="240" w:lineRule="auto"/>
              <w:rPr>
                <w:sz w:val="16"/>
                <w:szCs w:val="24"/>
              </w:rPr>
            </w:pPr>
            <w:r w:rsidRPr="00ED581A">
              <w:rPr>
                <w:rFonts w:eastAsia="Times New Roman"/>
                <w:sz w:val="16"/>
                <w:szCs w:val="24"/>
              </w:rPr>
              <w:t>Scarlatescu, 2022</w:t>
            </w:r>
          </w:p>
        </w:tc>
        <w:tc>
          <w:tcPr>
            <w:tcW w:w="605" w:type="dxa"/>
            <w:tcMar>
              <w:top w:w="35" w:type="dxa"/>
              <w:left w:w="35" w:type="dxa"/>
              <w:bottom w:w="35" w:type="dxa"/>
              <w:right w:w="35" w:type="dxa"/>
            </w:tcMar>
            <w:vAlign w:val="center"/>
          </w:tcPr>
          <w:p w14:paraId="6D176E86" w14:textId="77777777" w:rsidR="00082584" w:rsidRPr="00ED581A" w:rsidRDefault="00000000">
            <w:pPr>
              <w:spacing w:line="240" w:lineRule="auto"/>
              <w:rPr>
                <w:sz w:val="16"/>
                <w:szCs w:val="24"/>
              </w:rPr>
            </w:pPr>
            <w:r w:rsidRPr="00ED581A">
              <w:rPr>
                <w:rFonts w:eastAsia="Times New Roman"/>
                <w:sz w:val="16"/>
                <w:szCs w:val="24"/>
              </w:rPr>
              <w:t>Romania</w:t>
            </w:r>
          </w:p>
        </w:tc>
        <w:tc>
          <w:tcPr>
            <w:tcW w:w="907" w:type="dxa"/>
            <w:tcMar>
              <w:top w:w="35" w:type="dxa"/>
              <w:left w:w="35" w:type="dxa"/>
              <w:bottom w:w="35" w:type="dxa"/>
              <w:right w:w="35" w:type="dxa"/>
            </w:tcMar>
            <w:vAlign w:val="center"/>
          </w:tcPr>
          <w:p w14:paraId="36F7F7A0" w14:textId="77777777" w:rsidR="00082584" w:rsidRPr="00ED581A" w:rsidRDefault="00000000">
            <w:pPr>
              <w:spacing w:line="240" w:lineRule="auto"/>
              <w:rPr>
                <w:sz w:val="16"/>
                <w:szCs w:val="24"/>
              </w:rPr>
            </w:pPr>
            <w:r w:rsidRPr="00ED581A">
              <w:rPr>
                <w:rFonts w:eastAsia="Times New Roman"/>
                <w:sz w:val="16"/>
                <w:szCs w:val="24"/>
              </w:rPr>
              <w:t>Prospective cohort</w:t>
            </w:r>
          </w:p>
        </w:tc>
        <w:tc>
          <w:tcPr>
            <w:tcW w:w="2059" w:type="dxa"/>
            <w:tcMar>
              <w:top w:w="35" w:type="dxa"/>
              <w:left w:w="35" w:type="dxa"/>
              <w:bottom w:w="35" w:type="dxa"/>
              <w:right w:w="35" w:type="dxa"/>
            </w:tcMar>
            <w:vAlign w:val="center"/>
          </w:tcPr>
          <w:p w14:paraId="61E39329" w14:textId="77777777" w:rsidR="00082584" w:rsidRPr="00ED581A" w:rsidRDefault="00000000">
            <w:pPr>
              <w:spacing w:line="240" w:lineRule="auto"/>
              <w:rPr>
                <w:sz w:val="16"/>
                <w:szCs w:val="24"/>
              </w:rPr>
            </w:pPr>
            <w:r w:rsidRPr="00ED581A">
              <w:rPr>
                <w:rFonts w:eastAsia="Times New Roman"/>
                <w:sz w:val="16"/>
                <w:szCs w:val="24"/>
              </w:rPr>
              <w:t>Young STEMI 50 + HC 10</w:t>
            </w:r>
          </w:p>
        </w:tc>
        <w:tc>
          <w:tcPr>
            <w:tcW w:w="936" w:type="dxa"/>
            <w:tcMar>
              <w:top w:w="35" w:type="dxa"/>
              <w:left w:w="35" w:type="dxa"/>
              <w:bottom w:w="35" w:type="dxa"/>
              <w:right w:w="35" w:type="dxa"/>
            </w:tcMar>
            <w:vAlign w:val="center"/>
          </w:tcPr>
          <w:p w14:paraId="72916428" w14:textId="77777777" w:rsidR="00082584" w:rsidRPr="00ED581A" w:rsidRDefault="00000000">
            <w:pPr>
              <w:spacing w:line="240" w:lineRule="auto"/>
              <w:rPr>
                <w:sz w:val="16"/>
                <w:szCs w:val="24"/>
              </w:rPr>
            </w:pPr>
            <w:r w:rsidRPr="00ED581A">
              <w:rPr>
                <w:rFonts w:eastAsia="Times New Roman"/>
                <w:sz w:val="16"/>
                <w:szCs w:val="24"/>
              </w:rPr>
              <w:t>miR-146a-5p, miR-223-3p, miR-142-3p (↑)</w:t>
            </w:r>
          </w:p>
        </w:tc>
        <w:tc>
          <w:tcPr>
            <w:tcW w:w="1354" w:type="dxa"/>
            <w:tcMar>
              <w:top w:w="35" w:type="dxa"/>
              <w:left w:w="35" w:type="dxa"/>
              <w:bottom w:w="35" w:type="dxa"/>
              <w:right w:w="35" w:type="dxa"/>
            </w:tcMar>
            <w:vAlign w:val="center"/>
          </w:tcPr>
          <w:p w14:paraId="4EBC51AF" w14:textId="77777777" w:rsidR="00082584" w:rsidRPr="00ED581A" w:rsidRDefault="00000000">
            <w:pPr>
              <w:spacing w:line="240" w:lineRule="auto"/>
              <w:rPr>
                <w:sz w:val="16"/>
                <w:szCs w:val="24"/>
              </w:rPr>
            </w:pPr>
            <w:r w:rsidRPr="00ED581A">
              <w:rPr>
                <w:rFonts w:eastAsia="Times New Roman"/>
                <w:sz w:val="16"/>
                <w:szCs w:val="24"/>
              </w:rPr>
              <w:t>Inflammation, prognosis</w:t>
            </w:r>
          </w:p>
        </w:tc>
        <w:tc>
          <w:tcPr>
            <w:tcW w:w="1757" w:type="dxa"/>
            <w:tcMar>
              <w:top w:w="35" w:type="dxa"/>
              <w:left w:w="35" w:type="dxa"/>
              <w:bottom w:w="35" w:type="dxa"/>
              <w:right w:w="35" w:type="dxa"/>
            </w:tcMar>
            <w:vAlign w:val="center"/>
          </w:tcPr>
          <w:p w14:paraId="299689DB" w14:textId="77777777" w:rsidR="00082584" w:rsidRPr="00ED581A" w:rsidRDefault="00000000">
            <w:pPr>
              <w:spacing w:line="240" w:lineRule="auto"/>
              <w:rPr>
                <w:sz w:val="16"/>
                <w:szCs w:val="24"/>
              </w:rPr>
            </w:pPr>
            <w:r w:rsidRPr="00ED581A">
              <w:rPr>
                <w:rFonts w:eastAsia="Times New Roman"/>
                <w:sz w:val="16"/>
                <w:szCs w:val="24"/>
              </w:rPr>
              <w:t>Immune regulation</w:t>
            </w:r>
          </w:p>
        </w:tc>
      </w:tr>
      <w:tr w:rsidR="00082584" w:rsidRPr="00ED581A" w14:paraId="6D169C55" w14:textId="77777777">
        <w:trPr>
          <w:jc w:val="center"/>
        </w:trPr>
        <w:tc>
          <w:tcPr>
            <w:tcW w:w="792" w:type="dxa"/>
            <w:tcMar>
              <w:top w:w="35" w:type="dxa"/>
              <w:left w:w="35" w:type="dxa"/>
              <w:bottom w:w="35" w:type="dxa"/>
              <w:right w:w="35" w:type="dxa"/>
            </w:tcMar>
            <w:vAlign w:val="center"/>
          </w:tcPr>
          <w:p w14:paraId="418BC053" w14:textId="77777777" w:rsidR="00082584" w:rsidRPr="00ED581A" w:rsidRDefault="00000000">
            <w:pPr>
              <w:spacing w:line="240" w:lineRule="auto"/>
              <w:rPr>
                <w:sz w:val="16"/>
                <w:szCs w:val="24"/>
              </w:rPr>
            </w:pPr>
            <w:r w:rsidRPr="00ED581A">
              <w:rPr>
                <w:rFonts w:eastAsia="Times New Roman"/>
                <w:sz w:val="16"/>
                <w:szCs w:val="24"/>
              </w:rPr>
              <w:t>Tony, 2015</w:t>
            </w:r>
          </w:p>
        </w:tc>
        <w:tc>
          <w:tcPr>
            <w:tcW w:w="605" w:type="dxa"/>
            <w:tcMar>
              <w:top w:w="35" w:type="dxa"/>
              <w:left w:w="35" w:type="dxa"/>
              <w:bottom w:w="35" w:type="dxa"/>
              <w:right w:w="35" w:type="dxa"/>
            </w:tcMar>
            <w:vAlign w:val="center"/>
          </w:tcPr>
          <w:p w14:paraId="295E0739" w14:textId="77777777" w:rsidR="00082584" w:rsidRPr="00ED581A" w:rsidRDefault="00000000">
            <w:pPr>
              <w:spacing w:line="240" w:lineRule="auto"/>
              <w:rPr>
                <w:sz w:val="16"/>
                <w:szCs w:val="24"/>
              </w:rPr>
            </w:pPr>
            <w:r w:rsidRPr="00ED581A">
              <w:rPr>
                <w:rFonts w:eastAsia="Times New Roman"/>
                <w:sz w:val="16"/>
                <w:szCs w:val="24"/>
              </w:rPr>
              <w:t>China</w:t>
            </w:r>
          </w:p>
        </w:tc>
        <w:tc>
          <w:tcPr>
            <w:tcW w:w="907" w:type="dxa"/>
            <w:tcMar>
              <w:top w:w="35" w:type="dxa"/>
              <w:left w:w="35" w:type="dxa"/>
              <w:bottom w:w="35" w:type="dxa"/>
              <w:right w:w="35" w:type="dxa"/>
            </w:tcMar>
            <w:vAlign w:val="center"/>
          </w:tcPr>
          <w:p w14:paraId="1747CBBC" w14:textId="77777777" w:rsidR="00082584" w:rsidRPr="00ED581A" w:rsidRDefault="00000000">
            <w:pPr>
              <w:spacing w:line="240" w:lineRule="auto"/>
              <w:rPr>
                <w:sz w:val="16"/>
                <w:szCs w:val="24"/>
              </w:rPr>
            </w:pPr>
            <w:r w:rsidRPr="00ED581A">
              <w:rPr>
                <w:rFonts w:eastAsia="Times New Roman"/>
                <w:sz w:val="16"/>
                <w:szCs w:val="24"/>
              </w:rPr>
              <w:t>Animal + in vitro</w:t>
            </w:r>
          </w:p>
        </w:tc>
        <w:tc>
          <w:tcPr>
            <w:tcW w:w="2059" w:type="dxa"/>
            <w:tcMar>
              <w:top w:w="35" w:type="dxa"/>
              <w:left w:w="35" w:type="dxa"/>
              <w:bottom w:w="35" w:type="dxa"/>
              <w:right w:w="35" w:type="dxa"/>
            </w:tcMar>
            <w:vAlign w:val="center"/>
          </w:tcPr>
          <w:p w14:paraId="385F9D5A" w14:textId="77777777" w:rsidR="00082584" w:rsidRPr="00ED581A" w:rsidRDefault="00000000">
            <w:pPr>
              <w:spacing w:line="240" w:lineRule="auto"/>
              <w:rPr>
                <w:sz w:val="16"/>
                <w:szCs w:val="24"/>
              </w:rPr>
            </w:pPr>
            <w:r w:rsidRPr="00ED581A">
              <w:rPr>
                <w:rFonts w:eastAsia="Times New Roman"/>
                <w:sz w:val="16"/>
                <w:szCs w:val="24"/>
              </w:rPr>
              <w:t>C57BL/6 mice + cardiomyocytes (6-7/grp)</w:t>
            </w:r>
          </w:p>
        </w:tc>
        <w:tc>
          <w:tcPr>
            <w:tcW w:w="936" w:type="dxa"/>
            <w:tcMar>
              <w:top w:w="35" w:type="dxa"/>
              <w:left w:w="35" w:type="dxa"/>
              <w:bottom w:w="35" w:type="dxa"/>
              <w:right w:w="35" w:type="dxa"/>
            </w:tcMar>
            <w:vAlign w:val="center"/>
          </w:tcPr>
          <w:p w14:paraId="4724460F" w14:textId="77777777" w:rsidR="00082584" w:rsidRPr="00ED581A" w:rsidRDefault="00000000">
            <w:pPr>
              <w:spacing w:line="240" w:lineRule="auto"/>
              <w:rPr>
                <w:sz w:val="16"/>
                <w:szCs w:val="24"/>
              </w:rPr>
            </w:pPr>
            <w:r w:rsidRPr="00ED581A">
              <w:rPr>
                <w:rFonts w:eastAsia="Times New Roman"/>
                <w:sz w:val="16"/>
                <w:szCs w:val="24"/>
              </w:rPr>
              <w:t>miR-208a (↑)</w:t>
            </w:r>
          </w:p>
        </w:tc>
        <w:tc>
          <w:tcPr>
            <w:tcW w:w="1354" w:type="dxa"/>
            <w:tcMar>
              <w:top w:w="35" w:type="dxa"/>
              <w:left w:w="35" w:type="dxa"/>
              <w:bottom w:w="35" w:type="dxa"/>
              <w:right w:w="35" w:type="dxa"/>
            </w:tcMar>
            <w:vAlign w:val="center"/>
          </w:tcPr>
          <w:p w14:paraId="55A08869" w14:textId="77777777" w:rsidR="00082584" w:rsidRPr="00ED581A" w:rsidRDefault="00000000">
            <w:pPr>
              <w:spacing w:line="240" w:lineRule="auto"/>
              <w:rPr>
                <w:sz w:val="16"/>
                <w:szCs w:val="24"/>
              </w:rPr>
            </w:pPr>
            <w:r w:rsidRPr="00ED581A">
              <w:rPr>
                <w:rFonts w:eastAsia="Times New Roman"/>
                <w:sz w:val="16"/>
                <w:szCs w:val="24"/>
              </w:rPr>
              <w:t>Apoptosis, fibrosis, remodeling</w:t>
            </w:r>
          </w:p>
        </w:tc>
        <w:tc>
          <w:tcPr>
            <w:tcW w:w="1757" w:type="dxa"/>
            <w:tcMar>
              <w:top w:w="35" w:type="dxa"/>
              <w:left w:w="35" w:type="dxa"/>
              <w:bottom w:w="35" w:type="dxa"/>
              <w:right w:w="35" w:type="dxa"/>
            </w:tcMar>
            <w:vAlign w:val="center"/>
          </w:tcPr>
          <w:p w14:paraId="0A9E119E" w14:textId="77777777" w:rsidR="00082584" w:rsidRPr="00ED581A" w:rsidRDefault="00000000">
            <w:pPr>
              <w:spacing w:line="240" w:lineRule="auto"/>
              <w:rPr>
                <w:sz w:val="16"/>
                <w:szCs w:val="24"/>
              </w:rPr>
            </w:pPr>
            <w:r w:rsidRPr="00ED581A">
              <w:rPr>
                <w:rFonts w:eastAsia="Times New Roman"/>
                <w:sz w:val="16"/>
                <w:szCs w:val="24"/>
              </w:rPr>
              <w:t>Bax; caspase-8</w:t>
            </w:r>
          </w:p>
        </w:tc>
      </w:tr>
      <w:tr w:rsidR="00082584" w:rsidRPr="00ED581A" w14:paraId="0FE14D13" w14:textId="77777777">
        <w:trPr>
          <w:jc w:val="center"/>
        </w:trPr>
        <w:tc>
          <w:tcPr>
            <w:tcW w:w="792" w:type="dxa"/>
            <w:tcMar>
              <w:top w:w="35" w:type="dxa"/>
              <w:left w:w="35" w:type="dxa"/>
              <w:bottom w:w="35" w:type="dxa"/>
              <w:right w:w="35" w:type="dxa"/>
            </w:tcMar>
            <w:vAlign w:val="center"/>
          </w:tcPr>
          <w:p w14:paraId="17786317" w14:textId="77777777" w:rsidR="00082584" w:rsidRPr="00ED581A" w:rsidRDefault="00000000">
            <w:pPr>
              <w:spacing w:line="240" w:lineRule="auto"/>
              <w:rPr>
                <w:sz w:val="16"/>
                <w:szCs w:val="24"/>
              </w:rPr>
            </w:pPr>
            <w:r w:rsidRPr="00ED581A">
              <w:rPr>
                <w:rFonts w:eastAsia="Times New Roman"/>
                <w:sz w:val="16"/>
                <w:szCs w:val="24"/>
              </w:rPr>
              <w:t>Li, 2015</w:t>
            </w:r>
          </w:p>
        </w:tc>
        <w:tc>
          <w:tcPr>
            <w:tcW w:w="605" w:type="dxa"/>
            <w:tcMar>
              <w:top w:w="35" w:type="dxa"/>
              <w:left w:w="35" w:type="dxa"/>
              <w:bottom w:w="35" w:type="dxa"/>
              <w:right w:w="35" w:type="dxa"/>
            </w:tcMar>
            <w:vAlign w:val="center"/>
          </w:tcPr>
          <w:p w14:paraId="007E26BA" w14:textId="77777777" w:rsidR="00082584" w:rsidRPr="00ED581A" w:rsidRDefault="00000000">
            <w:pPr>
              <w:spacing w:line="240" w:lineRule="auto"/>
              <w:rPr>
                <w:sz w:val="16"/>
                <w:szCs w:val="24"/>
              </w:rPr>
            </w:pPr>
            <w:r w:rsidRPr="00ED581A">
              <w:rPr>
                <w:rFonts w:eastAsia="Times New Roman"/>
                <w:sz w:val="16"/>
                <w:szCs w:val="24"/>
              </w:rPr>
              <w:t>China</w:t>
            </w:r>
          </w:p>
        </w:tc>
        <w:tc>
          <w:tcPr>
            <w:tcW w:w="907" w:type="dxa"/>
            <w:tcMar>
              <w:top w:w="35" w:type="dxa"/>
              <w:left w:w="35" w:type="dxa"/>
              <w:bottom w:w="35" w:type="dxa"/>
              <w:right w:w="35" w:type="dxa"/>
            </w:tcMar>
            <w:vAlign w:val="center"/>
          </w:tcPr>
          <w:p w14:paraId="02A057FC" w14:textId="77777777" w:rsidR="00082584" w:rsidRPr="00ED581A" w:rsidRDefault="00000000">
            <w:pPr>
              <w:spacing w:line="240" w:lineRule="auto"/>
              <w:rPr>
                <w:sz w:val="16"/>
                <w:szCs w:val="24"/>
              </w:rPr>
            </w:pPr>
            <w:r w:rsidRPr="00ED581A">
              <w:rPr>
                <w:rFonts w:eastAsia="Times New Roman"/>
                <w:sz w:val="16"/>
                <w:szCs w:val="24"/>
              </w:rPr>
              <w:t>Animal + in vitro</w:t>
            </w:r>
          </w:p>
        </w:tc>
        <w:tc>
          <w:tcPr>
            <w:tcW w:w="2059" w:type="dxa"/>
            <w:tcMar>
              <w:top w:w="35" w:type="dxa"/>
              <w:left w:w="35" w:type="dxa"/>
              <w:bottom w:w="35" w:type="dxa"/>
              <w:right w:w="35" w:type="dxa"/>
            </w:tcMar>
            <w:vAlign w:val="center"/>
          </w:tcPr>
          <w:p w14:paraId="5C5C0AAE" w14:textId="77777777" w:rsidR="00082584" w:rsidRPr="00ED581A" w:rsidRDefault="00000000">
            <w:pPr>
              <w:spacing w:line="240" w:lineRule="auto"/>
              <w:rPr>
                <w:sz w:val="16"/>
                <w:szCs w:val="24"/>
              </w:rPr>
            </w:pPr>
            <w:r w:rsidRPr="00ED581A">
              <w:rPr>
                <w:rFonts w:eastAsia="Times New Roman"/>
                <w:sz w:val="16"/>
                <w:szCs w:val="24"/>
              </w:rPr>
              <w:t>Wistar rats + H9C2 (10/grp)</w:t>
            </w:r>
          </w:p>
        </w:tc>
        <w:tc>
          <w:tcPr>
            <w:tcW w:w="936" w:type="dxa"/>
            <w:tcMar>
              <w:top w:w="35" w:type="dxa"/>
              <w:left w:w="35" w:type="dxa"/>
              <w:bottom w:w="35" w:type="dxa"/>
              <w:right w:w="35" w:type="dxa"/>
            </w:tcMar>
            <w:vAlign w:val="center"/>
          </w:tcPr>
          <w:p w14:paraId="52129A06" w14:textId="77777777" w:rsidR="00082584" w:rsidRPr="00ED581A" w:rsidRDefault="00000000">
            <w:pPr>
              <w:spacing w:line="240" w:lineRule="auto"/>
              <w:rPr>
                <w:sz w:val="16"/>
                <w:szCs w:val="24"/>
              </w:rPr>
            </w:pPr>
            <w:r w:rsidRPr="00ED581A">
              <w:rPr>
                <w:rFonts w:eastAsia="Times New Roman"/>
                <w:sz w:val="16"/>
                <w:szCs w:val="24"/>
              </w:rPr>
              <w:t>miR-133a (↓)</w:t>
            </w:r>
          </w:p>
        </w:tc>
        <w:tc>
          <w:tcPr>
            <w:tcW w:w="1354" w:type="dxa"/>
            <w:tcMar>
              <w:top w:w="35" w:type="dxa"/>
              <w:left w:w="35" w:type="dxa"/>
              <w:bottom w:w="35" w:type="dxa"/>
              <w:right w:w="35" w:type="dxa"/>
            </w:tcMar>
            <w:vAlign w:val="center"/>
          </w:tcPr>
          <w:p w14:paraId="2EABBD7C" w14:textId="77777777" w:rsidR="00082584" w:rsidRPr="00ED581A" w:rsidRDefault="00000000">
            <w:pPr>
              <w:spacing w:line="240" w:lineRule="auto"/>
              <w:rPr>
                <w:sz w:val="16"/>
                <w:szCs w:val="24"/>
              </w:rPr>
            </w:pPr>
            <w:r w:rsidRPr="00ED581A">
              <w:rPr>
                <w:rFonts w:eastAsia="Times New Roman"/>
                <w:sz w:val="16"/>
                <w:szCs w:val="24"/>
              </w:rPr>
              <w:t>Apoptosis; I/R injury</w:t>
            </w:r>
          </w:p>
        </w:tc>
        <w:tc>
          <w:tcPr>
            <w:tcW w:w="1757" w:type="dxa"/>
            <w:tcMar>
              <w:top w:w="35" w:type="dxa"/>
              <w:left w:w="35" w:type="dxa"/>
              <w:bottom w:w="35" w:type="dxa"/>
              <w:right w:w="35" w:type="dxa"/>
            </w:tcMar>
            <w:vAlign w:val="center"/>
          </w:tcPr>
          <w:p w14:paraId="0D9107B4" w14:textId="77777777" w:rsidR="00082584" w:rsidRPr="00ED581A" w:rsidRDefault="00000000">
            <w:pPr>
              <w:spacing w:line="240" w:lineRule="auto"/>
              <w:rPr>
                <w:sz w:val="16"/>
                <w:szCs w:val="24"/>
              </w:rPr>
            </w:pPr>
            <w:r w:rsidRPr="00ED581A">
              <w:rPr>
                <w:rFonts w:eastAsia="Times New Roman"/>
                <w:sz w:val="16"/>
                <w:szCs w:val="24"/>
              </w:rPr>
              <w:t>DAPK2</w:t>
            </w:r>
          </w:p>
        </w:tc>
      </w:tr>
      <w:tr w:rsidR="00082584" w:rsidRPr="00ED581A" w14:paraId="27EE66C3" w14:textId="77777777">
        <w:trPr>
          <w:jc w:val="center"/>
        </w:trPr>
        <w:tc>
          <w:tcPr>
            <w:tcW w:w="792" w:type="dxa"/>
            <w:tcMar>
              <w:top w:w="35" w:type="dxa"/>
              <w:left w:w="35" w:type="dxa"/>
              <w:bottom w:w="35" w:type="dxa"/>
              <w:right w:w="35" w:type="dxa"/>
            </w:tcMar>
            <w:vAlign w:val="center"/>
          </w:tcPr>
          <w:p w14:paraId="51568CB8" w14:textId="77777777" w:rsidR="00082584" w:rsidRPr="00ED581A" w:rsidRDefault="00000000">
            <w:pPr>
              <w:spacing w:line="240" w:lineRule="auto"/>
              <w:rPr>
                <w:sz w:val="16"/>
                <w:szCs w:val="24"/>
              </w:rPr>
            </w:pPr>
            <w:r w:rsidRPr="00ED581A">
              <w:rPr>
                <w:rFonts w:eastAsia="Times New Roman"/>
                <w:sz w:val="16"/>
                <w:szCs w:val="24"/>
              </w:rPr>
              <w:t>Pan, 2022</w:t>
            </w:r>
          </w:p>
        </w:tc>
        <w:tc>
          <w:tcPr>
            <w:tcW w:w="605" w:type="dxa"/>
            <w:tcMar>
              <w:top w:w="35" w:type="dxa"/>
              <w:left w:w="35" w:type="dxa"/>
              <w:bottom w:w="35" w:type="dxa"/>
              <w:right w:w="35" w:type="dxa"/>
            </w:tcMar>
            <w:vAlign w:val="center"/>
          </w:tcPr>
          <w:p w14:paraId="00615F3E" w14:textId="77777777" w:rsidR="00082584" w:rsidRPr="00ED581A" w:rsidRDefault="00000000">
            <w:pPr>
              <w:spacing w:line="240" w:lineRule="auto"/>
              <w:rPr>
                <w:sz w:val="16"/>
                <w:szCs w:val="24"/>
              </w:rPr>
            </w:pPr>
            <w:r w:rsidRPr="00ED581A">
              <w:rPr>
                <w:rFonts w:eastAsia="Times New Roman"/>
                <w:sz w:val="16"/>
                <w:szCs w:val="24"/>
              </w:rPr>
              <w:t>China</w:t>
            </w:r>
          </w:p>
        </w:tc>
        <w:tc>
          <w:tcPr>
            <w:tcW w:w="907" w:type="dxa"/>
            <w:tcMar>
              <w:top w:w="35" w:type="dxa"/>
              <w:left w:w="35" w:type="dxa"/>
              <w:bottom w:w="35" w:type="dxa"/>
              <w:right w:w="35" w:type="dxa"/>
            </w:tcMar>
            <w:vAlign w:val="center"/>
          </w:tcPr>
          <w:p w14:paraId="328F6C52" w14:textId="77777777" w:rsidR="00082584" w:rsidRPr="00ED581A" w:rsidRDefault="00000000">
            <w:pPr>
              <w:spacing w:line="240" w:lineRule="auto"/>
              <w:rPr>
                <w:sz w:val="16"/>
                <w:szCs w:val="24"/>
              </w:rPr>
            </w:pPr>
            <w:r w:rsidRPr="00ED581A">
              <w:rPr>
                <w:rFonts w:eastAsia="Times New Roman"/>
                <w:sz w:val="16"/>
                <w:szCs w:val="24"/>
              </w:rPr>
              <w:t>Animal + in vitro</w:t>
            </w:r>
          </w:p>
        </w:tc>
        <w:tc>
          <w:tcPr>
            <w:tcW w:w="2059" w:type="dxa"/>
            <w:tcMar>
              <w:top w:w="35" w:type="dxa"/>
              <w:left w:w="35" w:type="dxa"/>
              <w:bottom w:w="35" w:type="dxa"/>
              <w:right w:w="35" w:type="dxa"/>
            </w:tcMar>
            <w:vAlign w:val="center"/>
          </w:tcPr>
          <w:p w14:paraId="433B525E" w14:textId="77777777" w:rsidR="00082584" w:rsidRPr="00ED581A" w:rsidRDefault="00000000">
            <w:pPr>
              <w:spacing w:line="240" w:lineRule="auto"/>
              <w:rPr>
                <w:sz w:val="16"/>
                <w:szCs w:val="24"/>
              </w:rPr>
            </w:pPr>
            <w:r w:rsidRPr="00ED581A">
              <w:rPr>
                <w:rFonts w:eastAsia="Times New Roman"/>
                <w:sz w:val="16"/>
                <w:szCs w:val="24"/>
              </w:rPr>
              <w:t>SD rats + cardiomyocytes (8/grp)</w:t>
            </w:r>
          </w:p>
        </w:tc>
        <w:tc>
          <w:tcPr>
            <w:tcW w:w="936" w:type="dxa"/>
            <w:tcMar>
              <w:top w:w="35" w:type="dxa"/>
              <w:left w:w="35" w:type="dxa"/>
              <w:bottom w:w="35" w:type="dxa"/>
              <w:right w:w="35" w:type="dxa"/>
            </w:tcMar>
            <w:vAlign w:val="center"/>
          </w:tcPr>
          <w:p w14:paraId="55D3BA70" w14:textId="77777777" w:rsidR="00082584" w:rsidRPr="00ED581A" w:rsidRDefault="00000000">
            <w:pPr>
              <w:spacing w:line="240" w:lineRule="auto"/>
              <w:rPr>
                <w:sz w:val="16"/>
                <w:szCs w:val="24"/>
              </w:rPr>
            </w:pPr>
            <w:r w:rsidRPr="00ED581A">
              <w:rPr>
                <w:rFonts w:eastAsia="Times New Roman"/>
                <w:sz w:val="16"/>
                <w:szCs w:val="24"/>
              </w:rPr>
              <w:t>miR-34a (↑)</w:t>
            </w:r>
          </w:p>
        </w:tc>
        <w:tc>
          <w:tcPr>
            <w:tcW w:w="1354" w:type="dxa"/>
            <w:tcMar>
              <w:top w:w="35" w:type="dxa"/>
              <w:left w:w="35" w:type="dxa"/>
              <w:bottom w:w="35" w:type="dxa"/>
              <w:right w:w="35" w:type="dxa"/>
            </w:tcMar>
            <w:vAlign w:val="center"/>
          </w:tcPr>
          <w:p w14:paraId="36A42FCF" w14:textId="77777777" w:rsidR="00082584" w:rsidRPr="00ED581A" w:rsidRDefault="00000000">
            <w:pPr>
              <w:spacing w:line="240" w:lineRule="auto"/>
              <w:rPr>
                <w:sz w:val="16"/>
                <w:szCs w:val="24"/>
              </w:rPr>
            </w:pPr>
            <w:r w:rsidRPr="00ED581A">
              <w:rPr>
                <w:rFonts w:eastAsia="Times New Roman"/>
                <w:sz w:val="16"/>
                <w:szCs w:val="24"/>
              </w:rPr>
              <w:t>Apoptosis</w:t>
            </w:r>
          </w:p>
        </w:tc>
        <w:tc>
          <w:tcPr>
            <w:tcW w:w="1757" w:type="dxa"/>
            <w:tcMar>
              <w:top w:w="35" w:type="dxa"/>
              <w:left w:w="35" w:type="dxa"/>
              <w:bottom w:w="35" w:type="dxa"/>
              <w:right w:w="35" w:type="dxa"/>
            </w:tcMar>
            <w:vAlign w:val="center"/>
          </w:tcPr>
          <w:p w14:paraId="53CAD8DD" w14:textId="77777777" w:rsidR="00082584" w:rsidRPr="00ED581A" w:rsidRDefault="00000000">
            <w:pPr>
              <w:spacing w:line="240" w:lineRule="auto"/>
              <w:rPr>
                <w:sz w:val="16"/>
                <w:szCs w:val="24"/>
              </w:rPr>
            </w:pPr>
            <w:r w:rsidRPr="00ED581A">
              <w:rPr>
                <w:rFonts w:eastAsia="Times New Roman"/>
                <w:sz w:val="16"/>
                <w:szCs w:val="24"/>
              </w:rPr>
              <w:t>Notch1; Bcl-2/Bax</w:t>
            </w:r>
          </w:p>
        </w:tc>
      </w:tr>
      <w:tr w:rsidR="00082584" w:rsidRPr="00ED581A" w14:paraId="3118BFFB" w14:textId="77777777">
        <w:trPr>
          <w:jc w:val="center"/>
        </w:trPr>
        <w:tc>
          <w:tcPr>
            <w:tcW w:w="792" w:type="dxa"/>
            <w:tcMar>
              <w:top w:w="35" w:type="dxa"/>
              <w:left w:w="35" w:type="dxa"/>
              <w:bottom w:w="35" w:type="dxa"/>
              <w:right w:w="35" w:type="dxa"/>
            </w:tcMar>
            <w:vAlign w:val="center"/>
          </w:tcPr>
          <w:p w14:paraId="7FE8FD76" w14:textId="77777777" w:rsidR="00082584" w:rsidRPr="00ED581A" w:rsidRDefault="00000000">
            <w:pPr>
              <w:spacing w:line="240" w:lineRule="auto"/>
              <w:rPr>
                <w:sz w:val="16"/>
                <w:szCs w:val="24"/>
              </w:rPr>
            </w:pPr>
            <w:r w:rsidRPr="00ED581A">
              <w:rPr>
                <w:rFonts w:eastAsia="Times New Roman"/>
                <w:sz w:val="16"/>
                <w:szCs w:val="24"/>
              </w:rPr>
              <w:t>Yuan, 2017</w:t>
            </w:r>
          </w:p>
        </w:tc>
        <w:tc>
          <w:tcPr>
            <w:tcW w:w="605" w:type="dxa"/>
            <w:tcMar>
              <w:top w:w="35" w:type="dxa"/>
              <w:left w:w="35" w:type="dxa"/>
              <w:bottom w:w="35" w:type="dxa"/>
              <w:right w:w="35" w:type="dxa"/>
            </w:tcMar>
            <w:vAlign w:val="center"/>
          </w:tcPr>
          <w:p w14:paraId="285081AB" w14:textId="77777777" w:rsidR="00082584" w:rsidRPr="00ED581A" w:rsidRDefault="00000000">
            <w:pPr>
              <w:spacing w:line="240" w:lineRule="auto"/>
              <w:rPr>
                <w:sz w:val="16"/>
                <w:szCs w:val="24"/>
              </w:rPr>
            </w:pPr>
            <w:r w:rsidRPr="00ED581A">
              <w:rPr>
                <w:rFonts w:eastAsia="Times New Roman"/>
                <w:sz w:val="16"/>
                <w:szCs w:val="24"/>
              </w:rPr>
              <w:t>China</w:t>
            </w:r>
          </w:p>
        </w:tc>
        <w:tc>
          <w:tcPr>
            <w:tcW w:w="907" w:type="dxa"/>
            <w:tcMar>
              <w:top w:w="35" w:type="dxa"/>
              <w:left w:w="35" w:type="dxa"/>
              <w:bottom w:w="35" w:type="dxa"/>
              <w:right w:w="35" w:type="dxa"/>
            </w:tcMar>
            <w:vAlign w:val="center"/>
          </w:tcPr>
          <w:p w14:paraId="338B42E1" w14:textId="77777777" w:rsidR="00082584" w:rsidRPr="00ED581A" w:rsidRDefault="00000000">
            <w:pPr>
              <w:spacing w:line="240" w:lineRule="auto"/>
              <w:rPr>
                <w:sz w:val="16"/>
                <w:szCs w:val="24"/>
              </w:rPr>
            </w:pPr>
            <w:r w:rsidRPr="00ED581A">
              <w:rPr>
                <w:rFonts w:eastAsia="Times New Roman"/>
                <w:sz w:val="16"/>
                <w:szCs w:val="24"/>
              </w:rPr>
              <w:t>Animal + in vitro</w:t>
            </w:r>
          </w:p>
        </w:tc>
        <w:tc>
          <w:tcPr>
            <w:tcW w:w="2059" w:type="dxa"/>
            <w:tcMar>
              <w:top w:w="35" w:type="dxa"/>
              <w:left w:w="35" w:type="dxa"/>
              <w:bottom w:w="35" w:type="dxa"/>
              <w:right w:w="35" w:type="dxa"/>
            </w:tcMar>
            <w:vAlign w:val="center"/>
          </w:tcPr>
          <w:p w14:paraId="00918FB4" w14:textId="77777777" w:rsidR="00082584" w:rsidRPr="00ED581A" w:rsidRDefault="00000000">
            <w:pPr>
              <w:spacing w:line="240" w:lineRule="auto"/>
              <w:rPr>
                <w:sz w:val="16"/>
                <w:szCs w:val="24"/>
              </w:rPr>
            </w:pPr>
            <w:r w:rsidRPr="00ED581A">
              <w:rPr>
                <w:rFonts w:eastAsia="Times New Roman"/>
                <w:sz w:val="16"/>
                <w:szCs w:val="24"/>
              </w:rPr>
              <w:t>C57BL/6 mice + cardiac fibroblasts (9-18)</w:t>
            </w:r>
          </w:p>
        </w:tc>
        <w:tc>
          <w:tcPr>
            <w:tcW w:w="936" w:type="dxa"/>
            <w:tcMar>
              <w:top w:w="35" w:type="dxa"/>
              <w:left w:w="35" w:type="dxa"/>
              <w:bottom w:w="35" w:type="dxa"/>
              <w:right w:w="35" w:type="dxa"/>
            </w:tcMar>
            <w:vAlign w:val="center"/>
          </w:tcPr>
          <w:p w14:paraId="6B429752" w14:textId="77777777" w:rsidR="00082584" w:rsidRPr="00ED581A" w:rsidRDefault="00000000">
            <w:pPr>
              <w:spacing w:line="240" w:lineRule="auto"/>
              <w:rPr>
                <w:sz w:val="16"/>
                <w:szCs w:val="24"/>
              </w:rPr>
            </w:pPr>
            <w:r w:rsidRPr="00ED581A">
              <w:rPr>
                <w:rFonts w:eastAsia="Times New Roman"/>
                <w:sz w:val="16"/>
                <w:szCs w:val="24"/>
              </w:rPr>
              <w:t>miR-21 (↑)</w:t>
            </w:r>
          </w:p>
        </w:tc>
        <w:tc>
          <w:tcPr>
            <w:tcW w:w="1354" w:type="dxa"/>
            <w:tcMar>
              <w:top w:w="35" w:type="dxa"/>
              <w:left w:w="35" w:type="dxa"/>
              <w:bottom w:w="35" w:type="dxa"/>
              <w:right w:w="35" w:type="dxa"/>
            </w:tcMar>
            <w:vAlign w:val="center"/>
          </w:tcPr>
          <w:p w14:paraId="74B42810" w14:textId="77777777" w:rsidR="00082584" w:rsidRPr="00ED581A" w:rsidRDefault="00000000">
            <w:pPr>
              <w:spacing w:line="240" w:lineRule="auto"/>
              <w:rPr>
                <w:sz w:val="16"/>
                <w:szCs w:val="24"/>
              </w:rPr>
            </w:pPr>
            <w:r w:rsidRPr="00ED581A">
              <w:rPr>
                <w:rFonts w:eastAsia="Times New Roman"/>
                <w:sz w:val="16"/>
                <w:szCs w:val="24"/>
              </w:rPr>
              <w:t>Fibrosis</w:t>
            </w:r>
          </w:p>
        </w:tc>
        <w:tc>
          <w:tcPr>
            <w:tcW w:w="1757" w:type="dxa"/>
            <w:tcMar>
              <w:top w:w="35" w:type="dxa"/>
              <w:left w:w="35" w:type="dxa"/>
              <w:bottom w:w="35" w:type="dxa"/>
              <w:right w:w="35" w:type="dxa"/>
            </w:tcMar>
            <w:vAlign w:val="center"/>
          </w:tcPr>
          <w:p w14:paraId="3E71DC2F" w14:textId="77777777" w:rsidR="00082584" w:rsidRPr="00ED581A" w:rsidRDefault="00000000">
            <w:pPr>
              <w:spacing w:line="240" w:lineRule="auto"/>
              <w:rPr>
                <w:sz w:val="16"/>
                <w:szCs w:val="24"/>
              </w:rPr>
            </w:pPr>
            <w:r w:rsidRPr="00ED581A">
              <w:rPr>
                <w:rFonts w:eastAsia="Times New Roman"/>
                <w:sz w:val="16"/>
                <w:szCs w:val="24"/>
              </w:rPr>
              <w:t>Smad7; TGF-β1</w:t>
            </w:r>
          </w:p>
        </w:tc>
      </w:tr>
      <w:tr w:rsidR="00082584" w:rsidRPr="00ED581A" w14:paraId="378F098F" w14:textId="77777777">
        <w:trPr>
          <w:jc w:val="center"/>
        </w:trPr>
        <w:tc>
          <w:tcPr>
            <w:tcW w:w="792" w:type="dxa"/>
            <w:tcMar>
              <w:top w:w="35" w:type="dxa"/>
              <w:left w:w="35" w:type="dxa"/>
              <w:bottom w:w="35" w:type="dxa"/>
              <w:right w:w="35" w:type="dxa"/>
            </w:tcMar>
            <w:vAlign w:val="center"/>
          </w:tcPr>
          <w:p w14:paraId="1D89CFE9" w14:textId="77777777" w:rsidR="00082584" w:rsidRPr="00ED581A" w:rsidRDefault="00000000">
            <w:pPr>
              <w:spacing w:line="240" w:lineRule="auto"/>
              <w:rPr>
                <w:sz w:val="16"/>
                <w:szCs w:val="24"/>
              </w:rPr>
            </w:pPr>
            <w:r w:rsidRPr="00ED581A">
              <w:rPr>
                <w:rFonts w:eastAsia="Times New Roman"/>
                <w:sz w:val="16"/>
                <w:szCs w:val="24"/>
              </w:rPr>
              <w:t>Zhou, 2018</w:t>
            </w:r>
          </w:p>
        </w:tc>
        <w:tc>
          <w:tcPr>
            <w:tcW w:w="605" w:type="dxa"/>
            <w:tcMar>
              <w:top w:w="35" w:type="dxa"/>
              <w:left w:w="35" w:type="dxa"/>
              <w:bottom w:w="35" w:type="dxa"/>
              <w:right w:w="35" w:type="dxa"/>
            </w:tcMar>
            <w:vAlign w:val="center"/>
          </w:tcPr>
          <w:p w14:paraId="4AF9DB4F" w14:textId="77777777" w:rsidR="00082584" w:rsidRPr="00ED581A" w:rsidRDefault="00000000">
            <w:pPr>
              <w:spacing w:line="240" w:lineRule="auto"/>
              <w:rPr>
                <w:sz w:val="16"/>
                <w:szCs w:val="24"/>
              </w:rPr>
            </w:pPr>
            <w:r w:rsidRPr="00ED581A">
              <w:rPr>
                <w:rFonts w:eastAsia="Times New Roman"/>
                <w:sz w:val="16"/>
                <w:szCs w:val="24"/>
              </w:rPr>
              <w:t>China</w:t>
            </w:r>
          </w:p>
        </w:tc>
        <w:tc>
          <w:tcPr>
            <w:tcW w:w="907" w:type="dxa"/>
            <w:tcMar>
              <w:top w:w="35" w:type="dxa"/>
              <w:left w:w="35" w:type="dxa"/>
              <w:bottom w:w="35" w:type="dxa"/>
              <w:right w:w="35" w:type="dxa"/>
            </w:tcMar>
            <w:vAlign w:val="center"/>
          </w:tcPr>
          <w:p w14:paraId="6E5F5258" w14:textId="77777777" w:rsidR="00082584" w:rsidRPr="00ED581A" w:rsidRDefault="00000000">
            <w:pPr>
              <w:spacing w:line="240" w:lineRule="auto"/>
              <w:rPr>
                <w:sz w:val="16"/>
                <w:szCs w:val="24"/>
              </w:rPr>
            </w:pPr>
            <w:r w:rsidRPr="00ED581A">
              <w:rPr>
                <w:rFonts w:eastAsia="Times New Roman"/>
                <w:sz w:val="16"/>
                <w:szCs w:val="24"/>
              </w:rPr>
              <w:t>Animal + in vitro</w:t>
            </w:r>
          </w:p>
        </w:tc>
        <w:tc>
          <w:tcPr>
            <w:tcW w:w="2059" w:type="dxa"/>
            <w:tcMar>
              <w:top w:w="35" w:type="dxa"/>
              <w:left w:w="35" w:type="dxa"/>
              <w:bottom w:w="35" w:type="dxa"/>
              <w:right w:w="35" w:type="dxa"/>
            </w:tcMar>
            <w:vAlign w:val="center"/>
          </w:tcPr>
          <w:p w14:paraId="59E6E258" w14:textId="77777777" w:rsidR="00082584" w:rsidRPr="00ED581A" w:rsidRDefault="00000000">
            <w:pPr>
              <w:spacing w:line="240" w:lineRule="auto"/>
              <w:rPr>
                <w:sz w:val="16"/>
                <w:szCs w:val="24"/>
              </w:rPr>
            </w:pPr>
            <w:r w:rsidRPr="00ED581A">
              <w:rPr>
                <w:rFonts w:eastAsia="Times New Roman"/>
                <w:sz w:val="16"/>
                <w:szCs w:val="24"/>
              </w:rPr>
              <w:t>SD rats + cardiac fibroblasts (3/grp)</w:t>
            </w:r>
          </w:p>
        </w:tc>
        <w:tc>
          <w:tcPr>
            <w:tcW w:w="936" w:type="dxa"/>
            <w:tcMar>
              <w:top w:w="35" w:type="dxa"/>
              <w:left w:w="35" w:type="dxa"/>
              <w:bottom w:w="35" w:type="dxa"/>
              <w:right w:w="35" w:type="dxa"/>
            </w:tcMar>
            <w:vAlign w:val="center"/>
          </w:tcPr>
          <w:p w14:paraId="098624DC" w14:textId="77777777" w:rsidR="00082584" w:rsidRPr="00ED581A" w:rsidRDefault="00000000">
            <w:pPr>
              <w:spacing w:line="240" w:lineRule="auto"/>
              <w:rPr>
                <w:sz w:val="16"/>
                <w:szCs w:val="24"/>
              </w:rPr>
            </w:pPr>
            <w:r w:rsidRPr="00ED581A">
              <w:rPr>
                <w:rFonts w:eastAsia="Times New Roman"/>
                <w:sz w:val="16"/>
                <w:szCs w:val="24"/>
              </w:rPr>
              <w:t>miR-21 (↑)</w:t>
            </w:r>
          </w:p>
        </w:tc>
        <w:tc>
          <w:tcPr>
            <w:tcW w:w="1354" w:type="dxa"/>
            <w:tcMar>
              <w:top w:w="35" w:type="dxa"/>
              <w:left w:w="35" w:type="dxa"/>
              <w:bottom w:w="35" w:type="dxa"/>
              <w:right w:w="35" w:type="dxa"/>
            </w:tcMar>
            <w:vAlign w:val="center"/>
          </w:tcPr>
          <w:p w14:paraId="7A40CC0F" w14:textId="77777777" w:rsidR="00082584" w:rsidRPr="00ED581A" w:rsidRDefault="00000000">
            <w:pPr>
              <w:spacing w:line="240" w:lineRule="auto"/>
              <w:rPr>
                <w:sz w:val="16"/>
                <w:szCs w:val="24"/>
              </w:rPr>
            </w:pPr>
            <w:r w:rsidRPr="00ED581A">
              <w:rPr>
                <w:rFonts w:eastAsia="Times New Roman"/>
                <w:sz w:val="16"/>
                <w:szCs w:val="24"/>
              </w:rPr>
              <w:t>Fibrosis, remodeling</w:t>
            </w:r>
          </w:p>
        </w:tc>
        <w:tc>
          <w:tcPr>
            <w:tcW w:w="1757" w:type="dxa"/>
            <w:tcMar>
              <w:top w:w="35" w:type="dxa"/>
              <w:left w:w="35" w:type="dxa"/>
              <w:bottom w:w="35" w:type="dxa"/>
              <w:right w:w="35" w:type="dxa"/>
            </w:tcMar>
            <w:vAlign w:val="center"/>
          </w:tcPr>
          <w:p w14:paraId="22E147DF" w14:textId="77777777" w:rsidR="00082584" w:rsidRPr="00ED581A" w:rsidRDefault="00000000">
            <w:pPr>
              <w:spacing w:line="240" w:lineRule="auto"/>
              <w:rPr>
                <w:sz w:val="16"/>
                <w:szCs w:val="24"/>
              </w:rPr>
            </w:pPr>
            <w:r w:rsidRPr="00ED581A">
              <w:rPr>
                <w:rFonts w:eastAsia="Times New Roman"/>
                <w:sz w:val="16"/>
                <w:szCs w:val="24"/>
              </w:rPr>
              <w:t>Jagged1; Notch</w:t>
            </w:r>
          </w:p>
        </w:tc>
      </w:tr>
      <w:tr w:rsidR="00082584" w:rsidRPr="00ED581A" w14:paraId="7EB24581" w14:textId="77777777">
        <w:trPr>
          <w:jc w:val="center"/>
        </w:trPr>
        <w:tc>
          <w:tcPr>
            <w:tcW w:w="792" w:type="dxa"/>
            <w:tcMar>
              <w:top w:w="35" w:type="dxa"/>
              <w:left w:w="35" w:type="dxa"/>
              <w:bottom w:w="35" w:type="dxa"/>
              <w:right w:w="35" w:type="dxa"/>
            </w:tcMar>
            <w:vAlign w:val="center"/>
          </w:tcPr>
          <w:p w14:paraId="056E7ABC" w14:textId="77777777" w:rsidR="00082584" w:rsidRPr="00ED581A" w:rsidRDefault="00000000">
            <w:pPr>
              <w:spacing w:line="240" w:lineRule="auto"/>
              <w:rPr>
                <w:sz w:val="16"/>
                <w:szCs w:val="24"/>
              </w:rPr>
            </w:pPr>
            <w:r w:rsidRPr="00ED581A">
              <w:rPr>
                <w:rFonts w:eastAsia="Times New Roman"/>
                <w:sz w:val="16"/>
                <w:szCs w:val="24"/>
              </w:rPr>
              <w:t>Song, 2020</w:t>
            </w:r>
          </w:p>
        </w:tc>
        <w:tc>
          <w:tcPr>
            <w:tcW w:w="605" w:type="dxa"/>
            <w:tcMar>
              <w:top w:w="35" w:type="dxa"/>
              <w:left w:w="35" w:type="dxa"/>
              <w:bottom w:w="35" w:type="dxa"/>
              <w:right w:w="35" w:type="dxa"/>
            </w:tcMar>
            <w:vAlign w:val="center"/>
          </w:tcPr>
          <w:p w14:paraId="7A673238" w14:textId="77777777" w:rsidR="00082584" w:rsidRPr="00ED581A" w:rsidRDefault="00000000">
            <w:pPr>
              <w:spacing w:line="240" w:lineRule="auto"/>
              <w:rPr>
                <w:sz w:val="16"/>
                <w:szCs w:val="24"/>
              </w:rPr>
            </w:pPr>
            <w:r w:rsidRPr="00ED581A">
              <w:rPr>
                <w:rFonts w:eastAsia="Times New Roman"/>
                <w:sz w:val="16"/>
                <w:szCs w:val="24"/>
              </w:rPr>
              <w:t>China</w:t>
            </w:r>
          </w:p>
        </w:tc>
        <w:tc>
          <w:tcPr>
            <w:tcW w:w="907" w:type="dxa"/>
            <w:tcMar>
              <w:top w:w="35" w:type="dxa"/>
              <w:left w:w="35" w:type="dxa"/>
              <w:bottom w:w="35" w:type="dxa"/>
              <w:right w:w="35" w:type="dxa"/>
            </w:tcMar>
            <w:vAlign w:val="center"/>
          </w:tcPr>
          <w:p w14:paraId="63FE89D3" w14:textId="77777777" w:rsidR="00082584" w:rsidRPr="00ED581A" w:rsidRDefault="00000000">
            <w:pPr>
              <w:spacing w:line="240" w:lineRule="auto"/>
              <w:rPr>
                <w:sz w:val="16"/>
                <w:szCs w:val="24"/>
              </w:rPr>
            </w:pPr>
            <w:r w:rsidRPr="00ED581A">
              <w:rPr>
                <w:rFonts w:eastAsia="Times New Roman"/>
                <w:sz w:val="16"/>
                <w:szCs w:val="24"/>
              </w:rPr>
              <w:t>Animal + in vitro</w:t>
            </w:r>
          </w:p>
        </w:tc>
        <w:tc>
          <w:tcPr>
            <w:tcW w:w="2059" w:type="dxa"/>
            <w:tcMar>
              <w:top w:w="35" w:type="dxa"/>
              <w:left w:w="35" w:type="dxa"/>
              <w:bottom w:w="35" w:type="dxa"/>
              <w:right w:w="35" w:type="dxa"/>
            </w:tcMar>
            <w:vAlign w:val="center"/>
          </w:tcPr>
          <w:p w14:paraId="36FA4AAE" w14:textId="77777777" w:rsidR="00082584" w:rsidRPr="00ED581A" w:rsidRDefault="00000000">
            <w:pPr>
              <w:spacing w:line="240" w:lineRule="auto"/>
              <w:rPr>
                <w:sz w:val="16"/>
                <w:szCs w:val="24"/>
              </w:rPr>
            </w:pPr>
            <w:r w:rsidRPr="00ED581A">
              <w:rPr>
                <w:rFonts w:eastAsia="Times New Roman"/>
                <w:sz w:val="16"/>
                <w:szCs w:val="24"/>
              </w:rPr>
              <w:t>SD rats + HUVECs (7/grp)</w:t>
            </w:r>
          </w:p>
        </w:tc>
        <w:tc>
          <w:tcPr>
            <w:tcW w:w="936" w:type="dxa"/>
            <w:tcMar>
              <w:top w:w="35" w:type="dxa"/>
              <w:left w:w="35" w:type="dxa"/>
              <w:bottom w:w="35" w:type="dxa"/>
              <w:right w:w="35" w:type="dxa"/>
            </w:tcMar>
            <w:vAlign w:val="center"/>
          </w:tcPr>
          <w:p w14:paraId="3B0FC5AF" w14:textId="77777777" w:rsidR="00082584" w:rsidRPr="00ED581A" w:rsidRDefault="00000000">
            <w:pPr>
              <w:spacing w:line="240" w:lineRule="auto"/>
              <w:rPr>
                <w:sz w:val="16"/>
                <w:szCs w:val="24"/>
              </w:rPr>
            </w:pPr>
            <w:r w:rsidRPr="00ED581A">
              <w:rPr>
                <w:rFonts w:eastAsia="Times New Roman"/>
                <w:sz w:val="16"/>
                <w:szCs w:val="24"/>
              </w:rPr>
              <w:t>miR-126 (↑)</w:t>
            </w:r>
          </w:p>
        </w:tc>
        <w:tc>
          <w:tcPr>
            <w:tcW w:w="1354" w:type="dxa"/>
            <w:tcMar>
              <w:top w:w="35" w:type="dxa"/>
              <w:left w:w="35" w:type="dxa"/>
              <w:bottom w:w="35" w:type="dxa"/>
              <w:right w:w="35" w:type="dxa"/>
            </w:tcMar>
            <w:vAlign w:val="center"/>
          </w:tcPr>
          <w:p w14:paraId="671FA78F" w14:textId="77777777" w:rsidR="00082584" w:rsidRPr="00ED581A" w:rsidRDefault="00000000">
            <w:pPr>
              <w:spacing w:line="240" w:lineRule="auto"/>
              <w:rPr>
                <w:sz w:val="16"/>
                <w:szCs w:val="24"/>
              </w:rPr>
            </w:pPr>
            <w:r w:rsidRPr="00ED581A">
              <w:rPr>
                <w:rFonts w:eastAsia="Times New Roman"/>
                <w:sz w:val="16"/>
                <w:szCs w:val="24"/>
              </w:rPr>
              <w:t>Angiogenesis</w:t>
            </w:r>
          </w:p>
        </w:tc>
        <w:tc>
          <w:tcPr>
            <w:tcW w:w="1757" w:type="dxa"/>
            <w:tcMar>
              <w:top w:w="35" w:type="dxa"/>
              <w:left w:w="35" w:type="dxa"/>
              <w:bottom w:w="35" w:type="dxa"/>
              <w:right w:w="35" w:type="dxa"/>
            </w:tcMar>
            <w:vAlign w:val="center"/>
          </w:tcPr>
          <w:p w14:paraId="446C02BF" w14:textId="77777777" w:rsidR="00082584" w:rsidRPr="00ED581A" w:rsidRDefault="00000000">
            <w:pPr>
              <w:spacing w:line="240" w:lineRule="auto"/>
              <w:rPr>
                <w:sz w:val="16"/>
                <w:szCs w:val="24"/>
              </w:rPr>
            </w:pPr>
            <w:r w:rsidRPr="00ED581A">
              <w:rPr>
                <w:rFonts w:eastAsia="Times New Roman"/>
                <w:sz w:val="16"/>
                <w:szCs w:val="24"/>
              </w:rPr>
              <w:t>PIK3R2/SPRED1; PI3K/AKT/eNOS</w:t>
            </w:r>
          </w:p>
        </w:tc>
      </w:tr>
      <w:tr w:rsidR="00082584" w:rsidRPr="00ED581A" w14:paraId="7B3472E0" w14:textId="77777777">
        <w:trPr>
          <w:jc w:val="center"/>
        </w:trPr>
        <w:tc>
          <w:tcPr>
            <w:tcW w:w="792" w:type="dxa"/>
            <w:tcMar>
              <w:top w:w="35" w:type="dxa"/>
              <w:left w:w="35" w:type="dxa"/>
              <w:bottom w:w="35" w:type="dxa"/>
              <w:right w:w="35" w:type="dxa"/>
            </w:tcMar>
            <w:vAlign w:val="center"/>
          </w:tcPr>
          <w:p w14:paraId="18216A30" w14:textId="77777777" w:rsidR="00082584" w:rsidRPr="00ED581A" w:rsidRDefault="00000000">
            <w:pPr>
              <w:spacing w:line="240" w:lineRule="auto"/>
              <w:rPr>
                <w:sz w:val="16"/>
                <w:szCs w:val="24"/>
              </w:rPr>
            </w:pPr>
            <w:r w:rsidRPr="00ED581A">
              <w:rPr>
                <w:rFonts w:eastAsia="Times New Roman"/>
                <w:sz w:val="16"/>
                <w:szCs w:val="24"/>
              </w:rPr>
              <w:t>Gao, 2021</w:t>
            </w:r>
          </w:p>
        </w:tc>
        <w:tc>
          <w:tcPr>
            <w:tcW w:w="605" w:type="dxa"/>
            <w:tcMar>
              <w:top w:w="35" w:type="dxa"/>
              <w:left w:w="35" w:type="dxa"/>
              <w:bottom w:w="35" w:type="dxa"/>
              <w:right w:w="35" w:type="dxa"/>
            </w:tcMar>
            <w:vAlign w:val="center"/>
          </w:tcPr>
          <w:p w14:paraId="54F384E2" w14:textId="77777777" w:rsidR="00082584" w:rsidRPr="00ED581A" w:rsidRDefault="00000000">
            <w:pPr>
              <w:spacing w:line="240" w:lineRule="auto"/>
              <w:rPr>
                <w:sz w:val="16"/>
                <w:szCs w:val="24"/>
              </w:rPr>
            </w:pPr>
            <w:r w:rsidRPr="00ED581A">
              <w:rPr>
                <w:rFonts w:eastAsia="Times New Roman"/>
                <w:sz w:val="16"/>
                <w:szCs w:val="24"/>
              </w:rPr>
              <w:t>China</w:t>
            </w:r>
          </w:p>
        </w:tc>
        <w:tc>
          <w:tcPr>
            <w:tcW w:w="907" w:type="dxa"/>
            <w:tcMar>
              <w:top w:w="35" w:type="dxa"/>
              <w:left w:w="35" w:type="dxa"/>
              <w:bottom w:w="35" w:type="dxa"/>
              <w:right w:w="35" w:type="dxa"/>
            </w:tcMar>
            <w:vAlign w:val="center"/>
          </w:tcPr>
          <w:p w14:paraId="1D3DBCF4" w14:textId="77777777" w:rsidR="00082584" w:rsidRPr="00ED581A" w:rsidRDefault="00000000">
            <w:pPr>
              <w:spacing w:line="240" w:lineRule="auto"/>
              <w:rPr>
                <w:sz w:val="16"/>
                <w:szCs w:val="24"/>
              </w:rPr>
            </w:pPr>
            <w:r w:rsidRPr="00ED581A">
              <w:rPr>
                <w:rFonts w:eastAsia="Times New Roman"/>
                <w:sz w:val="16"/>
                <w:szCs w:val="24"/>
              </w:rPr>
              <w:t>Animal + in vitro</w:t>
            </w:r>
          </w:p>
        </w:tc>
        <w:tc>
          <w:tcPr>
            <w:tcW w:w="2059" w:type="dxa"/>
            <w:tcMar>
              <w:top w:w="35" w:type="dxa"/>
              <w:left w:w="35" w:type="dxa"/>
              <w:bottom w:w="35" w:type="dxa"/>
              <w:right w:w="35" w:type="dxa"/>
            </w:tcMar>
            <w:vAlign w:val="center"/>
          </w:tcPr>
          <w:p w14:paraId="648690DD" w14:textId="77777777" w:rsidR="00082584" w:rsidRPr="00ED581A" w:rsidRDefault="00000000">
            <w:pPr>
              <w:spacing w:line="240" w:lineRule="auto"/>
              <w:rPr>
                <w:sz w:val="16"/>
                <w:szCs w:val="24"/>
              </w:rPr>
            </w:pPr>
            <w:r w:rsidRPr="00ED581A">
              <w:rPr>
                <w:rFonts w:eastAsia="Times New Roman"/>
                <w:sz w:val="16"/>
                <w:szCs w:val="24"/>
              </w:rPr>
              <w:t xml:space="preserve">SD rats + </w:t>
            </w:r>
            <w:proofErr w:type="gramStart"/>
            <w:r w:rsidRPr="00ED581A">
              <w:rPr>
                <w:rFonts w:eastAsia="Times New Roman"/>
                <w:sz w:val="16"/>
                <w:szCs w:val="24"/>
              </w:rPr>
              <w:t>EA.hy</w:t>
            </w:r>
            <w:proofErr w:type="gramEnd"/>
            <w:r w:rsidRPr="00ED581A">
              <w:rPr>
                <w:rFonts w:eastAsia="Times New Roman"/>
                <w:sz w:val="16"/>
                <w:szCs w:val="24"/>
              </w:rPr>
              <w:t>926 (15/grp)</w:t>
            </w:r>
          </w:p>
        </w:tc>
        <w:tc>
          <w:tcPr>
            <w:tcW w:w="936" w:type="dxa"/>
            <w:tcMar>
              <w:top w:w="35" w:type="dxa"/>
              <w:left w:w="35" w:type="dxa"/>
              <w:bottom w:w="35" w:type="dxa"/>
              <w:right w:w="35" w:type="dxa"/>
            </w:tcMar>
            <w:vAlign w:val="center"/>
          </w:tcPr>
          <w:p w14:paraId="19705F48" w14:textId="77777777" w:rsidR="00082584" w:rsidRPr="00ED581A" w:rsidRDefault="00000000">
            <w:pPr>
              <w:spacing w:line="240" w:lineRule="auto"/>
              <w:rPr>
                <w:sz w:val="16"/>
                <w:szCs w:val="24"/>
              </w:rPr>
            </w:pPr>
            <w:r w:rsidRPr="00ED581A">
              <w:rPr>
                <w:rFonts w:eastAsia="Times New Roman"/>
                <w:sz w:val="16"/>
                <w:szCs w:val="24"/>
              </w:rPr>
              <w:t>miR-126 (↑)</w:t>
            </w:r>
          </w:p>
        </w:tc>
        <w:tc>
          <w:tcPr>
            <w:tcW w:w="1354" w:type="dxa"/>
            <w:tcMar>
              <w:top w:w="35" w:type="dxa"/>
              <w:left w:w="35" w:type="dxa"/>
              <w:bottom w:w="35" w:type="dxa"/>
              <w:right w:w="35" w:type="dxa"/>
            </w:tcMar>
            <w:vAlign w:val="center"/>
          </w:tcPr>
          <w:p w14:paraId="0703FD57" w14:textId="77777777" w:rsidR="00082584" w:rsidRPr="00ED581A" w:rsidRDefault="00000000">
            <w:pPr>
              <w:spacing w:line="240" w:lineRule="auto"/>
              <w:rPr>
                <w:sz w:val="16"/>
                <w:szCs w:val="24"/>
              </w:rPr>
            </w:pPr>
            <w:r w:rsidRPr="00ED581A">
              <w:rPr>
                <w:rFonts w:eastAsia="Times New Roman"/>
                <w:sz w:val="16"/>
                <w:szCs w:val="24"/>
              </w:rPr>
              <w:t>Angiogenesis</w:t>
            </w:r>
          </w:p>
        </w:tc>
        <w:tc>
          <w:tcPr>
            <w:tcW w:w="1757" w:type="dxa"/>
            <w:tcMar>
              <w:top w:w="35" w:type="dxa"/>
              <w:left w:w="35" w:type="dxa"/>
              <w:bottom w:w="35" w:type="dxa"/>
              <w:right w:w="35" w:type="dxa"/>
            </w:tcMar>
            <w:vAlign w:val="center"/>
          </w:tcPr>
          <w:p w14:paraId="3F1A9E37" w14:textId="77777777" w:rsidR="00082584" w:rsidRPr="00ED581A" w:rsidRDefault="00000000">
            <w:pPr>
              <w:spacing w:line="240" w:lineRule="auto"/>
              <w:rPr>
                <w:sz w:val="16"/>
                <w:szCs w:val="24"/>
              </w:rPr>
            </w:pPr>
            <w:r w:rsidRPr="00ED581A">
              <w:rPr>
                <w:rFonts w:eastAsia="Times New Roman"/>
                <w:sz w:val="16"/>
                <w:szCs w:val="24"/>
              </w:rPr>
              <w:t>HIF-1α; VEGF</w:t>
            </w:r>
          </w:p>
        </w:tc>
      </w:tr>
    </w:tbl>
    <w:p w14:paraId="262805D8" w14:textId="77777777" w:rsidR="00082584" w:rsidRDefault="00000000">
      <w:pPr>
        <w:spacing w:line="240" w:lineRule="auto"/>
        <w:rPr>
          <w:rFonts w:eastAsia="Times New Roman"/>
          <w:i/>
          <w:sz w:val="18"/>
          <w:szCs w:val="24"/>
        </w:rPr>
      </w:pPr>
      <w:r w:rsidRPr="00ED581A">
        <w:rPr>
          <w:rFonts w:eastAsia="Times New Roman"/>
          <w:i/>
          <w:sz w:val="18"/>
          <w:szCs w:val="24"/>
        </w:rPr>
        <w:t xml:space="preserve">AMI, acute myocardial infarction; CK-MB, creatine kinase-MB; cTnI, cardiac troponin I; eNOS, endothelial nitric oxide synthase; HC, healthy control; HUVEC, human umbilical vein endothelial cell; IR-ATO, infarct-related artery total occlusion; IR-BVR, infarct-related blood-vessel recanalisation; I/R, ischemia-reperfusion; MACE, major adverse cardiac events; PCI, percutaneous coronary intervention; SD, Sprague-Dawley; STEMI, ST-elevation myocardial infarction; TGF-β1, transforming growth factor-b1; VEGF, vascular endothelial growth factor. Arrows denote up-regulation (↑) or down-regulation (↓). All studies quantified miRNA by </w:t>
      </w:r>
      <w:proofErr w:type="spellStart"/>
      <w:r w:rsidRPr="00ED581A">
        <w:rPr>
          <w:rFonts w:eastAsia="Times New Roman"/>
          <w:i/>
          <w:sz w:val="18"/>
          <w:szCs w:val="24"/>
        </w:rPr>
        <w:t>qRT</w:t>
      </w:r>
      <w:proofErr w:type="spellEnd"/>
      <w:r w:rsidRPr="00ED581A">
        <w:rPr>
          <w:rFonts w:eastAsia="Times New Roman"/>
          <w:i/>
          <w:sz w:val="18"/>
          <w:szCs w:val="24"/>
        </w:rPr>
        <w:t>-PCR.</w:t>
      </w:r>
    </w:p>
    <w:p w14:paraId="7334B9E9" w14:textId="77777777" w:rsidR="00ED581A" w:rsidRDefault="00ED581A">
      <w:pPr>
        <w:spacing w:line="240" w:lineRule="auto"/>
        <w:rPr>
          <w:rFonts w:eastAsia="Times New Roman"/>
          <w:i/>
          <w:sz w:val="18"/>
          <w:szCs w:val="24"/>
        </w:rPr>
      </w:pPr>
    </w:p>
    <w:p w14:paraId="7CEA6094" w14:textId="77777777" w:rsidR="00ED581A" w:rsidRDefault="00ED581A">
      <w:pPr>
        <w:spacing w:line="240" w:lineRule="auto"/>
        <w:rPr>
          <w:rFonts w:eastAsia="Times New Roman"/>
          <w:i/>
          <w:sz w:val="18"/>
          <w:szCs w:val="24"/>
        </w:rPr>
      </w:pPr>
    </w:p>
    <w:p w14:paraId="6ABDE9BC" w14:textId="77777777" w:rsidR="00ED581A" w:rsidRPr="00ED581A" w:rsidRDefault="00ED581A">
      <w:pPr>
        <w:spacing w:line="240" w:lineRule="auto"/>
        <w:rPr>
          <w:sz w:val="28"/>
          <w:szCs w:val="24"/>
        </w:rPr>
      </w:pPr>
    </w:p>
    <w:p w14:paraId="6874FCB8" w14:textId="77777777" w:rsidR="00082584" w:rsidRDefault="00000000">
      <w:r>
        <w:rPr>
          <w:rFonts w:eastAsia="Times New Roman"/>
          <w:b/>
        </w:rPr>
        <w:lastRenderedPageBreak/>
        <w:t>Table 2. Summary of quantitative outcomes for each included study.</w:t>
      </w:r>
      <w:r>
        <w:rPr>
          <w:rFonts w:eastAsia="Times New Roman"/>
          <w:b/>
          <w:sz w:val="17"/>
          <w:vertAlign w:val="superscript"/>
        </w:rPr>
        <w:t>12-23</w:t>
      </w:r>
    </w:p>
    <w:tbl>
      <w:tblPr>
        <w:tblStyle w:val="TableGrid"/>
        <w:tblW w:w="0" w:type="auto"/>
        <w:jc w:val="center"/>
        <w:tblLayout w:type="fixed"/>
        <w:tblLook w:val="04A0" w:firstRow="1" w:lastRow="0" w:firstColumn="1" w:lastColumn="0" w:noHBand="0" w:noVBand="1"/>
      </w:tblPr>
      <w:tblGrid>
        <w:gridCol w:w="1080"/>
        <w:gridCol w:w="1123"/>
        <w:gridCol w:w="1224"/>
        <w:gridCol w:w="3384"/>
        <w:gridCol w:w="1800"/>
        <w:gridCol w:w="691"/>
      </w:tblGrid>
      <w:tr w:rsidR="00082584" w:rsidRPr="00ED581A" w14:paraId="1C40AE2D" w14:textId="77777777">
        <w:trPr>
          <w:tblHeader/>
          <w:jc w:val="center"/>
        </w:trPr>
        <w:tc>
          <w:tcPr>
            <w:tcW w:w="1080" w:type="dxa"/>
            <w:shd w:val="clear" w:color="auto" w:fill="F2F2F2"/>
            <w:tcMar>
              <w:top w:w="35" w:type="dxa"/>
              <w:left w:w="35" w:type="dxa"/>
              <w:bottom w:w="35" w:type="dxa"/>
              <w:right w:w="35" w:type="dxa"/>
            </w:tcMar>
            <w:vAlign w:val="center"/>
          </w:tcPr>
          <w:p w14:paraId="6B100318" w14:textId="77777777" w:rsidR="00082584" w:rsidRPr="00ED581A" w:rsidRDefault="00000000">
            <w:pPr>
              <w:spacing w:line="240" w:lineRule="auto"/>
              <w:jc w:val="center"/>
              <w:rPr>
                <w:sz w:val="18"/>
                <w:szCs w:val="28"/>
              </w:rPr>
            </w:pPr>
            <w:r w:rsidRPr="00ED581A">
              <w:rPr>
                <w:rFonts w:eastAsia="Times New Roman"/>
                <w:b/>
                <w:sz w:val="18"/>
                <w:szCs w:val="28"/>
              </w:rPr>
              <w:t>Study (Year)</w:t>
            </w:r>
          </w:p>
        </w:tc>
        <w:tc>
          <w:tcPr>
            <w:tcW w:w="1123" w:type="dxa"/>
            <w:shd w:val="clear" w:color="auto" w:fill="F2F2F2"/>
            <w:tcMar>
              <w:top w:w="35" w:type="dxa"/>
              <w:left w:w="35" w:type="dxa"/>
              <w:bottom w:w="35" w:type="dxa"/>
              <w:right w:w="35" w:type="dxa"/>
            </w:tcMar>
            <w:vAlign w:val="center"/>
          </w:tcPr>
          <w:p w14:paraId="6053B145" w14:textId="77777777" w:rsidR="00082584" w:rsidRPr="00ED581A" w:rsidRDefault="00000000">
            <w:pPr>
              <w:spacing w:line="240" w:lineRule="auto"/>
              <w:jc w:val="center"/>
              <w:rPr>
                <w:sz w:val="18"/>
                <w:szCs w:val="28"/>
              </w:rPr>
            </w:pPr>
            <w:r w:rsidRPr="00ED581A">
              <w:rPr>
                <w:rFonts w:eastAsia="Times New Roman"/>
                <w:b/>
                <w:sz w:val="18"/>
                <w:szCs w:val="28"/>
              </w:rPr>
              <w:t>miRNA (reg.)</w:t>
            </w:r>
          </w:p>
        </w:tc>
        <w:tc>
          <w:tcPr>
            <w:tcW w:w="1224" w:type="dxa"/>
            <w:shd w:val="clear" w:color="auto" w:fill="F2F2F2"/>
            <w:tcMar>
              <w:top w:w="35" w:type="dxa"/>
              <w:left w:w="35" w:type="dxa"/>
              <w:bottom w:w="35" w:type="dxa"/>
              <w:right w:w="35" w:type="dxa"/>
            </w:tcMar>
            <w:vAlign w:val="center"/>
          </w:tcPr>
          <w:p w14:paraId="05C48028" w14:textId="77777777" w:rsidR="00082584" w:rsidRPr="00ED581A" w:rsidRDefault="00000000">
            <w:pPr>
              <w:spacing w:line="240" w:lineRule="auto"/>
              <w:jc w:val="center"/>
              <w:rPr>
                <w:sz w:val="18"/>
                <w:szCs w:val="28"/>
              </w:rPr>
            </w:pPr>
            <w:r w:rsidRPr="00ED581A">
              <w:rPr>
                <w:rFonts w:eastAsia="Times New Roman"/>
                <w:b/>
                <w:sz w:val="18"/>
                <w:szCs w:val="28"/>
              </w:rPr>
              <w:t>Domain</w:t>
            </w:r>
          </w:p>
        </w:tc>
        <w:tc>
          <w:tcPr>
            <w:tcW w:w="3384" w:type="dxa"/>
            <w:shd w:val="clear" w:color="auto" w:fill="F2F2F2"/>
            <w:tcMar>
              <w:top w:w="35" w:type="dxa"/>
              <w:left w:w="35" w:type="dxa"/>
              <w:bottom w:w="35" w:type="dxa"/>
              <w:right w:w="35" w:type="dxa"/>
            </w:tcMar>
            <w:vAlign w:val="center"/>
          </w:tcPr>
          <w:p w14:paraId="5E753B12" w14:textId="77777777" w:rsidR="00082584" w:rsidRPr="00ED581A" w:rsidRDefault="00000000">
            <w:pPr>
              <w:spacing w:line="240" w:lineRule="auto"/>
              <w:jc w:val="center"/>
              <w:rPr>
                <w:sz w:val="18"/>
                <w:szCs w:val="28"/>
              </w:rPr>
            </w:pPr>
            <w:r w:rsidRPr="00ED581A">
              <w:rPr>
                <w:rFonts w:eastAsia="Times New Roman"/>
                <w:b/>
                <w:sz w:val="18"/>
                <w:szCs w:val="28"/>
              </w:rPr>
              <w:t>Key quantitative finding</w:t>
            </w:r>
          </w:p>
        </w:tc>
        <w:tc>
          <w:tcPr>
            <w:tcW w:w="1800" w:type="dxa"/>
            <w:shd w:val="clear" w:color="auto" w:fill="F2F2F2"/>
            <w:tcMar>
              <w:top w:w="35" w:type="dxa"/>
              <w:left w:w="35" w:type="dxa"/>
              <w:bottom w:w="35" w:type="dxa"/>
              <w:right w:w="35" w:type="dxa"/>
            </w:tcMar>
            <w:vAlign w:val="center"/>
          </w:tcPr>
          <w:p w14:paraId="526818C0" w14:textId="77777777" w:rsidR="00082584" w:rsidRPr="00ED581A" w:rsidRDefault="00000000">
            <w:pPr>
              <w:spacing w:line="240" w:lineRule="auto"/>
              <w:jc w:val="center"/>
              <w:rPr>
                <w:sz w:val="18"/>
                <w:szCs w:val="28"/>
              </w:rPr>
            </w:pPr>
            <w:r w:rsidRPr="00ED581A">
              <w:rPr>
                <w:rFonts w:eastAsia="Times New Roman"/>
                <w:b/>
                <w:sz w:val="18"/>
                <w:szCs w:val="28"/>
              </w:rPr>
              <w:t xml:space="preserve">Effect </w:t>
            </w:r>
            <w:proofErr w:type="gramStart"/>
            <w:r w:rsidRPr="00ED581A">
              <w:rPr>
                <w:rFonts w:eastAsia="Times New Roman"/>
                <w:b/>
                <w:sz w:val="18"/>
                <w:szCs w:val="28"/>
              </w:rPr>
              <w:t>estimate</w:t>
            </w:r>
            <w:proofErr w:type="gramEnd"/>
          </w:p>
        </w:tc>
        <w:tc>
          <w:tcPr>
            <w:tcW w:w="691" w:type="dxa"/>
            <w:shd w:val="clear" w:color="auto" w:fill="F2F2F2"/>
            <w:tcMar>
              <w:top w:w="35" w:type="dxa"/>
              <w:left w:w="35" w:type="dxa"/>
              <w:bottom w:w="35" w:type="dxa"/>
              <w:right w:w="35" w:type="dxa"/>
            </w:tcMar>
            <w:vAlign w:val="center"/>
          </w:tcPr>
          <w:p w14:paraId="7E8A5736" w14:textId="77777777" w:rsidR="00082584" w:rsidRPr="00ED581A" w:rsidRDefault="00000000">
            <w:pPr>
              <w:spacing w:line="240" w:lineRule="auto"/>
              <w:jc w:val="center"/>
              <w:rPr>
                <w:sz w:val="18"/>
                <w:szCs w:val="28"/>
              </w:rPr>
            </w:pPr>
            <w:r w:rsidRPr="00ED581A">
              <w:rPr>
                <w:rFonts w:eastAsia="Times New Roman"/>
                <w:b/>
                <w:sz w:val="18"/>
                <w:szCs w:val="28"/>
              </w:rPr>
              <w:t>P</w:t>
            </w:r>
          </w:p>
        </w:tc>
      </w:tr>
      <w:tr w:rsidR="00082584" w:rsidRPr="00ED581A" w14:paraId="7AB6858D" w14:textId="77777777">
        <w:trPr>
          <w:jc w:val="center"/>
        </w:trPr>
        <w:tc>
          <w:tcPr>
            <w:tcW w:w="1080" w:type="dxa"/>
            <w:tcMar>
              <w:top w:w="35" w:type="dxa"/>
              <w:left w:w="35" w:type="dxa"/>
              <w:bottom w:w="35" w:type="dxa"/>
              <w:right w:w="35" w:type="dxa"/>
            </w:tcMar>
            <w:vAlign w:val="center"/>
          </w:tcPr>
          <w:p w14:paraId="7866BC0D" w14:textId="77777777" w:rsidR="00082584" w:rsidRPr="00ED581A" w:rsidRDefault="00000000">
            <w:pPr>
              <w:spacing w:line="240" w:lineRule="auto"/>
              <w:rPr>
                <w:sz w:val="18"/>
                <w:szCs w:val="28"/>
              </w:rPr>
            </w:pPr>
            <w:r w:rsidRPr="00ED581A">
              <w:rPr>
                <w:rFonts w:eastAsia="Times New Roman"/>
                <w:sz w:val="18"/>
                <w:szCs w:val="28"/>
              </w:rPr>
              <w:t>Zhang, 2015</w:t>
            </w:r>
          </w:p>
        </w:tc>
        <w:tc>
          <w:tcPr>
            <w:tcW w:w="1123" w:type="dxa"/>
            <w:tcMar>
              <w:top w:w="35" w:type="dxa"/>
              <w:left w:w="35" w:type="dxa"/>
              <w:bottom w:w="35" w:type="dxa"/>
              <w:right w:w="35" w:type="dxa"/>
            </w:tcMar>
            <w:vAlign w:val="center"/>
          </w:tcPr>
          <w:p w14:paraId="18493869" w14:textId="77777777" w:rsidR="00082584" w:rsidRPr="00ED581A" w:rsidRDefault="00000000">
            <w:pPr>
              <w:spacing w:line="240" w:lineRule="auto"/>
              <w:rPr>
                <w:sz w:val="18"/>
                <w:szCs w:val="28"/>
              </w:rPr>
            </w:pPr>
            <w:r w:rsidRPr="00ED581A">
              <w:rPr>
                <w:rFonts w:eastAsia="Times New Roman"/>
                <w:sz w:val="18"/>
                <w:szCs w:val="28"/>
              </w:rPr>
              <w:t>miR-499 (↑)</w:t>
            </w:r>
          </w:p>
        </w:tc>
        <w:tc>
          <w:tcPr>
            <w:tcW w:w="1224" w:type="dxa"/>
            <w:tcMar>
              <w:top w:w="35" w:type="dxa"/>
              <w:left w:w="35" w:type="dxa"/>
              <w:bottom w:w="35" w:type="dxa"/>
              <w:right w:w="35" w:type="dxa"/>
            </w:tcMar>
            <w:vAlign w:val="center"/>
          </w:tcPr>
          <w:p w14:paraId="4C05C705" w14:textId="77777777" w:rsidR="00082584" w:rsidRPr="00ED581A" w:rsidRDefault="00000000">
            <w:pPr>
              <w:spacing w:line="240" w:lineRule="auto"/>
              <w:rPr>
                <w:sz w:val="18"/>
                <w:szCs w:val="28"/>
              </w:rPr>
            </w:pPr>
            <w:r w:rsidRPr="00ED581A">
              <w:rPr>
                <w:rFonts w:eastAsia="Times New Roman"/>
                <w:sz w:val="18"/>
                <w:szCs w:val="28"/>
              </w:rPr>
              <w:t>Diagnosis</w:t>
            </w:r>
          </w:p>
        </w:tc>
        <w:tc>
          <w:tcPr>
            <w:tcW w:w="3384" w:type="dxa"/>
            <w:tcMar>
              <w:top w:w="35" w:type="dxa"/>
              <w:left w:w="35" w:type="dxa"/>
              <w:bottom w:w="35" w:type="dxa"/>
              <w:right w:w="35" w:type="dxa"/>
            </w:tcMar>
            <w:vAlign w:val="center"/>
          </w:tcPr>
          <w:p w14:paraId="14B0F179" w14:textId="77777777" w:rsidR="00082584" w:rsidRPr="00ED581A" w:rsidRDefault="00000000">
            <w:pPr>
              <w:spacing w:line="240" w:lineRule="auto"/>
              <w:rPr>
                <w:sz w:val="18"/>
                <w:szCs w:val="28"/>
              </w:rPr>
            </w:pPr>
            <w:r w:rsidRPr="00ED581A">
              <w:rPr>
                <w:rFonts w:eastAsia="Times New Roman"/>
                <w:sz w:val="18"/>
                <w:szCs w:val="28"/>
              </w:rPr>
              <w:t>Detectable 1 h post-onset; cut-off 4.79; Sens 80%, Spec 80.28%</w:t>
            </w:r>
          </w:p>
        </w:tc>
        <w:tc>
          <w:tcPr>
            <w:tcW w:w="1800" w:type="dxa"/>
            <w:tcMar>
              <w:top w:w="35" w:type="dxa"/>
              <w:left w:w="35" w:type="dxa"/>
              <w:bottom w:w="35" w:type="dxa"/>
              <w:right w:w="35" w:type="dxa"/>
            </w:tcMar>
            <w:vAlign w:val="center"/>
          </w:tcPr>
          <w:p w14:paraId="632C5C96" w14:textId="77777777" w:rsidR="00082584" w:rsidRPr="00ED581A" w:rsidRDefault="00000000">
            <w:pPr>
              <w:spacing w:line="240" w:lineRule="auto"/>
              <w:rPr>
                <w:sz w:val="18"/>
                <w:szCs w:val="28"/>
              </w:rPr>
            </w:pPr>
            <w:r w:rsidRPr="00ED581A">
              <w:rPr>
                <w:rFonts w:eastAsia="Times New Roman"/>
                <w:sz w:val="18"/>
                <w:szCs w:val="28"/>
              </w:rPr>
              <w:t>AUC 0.86 (0.81-0.91); r 0.488-0.495</w:t>
            </w:r>
          </w:p>
        </w:tc>
        <w:tc>
          <w:tcPr>
            <w:tcW w:w="691" w:type="dxa"/>
            <w:tcMar>
              <w:top w:w="35" w:type="dxa"/>
              <w:left w:w="35" w:type="dxa"/>
              <w:bottom w:w="35" w:type="dxa"/>
              <w:right w:w="35" w:type="dxa"/>
            </w:tcMar>
            <w:vAlign w:val="center"/>
          </w:tcPr>
          <w:p w14:paraId="37E8D816" w14:textId="77777777" w:rsidR="00082584" w:rsidRPr="00ED581A" w:rsidRDefault="00000000">
            <w:pPr>
              <w:spacing w:line="240" w:lineRule="auto"/>
              <w:rPr>
                <w:sz w:val="18"/>
                <w:szCs w:val="28"/>
              </w:rPr>
            </w:pPr>
            <w:r w:rsidRPr="00ED581A">
              <w:rPr>
                <w:rFonts w:eastAsia="Times New Roman"/>
                <w:sz w:val="18"/>
                <w:szCs w:val="28"/>
              </w:rPr>
              <w:t>&lt;0.001</w:t>
            </w:r>
          </w:p>
        </w:tc>
      </w:tr>
      <w:tr w:rsidR="00082584" w:rsidRPr="00ED581A" w14:paraId="5E15859B" w14:textId="77777777">
        <w:trPr>
          <w:jc w:val="center"/>
        </w:trPr>
        <w:tc>
          <w:tcPr>
            <w:tcW w:w="1080" w:type="dxa"/>
            <w:tcMar>
              <w:top w:w="35" w:type="dxa"/>
              <w:left w:w="35" w:type="dxa"/>
              <w:bottom w:w="35" w:type="dxa"/>
              <w:right w:w="35" w:type="dxa"/>
            </w:tcMar>
            <w:vAlign w:val="center"/>
          </w:tcPr>
          <w:p w14:paraId="472E6FF4" w14:textId="77777777" w:rsidR="00082584" w:rsidRPr="00ED581A" w:rsidRDefault="00000000">
            <w:pPr>
              <w:spacing w:line="240" w:lineRule="auto"/>
              <w:rPr>
                <w:sz w:val="18"/>
                <w:szCs w:val="28"/>
              </w:rPr>
            </w:pPr>
            <w:r w:rsidRPr="00ED581A">
              <w:rPr>
                <w:rFonts w:eastAsia="Times New Roman"/>
                <w:sz w:val="18"/>
                <w:szCs w:val="28"/>
              </w:rPr>
              <w:t>Su, 2019</w:t>
            </w:r>
          </w:p>
        </w:tc>
        <w:tc>
          <w:tcPr>
            <w:tcW w:w="1123" w:type="dxa"/>
            <w:tcMar>
              <w:top w:w="35" w:type="dxa"/>
              <w:left w:w="35" w:type="dxa"/>
              <w:bottom w:w="35" w:type="dxa"/>
              <w:right w:w="35" w:type="dxa"/>
            </w:tcMar>
            <w:vAlign w:val="center"/>
          </w:tcPr>
          <w:p w14:paraId="5B89B5B0" w14:textId="77777777" w:rsidR="00082584" w:rsidRPr="00ED581A" w:rsidRDefault="00000000">
            <w:pPr>
              <w:spacing w:line="240" w:lineRule="auto"/>
              <w:rPr>
                <w:sz w:val="18"/>
                <w:szCs w:val="28"/>
              </w:rPr>
            </w:pPr>
            <w:r w:rsidRPr="00ED581A">
              <w:rPr>
                <w:rFonts w:eastAsia="Times New Roman"/>
                <w:sz w:val="18"/>
                <w:szCs w:val="28"/>
              </w:rPr>
              <w:t>miR-1 (↑)</w:t>
            </w:r>
          </w:p>
        </w:tc>
        <w:tc>
          <w:tcPr>
            <w:tcW w:w="1224" w:type="dxa"/>
            <w:tcMar>
              <w:top w:w="35" w:type="dxa"/>
              <w:left w:w="35" w:type="dxa"/>
              <w:bottom w:w="35" w:type="dxa"/>
              <w:right w:w="35" w:type="dxa"/>
            </w:tcMar>
            <w:vAlign w:val="center"/>
          </w:tcPr>
          <w:p w14:paraId="4D0BF6CE" w14:textId="77777777" w:rsidR="00082584" w:rsidRPr="00ED581A" w:rsidRDefault="00000000">
            <w:pPr>
              <w:spacing w:line="240" w:lineRule="auto"/>
              <w:rPr>
                <w:sz w:val="18"/>
                <w:szCs w:val="28"/>
              </w:rPr>
            </w:pPr>
            <w:r w:rsidRPr="00ED581A">
              <w:rPr>
                <w:rFonts w:eastAsia="Times New Roman"/>
                <w:sz w:val="18"/>
                <w:szCs w:val="28"/>
              </w:rPr>
              <w:t>Diagnosis, prognosis</w:t>
            </w:r>
          </w:p>
        </w:tc>
        <w:tc>
          <w:tcPr>
            <w:tcW w:w="3384" w:type="dxa"/>
            <w:tcMar>
              <w:top w:w="35" w:type="dxa"/>
              <w:left w:w="35" w:type="dxa"/>
              <w:bottom w:w="35" w:type="dxa"/>
              <w:right w:w="35" w:type="dxa"/>
            </w:tcMar>
            <w:vAlign w:val="center"/>
          </w:tcPr>
          <w:p w14:paraId="5F081CD1" w14:textId="77777777" w:rsidR="00082584" w:rsidRPr="00ED581A" w:rsidRDefault="00000000">
            <w:pPr>
              <w:spacing w:line="240" w:lineRule="auto"/>
              <w:rPr>
                <w:sz w:val="18"/>
                <w:szCs w:val="28"/>
              </w:rPr>
            </w:pPr>
            <w:r w:rsidRPr="00ED581A">
              <w:rPr>
                <w:rFonts w:eastAsia="Times New Roman"/>
                <w:sz w:val="18"/>
                <w:szCs w:val="28"/>
              </w:rPr>
              <w:t>Adds value to cTnI; 720-d deaths 34/341 (9.97%)</w:t>
            </w:r>
          </w:p>
        </w:tc>
        <w:tc>
          <w:tcPr>
            <w:tcW w:w="1800" w:type="dxa"/>
            <w:tcMar>
              <w:top w:w="35" w:type="dxa"/>
              <w:left w:w="35" w:type="dxa"/>
              <w:bottom w:w="35" w:type="dxa"/>
              <w:right w:w="35" w:type="dxa"/>
            </w:tcMar>
            <w:vAlign w:val="center"/>
          </w:tcPr>
          <w:p w14:paraId="554671EA" w14:textId="77777777" w:rsidR="00082584" w:rsidRPr="00ED581A" w:rsidRDefault="00000000">
            <w:pPr>
              <w:spacing w:line="240" w:lineRule="auto"/>
              <w:rPr>
                <w:sz w:val="18"/>
                <w:szCs w:val="28"/>
              </w:rPr>
            </w:pPr>
            <w:r w:rsidRPr="00ED581A">
              <w:rPr>
                <w:rFonts w:eastAsia="Times New Roman"/>
                <w:sz w:val="18"/>
                <w:szCs w:val="28"/>
              </w:rPr>
              <w:t>AUC 0.863; combined 0.931</w:t>
            </w:r>
          </w:p>
        </w:tc>
        <w:tc>
          <w:tcPr>
            <w:tcW w:w="691" w:type="dxa"/>
            <w:tcMar>
              <w:top w:w="35" w:type="dxa"/>
              <w:left w:w="35" w:type="dxa"/>
              <w:bottom w:w="35" w:type="dxa"/>
              <w:right w:w="35" w:type="dxa"/>
            </w:tcMar>
            <w:vAlign w:val="center"/>
          </w:tcPr>
          <w:p w14:paraId="0A8CFEBE" w14:textId="77777777" w:rsidR="00082584" w:rsidRPr="00ED581A" w:rsidRDefault="00000000">
            <w:pPr>
              <w:spacing w:line="240" w:lineRule="auto"/>
              <w:rPr>
                <w:sz w:val="18"/>
                <w:szCs w:val="28"/>
              </w:rPr>
            </w:pPr>
            <w:r w:rsidRPr="00ED581A">
              <w:rPr>
                <w:rFonts w:eastAsia="Times New Roman"/>
                <w:sz w:val="18"/>
                <w:szCs w:val="28"/>
              </w:rPr>
              <w:t>&lt;0.001</w:t>
            </w:r>
          </w:p>
        </w:tc>
      </w:tr>
      <w:tr w:rsidR="00082584" w:rsidRPr="00ED581A" w14:paraId="34A5514C" w14:textId="77777777">
        <w:trPr>
          <w:jc w:val="center"/>
        </w:trPr>
        <w:tc>
          <w:tcPr>
            <w:tcW w:w="1080" w:type="dxa"/>
            <w:tcMar>
              <w:top w:w="35" w:type="dxa"/>
              <w:left w:w="35" w:type="dxa"/>
              <w:bottom w:w="35" w:type="dxa"/>
              <w:right w:w="35" w:type="dxa"/>
            </w:tcMar>
            <w:vAlign w:val="center"/>
          </w:tcPr>
          <w:p w14:paraId="7AB36931" w14:textId="77777777" w:rsidR="00082584" w:rsidRPr="00ED581A" w:rsidRDefault="00000000">
            <w:pPr>
              <w:spacing w:line="240" w:lineRule="auto"/>
              <w:rPr>
                <w:sz w:val="18"/>
                <w:szCs w:val="28"/>
              </w:rPr>
            </w:pPr>
            <w:r w:rsidRPr="00ED581A">
              <w:rPr>
                <w:rFonts w:eastAsia="Times New Roman"/>
                <w:sz w:val="18"/>
                <w:szCs w:val="28"/>
              </w:rPr>
              <w:t>Chen, 2022</w:t>
            </w:r>
          </w:p>
        </w:tc>
        <w:tc>
          <w:tcPr>
            <w:tcW w:w="1123" w:type="dxa"/>
            <w:tcMar>
              <w:top w:w="35" w:type="dxa"/>
              <w:left w:w="35" w:type="dxa"/>
              <w:bottom w:w="35" w:type="dxa"/>
              <w:right w:w="35" w:type="dxa"/>
            </w:tcMar>
            <w:vAlign w:val="center"/>
          </w:tcPr>
          <w:p w14:paraId="4FD76D7E" w14:textId="77777777" w:rsidR="00082584" w:rsidRPr="00ED581A" w:rsidRDefault="00000000">
            <w:pPr>
              <w:spacing w:line="240" w:lineRule="auto"/>
              <w:rPr>
                <w:sz w:val="18"/>
                <w:szCs w:val="28"/>
              </w:rPr>
            </w:pPr>
            <w:r w:rsidRPr="00ED581A">
              <w:rPr>
                <w:rFonts w:eastAsia="Times New Roman"/>
                <w:sz w:val="18"/>
                <w:szCs w:val="28"/>
              </w:rPr>
              <w:t>miR-208a (↑)</w:t>
            </w:r>
          </w:p>
        </w:tc>
        <w:tc>
          <w:tcPr>
            <w:tcW w:w="1224" w:type="dxa"/>
            <w:tcMar>
              <w:top w:w="35" w:type="dxa"/>
              <w:left w:w="35" w:type="dxa"/>
              <w:bottom w:w="35" w:type="dxa"/>
              <w:right w:w="35" w:type="dxa"/>
            </w:tcMar>
            <w:vAlign w:val="center"/>
          </w:tcPr>
          <w:p w14:paraId="16905BCF" w14:textId="77777777" w:rsidR="00082584" w:rsidRPr="00ED581A" w:rsidRDefault="00000000">
            <w:pPr>
              <w:spacing w:line="240" w:lineRule="auto"/>
              <w:rPr>
                <w:sz w:val="18"/>
                <w:szCs w:val="28"/>
              </w:rPr>
            </w:pPr>
            <w:r w:rsidRPr="00ED581A">
              <w:rPr>
                <w:rFonts w:eastAsia="Times New Roman"/>
                <w:sz w:val="18"/>
                <w:szCs w:val="28"/>
              </w:rPr>
              <w:t>Diagnosis, prognosis</w:t>
            </w:r>
          </w:p>
        </w:tc>
        <w:tc>
          <w:tcPr>
            <w:tcW w:w="3384" w:type="dxa"/>
            <w:tcMar>
              <w:top w:w="35" w:type="dxa"/>
              <w:left w:w="35" w:type="dxa"/>
              <w:bottom w:w="35" w:type="dxa"/>
              <w:right w:w="35" w:type="dxa"/>
            </w:tcMar>
            <w:vAlign w:val="center"/>
          </w:tcPr>
          <w:p w14:paraId="3B1ED04B" w14:textId="77777777" w:rsidR="00082584" w:rsidRPr="00ED581A" w:rsidRDefault="00000000">
            <w:pPr>
              <w:spacing w:line="240" w:lineRule="auto"/>
              <w:rPr>
                <w:sz w:val="18"/>
                <w:szCs w:val="28"/>
              </w:rPr>
            </w:pPr>
            <w:r w:rsidRPr="00ED581A">
              <w:rPr>
                <w:rFonts w:eastAsia="Times New Roman"/>
                <w:sz w:val="18"/>
                <w:szCs w:val="28"/>
              </w:rPr>
              <w:t>Falls after therapy; predicts efficacy/adverse events</w:t>
            </w:r>
          </w:p>
        </w:tc>
        <w:tc>
          <w:tcPr>
            <w:tcW w:w="1800" w:type="dxa"/>
            <w:tcMar>
              <w:top w:w="35" w:type="dxa"/>
              <w:left w:w="35" w:type="dxa"/>
              <w:bottom w:w="35" w:type="dxa"/>
              <w:right w:w="35" w:type="dxa"/>
            </w:tcMar>
            <w:vAlign w:val="center"/>
          </w:tcPr>
          <w:p w14:paraId="28299AA6" w14:textId="77777777" w:rsidR="00082584" w:rsidRPr="00ED581A" w:rsidRDefault="00000000">
            <w:pPr>
              <w:spacing w:line="240" w:lineRule="auto"/>
              <w:rPr>
                <w:sz w:val="18"/>
                <w:szCs w:val="28"/>
              </w:rPr>
            </w:pPr>
            <w:r w:rsidRPr="00ED581A">
              <w:rPr>
                <w:rFonts w:eastAsia="Times New Roman"/>
                <w:sz w:val="18"/>
                <w:szCs w:val="28"/>
              </w:rPr>
              <w:t>AUC &gt;0.9; 0.784; 0.713</w:t>
            </w:r>
          </w:p>
        </w:tc>
        <w:tc>
          <w:tcPr>
            <w:tcW w:w="691" w:type="dxa"/>
            <w:tcMar>
              <w:top w:w="35" w:type="dxa"/>
              <w:left w:w="35" w:type="dxa"/>
              <w:bottom w:w="35" w:type="dxa"/>
              <w:right w:w="35" w:type="dxa"/>
            </w:tcMar>
            <w:vAlign w:val="center"/>
          </w:tcPr>
          <w:p w14:paraId="5F1E9E21" w14:textId="77777777" w:rsidR="00082584" w:rsidRPr="00ED581A" w:rsidRDefault="00000000">
            <w:pPr>
              <w:spacing w:line="240" w:lineRule="auto"/>
              <w:rPr>
                <w:sz w:val="18"/>
                <w:szCs w:val="28"/>
              </w:rPr>
            </w:pPr>
            <w:r w:rsidRPr="00ED581A">
              <w:rPr>
                <w:rFonts w:eastAsia="Times New Roman"/>
                <w:sz w:val="18"/>
                <w:szCs w:val="28"/>
              </w:rPr>
              <w:t>&lt;0.05</w:t>
            </w:r>
          </w:p>
        </w:tc>
      </w:tr>
      <w:tr w:rsidR="00082584" w:rsidRPr="00ED581A" w14:paraId="299B233E" w14:textId="77777777">
        <w:trPr>
          <w:jc w:val="center"/>
        </w:trPr>
        <w:tc>
          <w:tcPr>
            <w:tcW w:w="1080" w:type="dxa"/>
            <w:tcMar>
              <w:top w:w="35" w:type="dxa"/>
              <w:left w:w="35" w:type="dxa"/>
              <w:bottom w:w="35" w:type="dxa"/>
              <w:right w:w="35" w:type="dxa"/>
            </w:tcMar>
            <w:vAlign w:val="center"/>
          </w:tcPr>
          <w:p w14:paraId="452CAD5F" w14:textId="77777777" w:rsidR="00082584" w:rsidRPr="00ED581A" w:rsidRDefault="00000000">
            <w:pPr>
              <w:spacing w:line="240" w:lineRule="auto"/>
              <w:rPr>
                <w:sz w:val="18"/>
                <w:szCs w:val="28"/>
              </w:rPr>
            </w:pPr>
            <w:r w:rsidRPr="00ED581A">
              <w:rPr>
                <w:rFonts w:eastAsia="Times New Roman"/>
                <w:sz w:val="18"/>
                <w:szCs w:val="28"/>
              </w:rPr>
              <w:t>Mi, 2022</w:t>
            </w:r>
          </w:p>
        </w:tc>
        <w:tc>
          <w:tcPr>
            <w:tcW w:w="1123" w:type="dxa"/>
            <w:tcMar>
              <w:top w:w="35" w:type="dxa"/>
              <w:left w:w="35" w:type="dxa"/>
              <w:bottom w:w="35" w:type="dxa"/>
              <w:right w:w="35" w:type="dxa"/>
            </w:tcMar>
            <w:vAlign w:val="center"/>
          </w:tcPr>
          <w:p w14:paraId="5E03EA67" w14:textId="77777777" w:rsidR="00082584" w:rsidRPr="00ED581A" w:rsidRDefault="00000000">
            <w:pPr>
              <w:spacing w:line="240" w:lineRule="auto"/>
              <w:rPr>
                <w:sz w:val="18"/>
                <w:szCs w:val="28"/>
              </w:rPr>
            </w:pPr>
            <w:r w:rsidRPr="00ED581A">
              <w:rPr>
                <w:rFonts w:eastAsia="Times New Roman"/>
                <w:sz w:val="18"/>
                <w:szCs w:val="28"/>
              </w:rPr>
              <w:t>miR-21-5p, miR-126 (↑)</w:t>
            </w:r>
          </w:p>
        </w:tc>
        <w:tc>
          <w:tcPr>
            <w:tcW w:w="1224" w:type="dxa"/>
            <w:tcMar>
              <w:top w:w="35" w:type="dxa"/>
              <w:left w:w="35" w:type="dxa"/>
              <w:bottom w:w="35" w:type="dxa"/>
              <w:right w:w="35" w:type="dxa"/>
            </w:tcMar>
            <w:vAlign w:val="center"/>
          </w:tcPr>
          <w:p w14:paraId="574469E7" w14:textId="77777777" w:rsidR="00082584" w:rsidRPr="00ED581A" w:rsidRDefault="00000000">
            <w:pPr>
              <w:spacing w:line="240" w:lineRule="auto"/>
              <w:rPr>
                <w:sz w:val="18"/>
                <w:szCs w:val="28"/>
              </w:rPr>
            </w:pPr>
            <w:r w:rsidRPr="00ED581A">
              <w:rPr>
                <w:rFonts w:eastAsia="Times New Roman"/>
                <w:sz w:val="18"/>
                <w:szCs w:val="28"/>
              </w:rPr>
              <w:t>Prognosis (IR-ATO)</w:t>
            </w:r>
          </w:p>
        </w:tc>
        <w:tc>
          <w:tcPr>
            <w:tcW w:w="3384" w:type="dxa"/>
            <w:tcMar>
              <w:top w:w="35" w:type="dxa"/>
              <w:left w:w="35" w:type="dxa"/>
              <w:bottom w:w="35" w:type="dxa"/>
              <w:right w:w="35" w:type="dxa"/>
            </w:tcMar>
            <w:vAlign w:val="center"/>
          </w:tcPr>
          <w:p w14:paraId="769F9FC0" w14:textId="77777777" w:rsidR="00082584" w:rsidRPr="00ED581A" w:rsidRDefault="00000000">
            <w:pPr>
              <w:spacing w:line="240" w:lineRule="auto"/>
              <w:rPr>
                <w:sz w:val="18"/>
                <w:szCs w:val="28"/>
              </w:rPr>
            </w:pPr>
            <w:r w:rsidRPr="00ED581A">
              <w:rPr>
                <w:rFonts w:eastAsia="Times New Roman"/>
                <w:sz w:val="18"/>
                <w:szCs w:val="28"/>
              </w:rPr>
              <w:t>miR-21-5p 3.616 vs 1.431; MACE 9/51 (17.6%)</w:t>
            </w:r>
          </w:p>
        </w:tc>
        <w:tc>
          <w:tcPr>
            <w:tcW w:w="1800" w:type="dxa"/>
            <w:tcMar>
              <w:top w:w="35" w:type="dxa"/>
              <w:left w:w="35" w:type="dxa"/>
              <w:bottom w:w="35" w:type="dxa"/>
              <w:right w:w="35" w:type="dxa"/>
            </w:tcMar>
            <w:vAlign w:val="center"/>
          </w:tcPr>
          <w:p w14:paraId="64C08AF9" w14:textId="77777777" w:rsidR="00082584" w:rsidRPr="00ED581A" w:rsidRDefault="00000000">
            <w:pPr>
              <w:spacing w:line="240" w:lineRule="auto"/>
              <w:rPr>
                <w:sz w:val="18"/>
                <w:szCs w:val="28"/>
              </w:rPr>
            </w:pPr>
            <w:r w:rsidRPr="00ED581A">
              <w:rPr>
                <w:rFonts w:eastAsia="Times New Roman"/>
                <w:sz w:val="18"/>
                <w:szCs w:val="28"/>
              </w:rPr>
              <w:t>Fold ~2.5-2.6 vs control</w:t>
            </w:r>
          </w:p>
        </w:tc>
        <w:tc>
          <w:tcPr>
            <w:tcW w:w="691" w:type="dxa"/>
            <w:tcMar>
              <w:top w:w="35" w:type="dxa"/>
              <w:left w:w="35" w:type="dxa"/>
              <w:bottom w:w="35" w:type="dxa"/>
              <w:right w:w="35" w:type="dxa"/>
            </w:tcMar>
            <w:vAlign w:val="center"/>
          </w:tcPr>
          <w:p w14:paraId="49A066F8" w14:textId="77777777" w:rsidR="00082584" w:rsidRPr="00ED581A" w:rsidRDefault="00000000">
            <w:pPr>
              <w:spacing w:line="240" w:lineRule="auto"/>
              <w:rPr>
                <w:sz w:val="18"/>
                <w:szCs w:val="28"/>
              </w:rPr>
            </w:pPr>
            <w:r w:rsidRPr="00ED581A">
              <w:rPr>
                <w:rFonts w:eastAsia="Times New Roman"/>
                <w:sz w:val="18"/>
                <w:szCs w:val="28"/>
              </w:rPr>
              <w:t>&lt;0.0001</w:t>
            </w:r>
          </w:p>
        </w:tc>
      </w:tr>
      <w:tr w:rsidR="00082584" w:rsidRPr="00ED581A" w14:paraId="17D67040" w14:textId="77777777">
        <w:trPr>
          <w:jc w:val="center"/>
        </w:trPr>
        <w:tc>
          <w:tcPr>
            <w:tcW w:w="1080" w:type="dxa"/>
            <w:tcMar>
              <w:top w:w="35" w:type="dxa"/>
              <w:left w:w="35" w:type="dxa"/>
              <w:bottom w:w="35" w:type="dxa"/>
              <w:right w:w="35" w:type="dxa"/>
            </w:tcMar>
            <w:vAlign w:val="center"/>
          </w:tcPr>
          <w:p w14:paraId="3FA3D19F" w14:textId="77777777" w:rsidR="00082584" w:rsidRPr="00ED581A" w:rsidRDefault="00000000">
            <w:pPr>
              <w:spacing w:line="240" w:lineRule="auto"/>
              <w:rPr>
                <w:sz w:val="18"/>
                <w:szCs w:val="28"/>
              </w:rPr>
            </w:pPr>
            <w:r w:rsidRPr="00ED581A">
              <w:rPr>
                <w:rFonts w:eastAsia="Times New Roman"/>
                <w:sz w:val="18"/>
                <w:szCs w:val="28"/>
              </w:rPr>
              <w:t>Scarlatescu, 2022</w:t>
            </w:r>
          </w:p>
        </w:tc>
        <w:tc>
          <w:tcPr>
            <w:tcW w:w="1123" w:type="dxa"/>
            <w:tcMar>
              <w:top w:w="35" w:type="dxa"/>
              <w:left w:w="35" w:type="dxa"/>
              <w:bottom w:w="35" w:type="dxa"/>
              <w:right w:w="35" w:type="dxa"/>
            </w:tcMar>
            <w:vAlign w:val="center"/>
          </w:tcPr>
          <w:p w14:paraId="0AADA146" w14:textId="77777777" w:rsidR="00082584" w:rsidRPr="00ED581A" w:rsidRDefault="00000000">
            <w:pPr>
              <w:spacing w:line="240" w:lineRule="auto"/>
              <w:rPr>
                <w:sz w:val="18"/>
                <w:szCs w:val="28"/>
              </w:rPr>
            </w:pPr>
            <w:r w:rsidRPr="00ED581A">
              <w:rPr>
                <w:rFonts w:eastAsia="Times New Roman"/>
                <w:sz w:val="18"/>
                <w:szCs w:val="28"/>
              </w:rPr>
              <w:t>miR-146a-5p/223-3p/142-3p (↑)</w:t>
            </w:r>
          </w:p>
        </w:tc>
        <w:tc>
          <w:tcPr>
            <w:tcW w:w="1224" w:type="dxa"/>
            <w:tcMar>
              <w:top w:w="35" w:type="dxa"/>
              <w:left w:w="35" w:type="dxa"/>
              <w:bottom w:w="35" w:type="dxa"/>
              <w:right w:w="35" w:type="dxa"/>
            </w:tcMar>
            <w:vAlign w:val="center"/>
          </w:tcPr>
          <w:p w14:paraId="4210AC1B" w14:textId="77777777" w:rsidR="00082584" w:rsidRPr="00ED581A" w:rsidRDefault="00000000">
            <w:pPr>
              <w:spacing w:line="240" w:lineRule="auto"/>
              <w:rPr>
                <w:sz w:val="18"/>
                <w:szCs w:val="28"/>
              </w:rPr>
            </w:pPr>
            <w:r w:rsidRPr="00ED581A">
              <w:rPr>
                <w:rFonts w:eastAsia="Times New Roman"/>
                <w:sz w:val="18"/>
                <w:szCs w:val="28"/>
              </w:rPr>
              <w:t>Inflammation, prognosis</w:t>
            </w:r>
          </w:p>
        </w:tc>
        <w:tc>
          <w:tcPr>
            <w:tcW w:w="3384" w:type="dxa"/>
            <w:tcMar>
              <w:top w:w="35" w:type="dxa"/>
              <w:left w:w="35" w:type="dxa"/>
              <w:bottom w:w="35" w:type="dxa"/>
              <w:right w:w="35" w:type="dxa"/>
            </w:tcMar>
            <w:vAlign w:val="center"/>
          </w:tcPr>
          <w:p w14:paraId="14A7720F" w14:textId="77777777" w:rsidR="00082584" w:rsidRPr="00ED581A" w:rsidRDefault="00000000">
            <w:pPr>
              <w:spacing w:line="240" w:lineRule="auto"/>
              <w:rPr>
                <w:sz w:val="18"/>
                <w:szCs w:val="28"/>
              </w:rPr>
            </w:pPr>
            <w:r w:rsidRPr="00ED581A">
              <w:rPr>
                <w:rFonts w:eastAsia="Times New Roman"/>
                <w:sz w:val="18"/>
                <w:szCs w:val="28"/>
              </w:rPr>
              <w:t>1-y MACE 9/50 (18%); 3-miRNA panel</w:t>
            </w:r>
          </w:p>
        </w:tc>
        <w:tc>
          <w:tcPr>
            <w:tcW w:w="1800" w:type="dxa"/>
            <w:tcMar>
              <w:top w:w="35" w:type="dxa"/>
              <w:left w:w="35" w:type="dxa"/>
              <w:bottom w:w="35" w:type="dxa"/>
              <w:right w:w="35" w:type="dxa"/>
            </w:tcMar>
            <w:vAlign w:val="center"/>
          </w:tcPr>
          <w:p w14:paraId="76CF72A7" w14:textId="77777777" w:rsidR="00082584" w:rsidRPr="00ED581A" w:rsidRDefault="00000000">
            <w:pPr>
              <w:spacing w:line="240" w:lineRule="auto"/>
              <w:rPr>
                <w:sz w:val="18"/>
                <w:szCs w:val="28"/>
              </w:rPr>
            </w:pPr>
            <w:r w:rsidRPr="00ED581A">
              <w:rPr>
                <w:rFonts w:eastAsia="Times New Roman"/>
                <w:sz w:val="18"/>
                <w:szCs w:val="28"/>
              </w:rPr>
              <w:t>AUC 0.848/0.832/0.732; panel 0.865</w:t>
            </w:r>
          </w:p>
        </w:tc>
        <w:tc>
          <w:tcPr>
            <w:tcW w:w="691" w:type="dxa"/>
            <w:tcMar>
              <w:top w:w="35" w:type="dxa"/>
              <w:left w:w="35" w:type="dxa"/>
              <w:bottom w:w="35" w:type="dxa"/>
              <w:right w:w="35" w:type="dxa"/>
            </w:tcMar>
            <w:vAlign w:val="center"/>
          </w:tcPr>
          <w:p w14:paraId="0F6E5C45" w14:textId="77777777" w:rsidR="00082584" w:rsidRPr="00ED581A" w:rsidRDefault="00000000">
            <w:pPr>
              <w:spacing w:line="240" w:lineRule="auto"/>
              <w:rPr>
                <w:sz w:val="18"/>
                <w:szCs w:val="28"/>
              </w:rPr>
            </w:pPr>
            <w:r w:rsidRPr="00ED581A">
              <w:rPr>
                <w:rFonts w:eastAsia="Times New Roman"/>
                <w:sz w:val="18"/>
                <w:szCs w:val="28"/>
              </w:rPr>
              <w:t>0.001-0.031</w:t>
            </w:r>
          </w:p>
        </w:tc>
      </w:tr>
      <w:tr w:rsidR="00082584" w:rsidRPr="00ED581A" w14:paraId="52BE7828" w14:textId="77777777">
        <w:trPr>
          <w:jc w:val="center"/>
        </w:trPr>
        <w:tc>
          <w:tcPr>
            <w:tcW w:w="1080" w:type="dxa"/>
            <w:tcMar>
              <w:top w:w="35" w:type="dxa"/>
              <w:left w:w="35" w:type="dxa"/>
              <w:bottom w:w="35" w:type="dxa"/>
              <w:right w:w="35" w:type="dxa"/>
            </w:tcMar>
            <w:vAlign w:val="center"/>
          </w:tcPr>
          <w:p w14:paraId="189D0F09" w14:textId="77777777" w:rsidR="00082584" w:rsidRPr="00ED581A" w:rsidRDefault="00000000">
            <w:pPr>
              <w:spacing w:line="240" w:lineRule="auto"/>
              <w:rPr>
                <w:sz w:val="18"/>
                <w:szCs w:val="28"/>
              </w:rPr>
            </w:pPr>
            <w:r w:rsidRPr="00ED581A">
              <w:rPr>
                <w:rFonts w:eastAsia="Times New Roman"/>
                <w:sz w:val="18"/>
                <w:szCs w:val="28"/>
              </w:rPr>
              <w:t>Tony, 2015</w:t>
            </w:r>
          </w:p>
        </w:tc>
        <w:tc>
          <w:tcPr>
            <w:tcW w:w="1123" w:type="dxa"/>
            <w:tcMar>
              <w:top w:w="35" w:type="dxa"/>
              <w:left w:w="35" w:type="dxa"/>
              <w:bottom w:w="35" w:type="dxa"/>
              <w:right w:w="35" w:type="dxa"/>
            </w:tcMar>
            <w:vAlign w:val="center"/>
          </w:tcPr>
          <w:p w14:paraId="5C568032" w14:textId="77777777" w:rsidR="00082584" w:rsidRPr="00ED581A" w:rsidRDefault="00000000">
            <w:pPr>
              <w:spacing w:line="240" w:lineRule="auto"/>
              <w:rPr>
                <w:sz w:val="18"/>
                <w:szCs w:val="28"/>
              </w:rPr>
            </w:pPr>
            <w:r w:rsidRPr="00ED581A">
              <w:rPr>
                <w:rFonts w:eastAsia="Times New Roman"/>
                <w:sz w:val="18"/>
                <w:szCs w:val="28"/>
              </w:rPr>
              <w:t>miR-208a (↑)</w:t>
            </w:r>
          </w:p>
        </w:tc>
        <w:tc>
          <w:tcPr>
            <w:tcW w:w="1224" w:type="dxa"/>
            <w:tcMar>
              <w:top w:w="35" w:type="dxa"/>
              <w:left w:w="35" w:type="dxa"/>
              <w:bottom w:w="35" w:type="dxa"/>
              <w:right w:w="35" w:type="dxa"/>
            </w:tcMar>
            <w:vAlign w:val="center"/>
          </w:tcPr>
          <w:p w14:paraId="7D80D347" w14:textId="77777777" w:rsidR="00082584" w:rsidRPr="00ED581A" w:rsidRDefault="00000000">
            <w:pPr>
              <w:spacing w:line="240" w:lineRule="auto"/>
              <w:rPr>
                <w:sz w:val="18"/>
                <w:szCs w:val="28"/>
              </w:rPr>
            </w:pPr>
            <w:r w:rsidRPr="00ED581A">
              <w:rPr>
                <w:rFonts w:eastAsia="Times New Roman"/>
                <w:sz w:val="18"/>
                <w:szCs w:val="28"/>
              </w:rPr>
              <w:t>Apoptosis, remodeling</w:t>
            </w:r>
          </w:p>
        </w:tc>
        <w:tc>
          <w:tcPr>
            <w:tcW w:w="3384" w:type="dxa"/>
            <w:tcMar>
              <w:top w:w="35" w:type="dxa"/>
              <w:left w:w="35" w:type="dxa"/>
              <w:bottom w:w="35" w:type="dxa"/>
              <w:right w:w="35" w:type="dxa"/>
            </w:tcMar>
            <w:vAlign w:val="center"/>
          </w:tcPr>
          <w:p w14:paraId="5236582F" w14:textId="77777777" w:rsidR="00082584" w:rsidRPr="00ED581A" w:rsidRDefault="00000000">
            <w:pPr>
              <w:spacing w:line="240" w:lineRule="auto"/>
              <w:rPr>
                <w:sz w:val="18"/>
                <w:szCs w:val="28"/>
              </w:rPr>
            </w:pPr>
            <w:r w:rsidRPr="00ED581A">
              <w:rPr>
                <w:rFonts w:eastAsia="Times New Roman"/>
                <w:sz w:val="18"/>
                <w:szCs w:val="28"/>
              </w:rPr>
              <w:t>Antagomir raised EF 53.4 to 71.0%; less fibrosis/hypertrophy</w:t>
            </w:r>
          </w:p>
        </w:tc>
        <w:tc>
          <w:tcPr>
            <w:tcW w:w="1800" w:type="dxa"/>
            <w:tcMar>
              <w:top w:w="35" w:type="dxa"/>
              <w:left w:w="35" w:type="dxa"/>
              <w:bottom w:w="35" w:type="dxa"/>
              <w:right w:w="35" w:type="dxa"/>
            </w:tcMar>
            <w:vAlign w:val="center"/>
          </w:tcPr>
          <w:p w14:paraId="09E1D3A0" w14:textId="77777777" w:rsidR="00082584" w:rsidRPr="00ED581A" w:rsidRDefault="00000000">
            <w:pPr>
              <w:spacing w:line="240" w:lineRule="auto"/>
              <w:rPr>
                <w:sz w:val="18"/>
                <w:szCs w:val="28"/>
              </w:rPr>
            </w:pPr>
            <w:r w:rsidRPr="00ED581A">
              <w:rPr>
                <w:rFonts w:eastAsia="Times New Roman"/>
                <w:sz w:val="18"/>
                <w:szCs w:val="28"/>
              </w:rPr>
              <w:t>EF +17.6 points</w:t>
            </w:r>
          </w:p>
        </w:tc>
        <w:tc>
          <w:tcPr>
            <w:tcW w:w="691" w:type="dxa"/>
            <w:tcMar>
              <w:top w:w="35" w:type="dxa"/>
              <w:left w:w="35" w:type="dxa"/>
              <w:bottom w:w="35" w:type="dxa"/>
              <w:right w:w="35" w:type="dxa"/>
            </w:tcMar>
            <w:vAlign w:val="center"/>
          </w:tcPr>
          <w:p w14:paraId="37805EB8" w14:textId="77777777" w:rsidR="00082584" w:rsidRPr="00ED581A" w:rsidRDefault="00000000">
            <w:pPr>
              <w:spacing w:line="240" w:lineRule="auto"/>
              <w:rPr>
                <w:sz w:val="18"/>
                <w:szCs w:val="28"/>
              </w:rPr>
            </w:pPr>
            <w:r w:rsidRPr="00ED581A">
              <w:rPr>
                <w:rFonts w:eastAsia="Times New Roman"/>
                <w:sz w:val="18"/>
                <w:szCs w:val="28"/>
              </w:rPr>
              <w:t>&lt;0.05</w:t>
            </w:r>
          </w:p>
        </w:tc>
      </w:tr>
      <w:tr w:rsidR="00082584" w:rsidRPr="00ED581A" w14:paraId="0C49EF5B" w14:textId="77777777">
        <w:trPr>
          <w:jc w:val="center"/>
        </w:trPr>
        <w:tc>
          <w:tcPr>
            <w:tcW w:w="1080" w:type="dxa"/>
            <w:tcMar>
              <w:top w:w="35" w:type="dxa"/>
              <w:left w:w="35" w:type="dxa"/>
              <w:bottom w:w="35" w:type="dxa"/>
              <w:right w:w="35" w:type="dxa"/>
            </w:tcMar>
            <w:vAlign w:val="center"/>
          </w:tcPr>
          <w:p w14:paraId="70148306" w14:textId="77777777" w:rsidR="00082584" w:rsidRPr="00ED581A" w:rsidRDefault="00000000">
            <w:pPr>
              <w:spacing w:line="240" w:lineRule="auto"/>
              <w:rPr>
                <w:sz w:val="18"/>
                <w:szCs w:val="28"/>
              </w:rPr>
            </w:pPr>
            <w:r w:rsidRPr="00ED581A">
              <w:rPr>
                <w:rFonts w:eastAsia="Times New Roman"/>
                <w:sz w:val="18"/>
                <w:szCs w:val="28"/>
              </w:rPr>
              <w:t>Li, 2015</w:t>
            </w:r>
          </w:p>
        </w:tc>
        <w:tc>
          <w:tcPr>
            <w:tcW w:w="1123" w:type="dxa"/>
            <w:tcMar>
              <w:top w:w="35" w:type="dxa"/>
              <w:left w:w="35" w:type="dxa"/>
              <w:bottom w:w="35" w:type="dxa"/>
              <w:right w:w="35" w:type="dxa"/>
            </w:tcMar>
            <w:vAlign w:val="center"/>
          </w:tcPr>
          <w:p w14:paraId="5DF37DFB" w14:textId="77777777" w:rsidR="00082584" w:rsidRPr="00ED581A" w:rsidRDefault="00000000">
            <w:pPr>
              <w:spacing w:line="240" w:lineRule="auto"/>
              <w:rPr>
                <w:sz w:val="18"/>
                <w:szCs w:val="28"/>
              </w:rPr>
            </w:pPr>
            <w:r w:rsidRPr="00ED581A">
              <w:rPr>
                <w:rFonts w:eastAsia="Times New Roman"/>
                <w:sz w:val="18"/>
                <w:szCs w:val="28"/>
              </w:rPr>
              <w:t>miR-133a (↓)</w:t>
            </w:r>
          </w:p>
        </w:tc>
        <w:tc>
          <w:tcPr>
            <w:tcW w:w="1224" w:type="dxa"/>
            <w:tcMar>
              <w:top w:w="35" w:type="dxa"/>
              <w:left w:w="35" w:type="dxa"/>
              <w:bottom w:w="35" w:type="dxa"/>
              <w:right w:w="35" w:type="dxa"/>
            </w:tcMar>
            <w:vAlign w:val="center"/>
          </w:tcPr>
          <w:p w14:paraId="6134E950" w14:textId="77777777" w:rsidR="00082584" w:rsidRPr="00ED581A" w:rsidRDefault="00000000">
            <w:pPr>
              <w:spacing w:line="240" w:lineRule="auto"/>
              <w:rPr>
                <w:sz w:val="18"/>
                <w:szCs w:val="28"/>
              </w:rPr>
            </w:pPr>
            <w:r w:rsidRPr="00ED581A">
              <w:rPr>
                <w:rFonts w:eastAsia="Times New Roman"/>
                <w:sz w:val="18"/>
                <w:szCs w:val="28"/>
              </w:rPr>
              <w:t>Apoptosis, I/R injury</w:t>
            </w:r>
          </w:p>
        </w:tc>
        <w:tc>
          <w:tcPr>
            <w:tcW w:w="3384" w:type="dxa"/>
            <w:tcMar>
              <w:top w:w="35" w:type="dxa"/>
              <w:left w:w="35" w:type="dxa"/>
              <w:bottom w:w="35" w:type="dxa"/>
              <w:right w:w="35" w:type="dxa"/>
            </w:tcMar>
            <w:vAlign w:val="center"/>
          </w:tcPr>
          <w:p w14:paraId="45E787D1" w14:textId="77777777" w:rsidR="00082584" w:rsidRPr="00ED581A" w:rsidRDefault="00000000">
            <w:pPr>
              <w:spacing w:line="240" w:lineRule="auto"/>
              <w:rPr>
                <w:sz w:val="18"/>
                <w:szCs w:val="28"/>
              </w:rPr>
            </w:pPr>
            <w:r w:rsidRPr="00ED581A">
              <w:rPr>
                <w:rFonts w:eastAsia="Times New Roman"/>
                <w:sz w:val="18"/>
                <w:szCs w:val="28"/>
              </w:rPr>
              <w:t>Mimic lowered apoptosis; DAPK2 luciferase down ~50%</w:t>
            </w:r>
          </w:p>
        </w:tc>
        <w:tc>
          <w:tcPr>
            <w:tcW w:w="1800" w:type="dxa"/>
            <w:tcMar>
              <w:top w:w="35" w:type="dxa"/>
              <w:left w:w="35" w:type="dxa"/>
              <w:bottom w:w="35" w:type="dxa"/>
              <w:right w:w="35" w:type="dxa"/>
            </w:tcMar>
            <w:vAlign w:val="center"/>
          </w:tcPr>
          <w:p w14:paraId="5E522A07" w14:textId="77777777" w:rsidR="00082584" w:rsidRPr="00ED581A" w:rsidRDefault="00000000">
            <w:pPr>
              <w:spacing w:line="240" w:lineRule="auto"/>
              <w:rPr>
                <w:sz w:val="18"/>
                <w:szCs w:val="28"/>
              </w:rPr>
            </w:pPr>
            <w:r w:rsidRPr="00ED581A">
              <w:rPr>
                <w:rFonts w:eastAsia="Times New Roman"/>
                <w:sz w:val="18"/>
                <w:szCs w:val="28"/>
              </w:rPr>
              <w:t>Direct target validated</w:t>
            </w:r>
          </w:p>
        </w:tc>
        <w:tc>
          <w:tcPr>
            <w:tcW w:w="691" w:type="dxa"/>
            <w:tcMar>
              <w:top w:w="35" w:type="dxa"/>
              <w:left w:w="35" w:type="dxa"/>
              <w:bottom w:w="35" w:type="dxa"/>
              <w:right w:w="35" w:type="dxa"/>
            </w:tcMar>
            <w:vAlign w:val="center"/>
          </w:tcPr>
          <w:p w14:paraId="112324DD" w14:textId="77777777" w:rsidR="00082584" w:rsidRPr="00ED581A" w:rsidRDefault="00000000">
            <w:pPr>
              <w:spacing w:line="240" w:lineRule="auto"/>
              <w:rPr>
                <w:sz w:val="18"/>
                <w:szCs w:val="28"/>
              </w:rPr>
            </w:pPr>
            <w:r w:rsidRPr="00ED581A">
              <w:rPr>
                <w:rFonts w:eastAsia="Times New Roman"/>
                <w:sz w:val="18"/>
                <w:szCs w:val="28"/>
              </w:rPr>
              <w:t>&lt;0.05</w:t>
            </w:r>
          </w:p>
        </w:tc>
      </w:tr>
      <w:tr w:rsidR="00082584" w:rsidRPr="00ED581A" w14:paraId="3C841373" w14:textId="77777777">
        <w:trPr>
          <w:jc w:val="center"/>
        </w:trPr>
        <w:tc>
          <w:tcPr>
            <w:tcW w:w="1080" w:type="dxa"/>
            <w:tcMar>
              <w:top w:w="35" w:type="dxa"/>
              <w:left w:w="35" w:type="dxa"/>
              <w:bottom w:w="35" w:type="dxa"/>
              <w:right w:w="35" w:type="dxa"/>
            </w:tcMar>
            <w:vAlign w:val="center"/>
          </w:tcPr>
          <w:p w14:paraId="0B702AF6" w14:textId="77777777" w:rsidR="00082584" w:rsidRPr="00ED581A" w:rsidRDefault="00000000">
            <w:pPr>
              <w:spacing w:line="240" w:lineRule="auto"/>
              <w:rPr>
                <w:sz w:val="18"/>
                <w:szCs w:val="28"/>
              </w:rPr>
            </w:pPr>
            <w:r w:rsidRPr="00ED581A">
              <w:rPr>
                <w:rFonts w:eastAsia="Times New Roman"/>
                <w:sz w:val="18"/>
                <w:szCs w:val="28"/>
              </w:rPr>
              <w:t>Pan, 2022</w:t>
            </w:r>
          </w:p>
        </w:tc>
        <w:tc>
          <w:tcPr>
            <w:tcW w:w="1123" w:type="dxa"/>
            <w:tcMar>
              <w:top w:w="35" w:type="dxa"/>
              <w:left w:w="35" w:type="dxa"/>
              <w:bottom w:w="35" w:type="dxa"/>
              <w:right w:w="35" w:type="dxa"/>
            </w:tcMar>
            <w:vAlign w:val="center"/>
          </w:tcPr>
          <w:p w14:paraId="692CDBFB" w14:textId="77777777" w:rsidR="00082584" w:rsidRPr="00ED581A" w:rsidRDefault="00000000">
            <w:pPr>
              <w:spacing w:line="240" w:lineRule="auto"/>
              <w:rPr>
                <w:sz w:val="18"/>
                <w:szCs w:val="28"/>
              </w:rPr>
            </w:pPr>
            <w:r w:rsidRPr="00ED581A">
              <w:rPr>
                <w:rFonts w:eastAsia="Times New Roman"/>
                <w:sz w:val="18"/>
                <w:szCs w:val="28"/>
              </w:rPr>
              <w:t>miR-34a (↑)</w:t>
            </w:r>
          </w:p>
        </w:tc>
        <w:tc>
          <w:tcPr>
            <w:tcW w:w="1224" w:type="dxa"/>
            <w:tcMar>
              <w:top w:w="35" w:type="dxa"/>
              <w:left w:w="35" w:type="dxa"/>
              <w:bottom w:w="35" w:type="dxa"/>
              <w:right w:w="35" w:type="dxa"/>
            </w:tcMar>
            <w:vAlign w:val="center"/>
          </w:tcPr>
          <w:p w14:paraId="79002A5C" w14:textId="77777777" w:rsidR="00082584" w:rsidRPr="00ED581A" w:rsidRDefault="00000000">
            <w:pPr>
              <w:spacing w:line="240" w:lineRule="auto"/>
              <w:rPr>
                <w:sz w:val="18"/>
                <w:szCs w:val="28"/>
              </w:rPr>
            </w:pPr>
            <w:r w:rsidRPr="00ED581A">
              <w:rPr>
                <w:rFonts w:eastAsia="Times New Roman"/>
                <w:sz w:val="18"/>
                <w:szCs w:val="28"/>
              </w:rPr>
              <w:t>Apoptosis</w:t>
            </w:r>
          </w:p>
        </w:tc>
        <w:tc>
          <w:tcPr>
            <w:tcW w:w="3384" w:type="dxa"/>
            <w:tcMar>
              <w:top w:w="35" w:type="dxa"/>
              <w:left w:w="35" w:type="dxa"/>
              <w:bottom w:w="35" w:type="dxa"/>
              <w:right w:w="35" w:type="dxa"/>
            </w:tcMar>
            <w:vAlign w:val="center"/>
          </w:tcPr>
          <w:p w14:paraId="16660722" w14:textId="77777777" w:rsidR="00082584" w:rsidRPr="00ED581A" w:rsidRDefault="00000000">
            <w:pPr>
              <w:spacing w:line="240" w:lineRule="auto"/>
              <w:rPr>
                <w:sz w:val="18"/>
                <w:szCs w:val="28"/>
              </w:rPr>
            </w:pPr>
            <w:r w:rsidRPr="00ED581A">
              <w:rPr>
                <w:rFonts w:eastAsia="Times New Roman"/>
                <w:sz w:val="18"/>
                <w:szCs w:val="28"/>
              </w:rPr>
              <w:t>Caspase-3 up, Bcl-2/Bax down; Notch1 target</w:t>
            </w:r>
          </w:p>
        </w:tc>
        <w:tc>
          <w:tcPr>
            <w:tcW w:w="1800" w:type="dxa"/>
            <w:tcMar>
              <w:top w:w="35" w:type="dxa"/>
              <w:left w:w="35" w:type="dxa"/>
              <w:bottom w:w="35" w:type="dxa"/>
              <w:right w:w="35" w:type="dxa"/>
            </w:tcMar>
            <w:vAlign w:val="center"/>
          </w:tcPr>
          <w:p w14:paraId="632C52A1" w14:textId="77777777" w:rsidR="00082584" w:rsidRPr="00ED581A" w:rsidRDefault="00000000">
            <w:pPr>
              <w:spacing w:line="240" w:lineRule="auto"/>
              <w:rPr>
                <w:sz w:val="18"/>
                <w:szCs w:val="28"/>
              </w:rPr>
            </w:pPr>
            <w:r w:rsidRPr="00ED581A">
              <w:rPr>
                <w:rFonts w:eastAsia="Times New Roman"/>
                <w:sz w:val="18"/>
                <w:szCs w:val="28"/>
              </w:rPr>
              <w:t>Direct target validated</w:t>
            </w:r>
          </w:p>
        </w:tc>
        <w:tc>
          <w:tcPr>
            <w:tcW w:w="691" w:type="dxa"/>
            <w:tcMar>
              <w:top w:w="35" w:type="dxa"/>
              <w:left w:w="35" w:type="dxa"/>
              <w:bottom w:w="35" w:type="dxa"/>
              <w:right w:w="35" w:type="dxa"/>
            </w:tcMar>
            <w:vAlign w:val="center"/>
          </w:tcPr>
          <w:p w14:paraId="366ADBEE" w14:textId="77777777" w:rsidR="00082584" w:rsidRPr="00ED581A" w:rsidRDefault="00000000">
            <w:pPr>
              <w:spacing w:line="240" w:lineRule="auto"/>
              <w:rPr>
                <w:sz w:val="18"/>
                <w:szCs w:val="28"/>
              </w:rPr>
            </w:pPr>
            <w:r w:rsidRPr="00ED581A">
              <w:rPr>
                <w:rFonts w:eastAsia="Times New Roman"/>
                <w:sz w:val="18"/>
                <w:szCs w:val="28"/>
              </w:rPr>
              <w:t>&lt;0.05</w:t>
            </w:r>
          </w:p>
        </w:tc>
      </w:tr>
      <w:tr w:rsidR="00082584" w:rsidRPr="00ED581A" w14:paraId="2459EB12" w14:textId="77777777">
        <w:trPr>
          <w:jc w:val="center"/>
        </w:trPr>
        <w:tc>
          <w:tcPr>
            <w:tcW w:w="1080" w:type="dxa"/>
            <w:tcMar>
              <w:top w:w="35" w:type="dxa"/>
              <w:left w:w="35" w:type="dxa"/>
              <w:bottom w:w="35" w:type="dxa"/>
              <w:right w:w="35" w:type="dxa"/>
            </w:tcMar>
            <w:vAlign w:val="center"/>
          </w:tcPr>
          <w:p w14:paraId="31EB0263" w14:textId="77777777" w:rsidR="00082584" w:rsidRPr="00ED581A" w:rsidRDefault="00000000">
            <w:pPr>
              <w:spacing w:line="240" w:lineRule="auto"/>
              <w:rPr>
                <w:sz w:val="18"/>
                <w:szCs w:val="28"/>
              </w:rPr>
            </w:pPr>
            <w:r w:rsidRPr="00ED581A">
              <w:rPr>
                <w:rFonts w:eastAsia="Times New Roman"/>
                <w:sz w:val="18"/>
                <w:szCs w:val="28"/>
              </w:rPr>
              <w:t>Yuan, 2017</w:t>
            </w:r>
          </w:p>
        </w:tc>
        <w:tc>
          <w:tcPr>
            <w:tcW w:w="1123" w:type="dxa"/>
            <w:tcMar>
              <w:top w:w="35" w:type="dxa"/>
              <w:left w:w="35" w:type="dxa"/>
              <w:bottom w:w="35" w:type="dxa"/>
              <w:right w:w="35" w:type="dxa"/>
            </w:tcMar>
            <w:vAlign w:val="center"/>
          </w:tcPr>
          <w:p w14:paraId="1FC7611D" w14:textId="77777777" w:rsidR="00082584" w:rsidRPr="00ED581A" w:rsidRDefault="00000000">
            <w:pPr>
              <w:spacing w:line="240" w:lineRule="auto"/>
              <w:rPr>
                <w:sz w:val="18"/>
                <w:szCs w:val="28"/>
              </w:rPr>
            </w:pPr>
            <w:r w:rsidRPr="00ED581A">
              <w:rPr>
                <w:rFonts w:eastAsia="Times New Roman"/>
                <w:sz w:val="18"/>
                <w:szCs w:val="28"/>
              </w:rPr>
              <w:t>miR-21 (↑)</w:t>
            </w:r>
          </w:p>
        </w:tc>
        <w:tc>
          <w:tcPr>
            <w:tcW w:w="1224" w:type="dxa"/>
            <w:tcMar>
              <w:top w:w="35" w:type="dxa"/>
              <w:left w:w="35" w:type="dxa"/>
              <w:bottom w:w="35" w:type="dxa"/>
              <w:right w:w="35" w:type="dxa"/>
            </w:tcMar>
            <w:vAlign w:val="center"/>
          </w:tcPr>
          <w:p w14:paraId="3EE56483" w14:textId="77777777" w:rsidR="00082584" w:rsidRPr="00ED581A" w:rsidRDefault="00000000">
            <w:pPr>
              <w:spacing w:line="240" w:lineRule="auto"/>
              <w:rPr>
                <w:sz w:val="18"/>
                <w:szCs w:val="28"/>
              </w:rPr>
            </w:pPr>
            <w:r w:rsidRPr="00ED581A">
              <w:rPr>
                <w:rFonts w:eastAsia="Times New Roman"/>
                <w:sz w:val="18"/>
                <w:szCs w:val="28"/>
              </w:rPr>
              <w:t>Fibrosis</w:t>
            </w:r>
          </w:p>
        </w:tc>
        <w:tc>
          <w:tcPr>
            <w:tcW w:w="3384" w:type="dxa"/>
            <w:tcMar>
              <w:top w:w="35" w:type="dxa"/>
              <w:left w:w="35" w:type="dxa"/>
              <w:bottom w:w="35" w:type="dxa"/>
              <w:right w:w="35" w:type="dxa"/>
            </w:tcMar>
            <w:vAlign w:val="center"/>
          </w:tcPr>
          <w:p w14:paraId="014DBA4E" w14:textId="77777777" w:rsidR="00082584" w:rsidRPr="00ED581A" w:rsidRDefault="00000000">
            <w:pPr>
              <w:spacing w:line="240" w:lineRule="auto"/>
              <w:rPr>
                <w:sz w:val="18"/>
                <w:szCs w:val="28"/>
              </w:rPr>
            </w:pPr>
            <w:r w:rsidRPr="00ED581A">
              <w:rPr>
                <w:rFonts w:eastAsia="Times New Roman"/>
                <w:sz w:val="18"/>
                <w:szCs w:val="28"/>
              </w:rPr>
              <w:t>Collagen-I and α-SMA up; Smad7 target (TGF-β1)</w:t>
            </w:r>
          </w:p>
        </w:tc>
        <w:tc>
          <w:tcPr>
            <w:tcW w:w="1800" w:type="dxa"/>
            <w:tcMar>
              <w:top w:w="35" w:type="dxa"/>
              <w:left w:w="35" w:type="dxa"/>
              <w:bottom w:w="35" w:type="dxa"/>
              <w:right w:w="35" w:type="dxa"/>
            </w:tcMar>
            <w:vAlign w:val="center"/>
          </w:tcPr>
          <w:p w14:paraId="1DF0E51B" w14:textId="77777777" w:rsidR="00082584" w:rsidRPr="00ED581A" w:rsidRDefault="00000000">
            <w:pPr>
              <w:spacing w:line="240" w:lineRule="auto"/>
              <w:rPr>
                <w:sz w:val="18"/>
                <w:szCs w:val="28"/>
              </w:rPr>
            </w:pPr>
            <w:r w:rsidRPr="00ED581A">
              <w:rPr>
                <w:rFonts w:eastAsia="Times New Roman"/>
                <w:sz w:val="18"/>
                <w:szCs w:val="28"/>
              </w:rPr>
              <w:t>Direct target validated</w:t>
            </w:r>
          </w:p>
        </w:tc>
        <w:tc>
          <w:tcPr>
            <w:tcW w:w="691" w:type="dxa"/>
            <w:tcMar>
              <w:top w:w="35" w:type="dxa"/>
              <w:left w:w="35" w:type="dxa"/>
              <w:bottom w:w="35" w:type="dxa"/>
              <w:right w:w="35" w:type="dxa"/>
            </w:tcMar>
            <w:vAlign w:val="center"/>
          </w:tcPr>
          <w:p w14:paraId="3D91FB13" w14:textId="77777777" w:rsidR="00082584" w:rsidRPr="00ED581A" w:rsidRDefault="00000000">
            <w:pPr>
              <w:spacing w:line="240" w:lineRule="auto"/>
              <w:rPr>
                <w:sz w:val="18"/>
                <w:szCs w:val="28"/>
              </w:rPr>
            </w:pPr>
            <w:r w:rsidRPr="00ED581A">
              <w:rPr>
                <w:rFonts w:eastAsia="Times New Roman"/>
                <w:sz w:val="18"/>
                <w:szCs w:val="28"/>
              </w:rPr>
              <w:t>&lt;0.05</w:t>
            </w:r>
          </w:p>
        </w:tc>
      </w:tr>
      <w:tr w:rsidR="00082584" w:rsidRPr="00ED581A" w14:paraId="489DD4F1" w14:textId="77777777">
        <w:trPr>
          <w:jc w:val="center"/>
        </w:trPr>
        <w:tc>
          <w:tcPr>
            <w:tcW w:w="1080" w:type="dxa"/>
            <w:tcMar>
              <w:top w:w="35" w:type="dxa"/>
              <w:left w:w="35" w:type="dxa"/>
              <w:bottom w:w="35" w:type="dxa"/>
              <w:right w:w="35" w:type="dxa"/>
            </w:tcMar>
            <w:vAlign w:val="center"/>
          </w:tcPr>
          <w:p w14:paraId="289BE78F" w14:textId="77777777" w:rsidR="00082584" w:rsidRPr="00ED581A" w:rsidRDefault="00000000">
            <w:pPr>
              <w:spacing w:line="240" w:lineRule="auto"/>
              <w:rPr>
                <w:sz w:val="18"/>
                <w:szCs w:val="28"/>
              </w:rPr>
            </w:pPr>
            <w:r w:rsidRPr="00ED581A">
              <w:rPr>
                <w:rFonts w:eastAsia="Times New Roman"/>
                <w:sz w:val="18"/>
                <w:szCs w:val="28"/>
              </w:rPr>
              <w:t>Zhou, 2018</w:t>
            </w:r>
          </w:p>
        </w:tc>
        <w:tc>
          <w:tcPr>
            <w:tcW w:w="1123" w:type="dxa"/>
            <w:tcMar>
              <w:top w:w="35" w:type="dxa"/>
              <w:left w:w="35" w:type="dxa"/>
              <w:bottom w:w="35" w:type="dxa"/>
              <w:right w:w="35" w:type="dxa"/>
            </w:tcMar>
            <w:vAlign w:val="center"/>
          </w:tcPr>
          <w:p w14:paraId="000F2083" w14:textId="77777777" w:rsidR="00082584" w:rsidRPr="00ED581A" w:rsidRDefault="00000000">
            <w:pPr>
              <w:spacing w:line="240" w:lineRule="auto"/>
              <w:rPr>
                <w:sz w:val="18"/>
                <w:szCs w:val="28"/>
              </w:rPr>
            </w:pPr>
            <w:r w:rsidRPr="00ED581A">
              <w:rPr>
                <w:rFonts w:eastAsia="Times New Roman"/>
                <w:sz w:val="18"/>
                <w:szCs w:val="28"/>
              </w:rPr>
              <w:t>miR-21 (↑)</w:t>
            </w:r>
          </w:p>
        </w:tc>
        <w:tc>
          <w:tcPr>
            <w:tcW w:w="1224" w:type="dxa"/>
            <w:tcMar>
              <w:top w:w="35" w:type="dxa"/>
              <w:left w:w="35" w:type="dxa"/>
              <w:bottom w:w="35" w:type="dxa"/>
              <w:right w:w="35" w:type="dxa"/>
            </w:tcMar>
            <w:vAlign w:val="center"/>
          </w:tcPr>
          <w:p w14:paraId="5F5EE09C" w14:textId="77777777" w:rsidR="00082584" w:rsidRPr="00ED581A" w:rsidRDefault="00000000">
            <w:pPr>
              <w:spacing w:line="240" w:lineRule="auto"/>
              <w:rPr>
                <w:sz w:val="18"/>
                <w:szCs w:val="28"/>
              </w:rPr>
            </w:pPr>
            <w:r w:rsidRPr="00ED581A">
              <w:rPr>
                <w:rFonts w:eastAsia="Times New Roman"/>
                <w:sz w:val="18"/>
                <w:szCs w:val="28"/>
              </w:rPr>
              <w:t>Fibrosis, remodeling</w:t>
            </w:r>
          </w:p>
        </w:tc>
        <w:tc>
          <w:tcPr>
            <w:tcW w:w="3384" w:type="dxa"/>
            <w:tcMar>
              <w:top w:w="35" w:type="dxa"/>
              <w:left w:w="35" w:type="dxa"/>
              <w:bottom w:w="35" w:type="dxa"/>
              <w:right w:w="35" w:type="dxa"/>
            </w:tcMar>
            <w:vAlign w:val="center"/>
          </w:tcPr>
          <w:p w14:paraId="55DBA227" w14:textId="77777777" w:rsidR="00082584" w:rsidRPr="00ED581A" w:rsidRDefault="00000000">
            <w:pPr>
              <w:spacing w:line="240" w:lineRule="auto"/>
              <w:rPr>
                <w:sz w:val="18"/>
                <w:szCs w:val="28"/>
              </w:rPr>
            </w:pPr>
            <w:r w:rsidRPr="00ED581A">
              <w:rPr>
                <w:rFonts w:eastAsia="Times New Roman"/>
                <w:sz w:val="18"/>
                <w:szCs w:val="28"/>
              </w:rPr>
              <w:t>Sponge lowered fibrosis and CMT markers; Jagged1 target</w:t>
            </w:r>
          </w:p>
        </w:tc>
        <w:tc>
          <w:tcPr>
            <w:tcW w:w="1800" w:type="dxa"/>
            <w:tcMar>
              <w:top w:w="35" w:type="dxa"/>
              <w:left w:w="35" w:type="dxa"/>
              <w:bottom w:w="35" w:type="dxa"/>
              <w:right w:w="35" w:type="dxa"/>
            </w:tcMar>
            <w:vAlign w:val="center"/>
          </w:tcPr>
          <w:p w14:paraId="65E8A5B5" w14:textId="77777777" w:rsidR="00082584" w:rsidRPr="00ED581A" w:rsidRDefault="00000000">
            <w:pPr>
              <w:spacing w:line="240" w:lineRule="auto"/>
              <w:rPr>
                <w:sz w:val="18"/>
                <w:szCs w:val="28"/>
              </w:rPr>
            </w:pPr>
            <w:r w:rsidRPr="00ED581A">
              <w:rPr>
                <w:rFonts w:eastAsia="Times New Roman"/>
                <w:sz w:val="18"/>
                <w:szCs w:val="28"/>
              </w:rPr>
              <w:t>Direct target validated</w:t>
            </w:r>
          </w:p>
        </w:tc>
        <w:tc>
          <w:tcPr>
            <w:tcW w:w="691" w:type="dxa"/>
            <w:tcMar>
              <w:top w:w="35" w:type="dxa"/>
              <w:left w:w="35" w:type="dxa"/>
              <w:bottom w:w="35" w:type="dxa"/>
              <w:right w:w="35" w:type="dxa"/>
            </w:tcMar>
            <w:vAlign w:val="center"/>
          </w:tcPr>
          <w:p w14:paraId="2929EE0B" w14:textId="77777777" w:rsidR="00082584" w:rsidRPr="00ED581A" w:rsidRDefault="00000000">
            <w:pPr>
              <w:spacing w:line="240" w:lineRule="auto"/>
              <w:rPr>
                <w:sz w:val="18"/>
                <w:szCs w:val="28"/>
              </w:rPr>
            </w:pPr>
            <w:r w:rsidRPr="00ED581A">
              <w:rPr>
                <w:rFonts w:eastAsia="Times New Roman"/>
                <w:sz w:val="18"/>
                <w:szCs w:val="28"/>
              </w:rPr>
              <w:t>&lt;0.05</w:t>
            </w:r>
          </w:p>
        </w:tc>
      </w:tr>
      <w:tr w:rsidR="00082584" w:rsidRPr="00ED581A" w14:paraId="0A2D28ED" w14:textId="77777777">
        <w:trPr>
          <w:jc w:val="center"/>
        </w:trPr>
        <w:tc>
          <w:tcPr>
            <w:tcW w:w="1080" w:type="dxa"/>
            <w:tcMar>
              <w:top w:w="35" w:type="dxa"/>
              <w:left w:w="35" w:type="dxa"/>
              <w:bottom w:w="35" w:type="dxa"/>
              <w:right w:w="35" w:type="dxa"/>
            </w:tcMar>
            <w:vAlign w:val="center"/>
          </w:tcPr>
          <w:p w14:paraId="69FEFD30" w14:textId="77777777" w:rsidR="00082584" w:rsidRPr="00ED581A" w:rsidRDefault="00000000">
            <w:pPr>
              <w:spacing w:line="240" w:lineRule="auto"/>
              <w:rPr>
                <w:sz w:val="18"/>
                <w:szCs w:val="28"/>
              </w:rPr>
            </w:pPr>
            <w:r w:rsidRPr="00ED581A">
              <w:rPr>
                <w:rFonts w:eastAsia="Times New Roman"/>
                <w:sz w:val="18"/>
                <w:szCs w:val="28"/>
              </w:rPr>
              <w:t>Song, 2020</w:t>
            </w:r>
          </w:p>
        </w:tc>
        <w:tc>
          <w:tcPr>
            <w:tcW w:w="1123" w:type="dxa"/>
            <w:tcMar>
              <w:top w:w="35" w:type="dxa"/>
              <w:left w:w="35" w:type="dxa"/>
              <w:bottom w:w="35" w:type="dxa"/>
              <w:right w:w="35" w:type="dxa"/>
            </w:tcMar>
            <w:vAlign w:val="center"/>
          </w:tcPr>
          <w:p w14:paraId="7643F9E5" w14:textId="77777777" w:rsidR="00082584" w:rsidRPr="00ED581A" w:rsidRDefault="00000000">
            <w:pPr>
              <w:spacing w:line="240" w:lineRule="auto"/>
              <w:rPr>
                <w:sz w:val="18"/>
                <w:szCs w:val="28"/>
              </w:rPr>
            </w:pPr>
            <w:r w:rsidRPr="00ED581A">
              <w:rPr>
                <w:rFonts w:eastAsia="Times New Roman"/>
                <w:sz w:val="18"/>
                <w:szCs w:val="28"/>
              </w:rPr>
              <w:t>miR-126 (↑)</w:t>
            </w:r>
          </w:p>
        </w:tc>
        <w:tc>
          <w:tcPr>
            <w:tcW w:w="1224" w:type="dxa"/>
            <w:tcMar>
              <w:top w:w="35" w:type="dxa"/>
              <w:left w:w="35" w:type="dxa"/>
              <w:bottom w:w="35" w:type="dxa"/>
              <w:right w:w="35" w:type="dxa"/>
            </w:tcMar>
            <w:vAlign w:val="center"/>
          </w:tcPr>
          <w:p w14:paraId="28D6AFC4" w14:textId="77777777" w:rsidR="00082584" w:rsidRPr="00ED581A" w:rsidRDefault="00000000">
            <w:pPr>
              <w:spacing w:line="240" w:lineRule="auto"/>
              <w:rPr>
                <w:sz w:val="18"/>
                <w:szCs w:val="28"/>
              </w:rPr>
            </w:pPr>
            <w:r w:rsidRPr="00ED581A">
              <w:rPr>
                <w:rFonts w:eastAsia="Times New Roman"/>
                <w:sz w:val="18"/>
                <w:szCs w:val="28"/>
              </w:rPr>
              <w:t>Angiogenesis</w:t>
            </w:r>
          </w:p>
        </w:tc>
        <w:tc>
          <w:tcPr>
            <w:tcW w:w="3384" w:type="dxa"/>
            <w:tcMar>
              <w:top w:w="35" w:type="dxa"/>
              <w:left w:w="35" w:type="dxa"/>
              <w:bottom w:w="35" w:type="dxa"/>
              <w:right w:w="35" w:type="dxa"/>
            </w:tcMar>
            <w:vAlign w:val="center"/>
          </w:tcPr>
          <w:p w14:paraId="4F21C97E" w14:textId="77777777" w:rsidR="00082584" w:rsidRPr="00ED581A" w:rsidRDefault="00000000">
            <w:pPr>
              <w:spacing w:line="240" w:lineRule="auto"/>
              <w:rPr>
                <w:sz w:val="18"/>
                <w:szCs w:val="28"/>
              </w:rPr>
            </w:pPr>
            <w:r w:rsidRPr="00ED581A">
              <w:rPr>
                <w:rFonts w:eastAsia="Times New Roman"/>
                <w:sz w:val="18"/>
                <w:szCs w:val="28"/>
              </w:rPr>
              <w:t>Exercise raised HIF-1α/miR-126; PCNA+/vWF+ up; CVF down</w:t>
            </w:r>
          </w:p>
        </w:tc>
        <w:tc>
          <w:tcPr>
            <w:tcW w:w="1800" w:type="dxa"/>
            <w:tcMar>
              <w:top w:w="35" w:type="dxa"/>
              <w:left w:w="35" w:type="dxa"/>
              <w:bottom w:w="35" w:type="dxa"/>
              <w:right w:w="35" w:type="dxa"/>
            </w:tcMar>
            <w:vAlign w:val="center"/>
          </w:tcPr>
          <w:p w14:paraId="5E3BD810" w14:textId="77777777" w:rsidR="00082584" w:rsidRPr="00ED581A" w:rsidRDefault="00000000">
            <w:pPr>
              <w:spacing w:line="240" w:lineRule="auto"/>
              <w:rPr>
                <w:sz w:val="18"/>
                <w:szCs w:val="28"/>
              </w:rPr>
            </w:pPr>
            <w:r w:rsidRPr="00ED581A">
              <w:rPr>
                <w:rFonts w:eastAsia="Times New Roman"/>
                <w:sz w:val="18"/>
                <w:szCs w:val="28"/>
              </w:rPr>
              <w:t>HIF-1α-dependent</w:t>
            </w:r>
          </w:p>
        </w:tc>
        <w:tc>
          <w:tcPr>
            <w:tcW w:w="691" w:type="dxa"/>
            <w:tcMar>
              <w:top w:w="35" w:type="dxa"/>
              <w:left w:w="35" w:type="dxa"/>
              <w:bottom w:w="35" w:type="dxa"/>
              <w:right w:w="35" w:type="dxa"/>
            </w:tcMar>
            <w:vAlign w:val="center"/>
          </w:tcPr>
          <w:p w14:paraId="38DCD03B" w14:textId="77777777" w:rsidR="00082584" w:rsidRPr="00ED581A" w:rsidRDefault="00000000">
            <w:pPr>
              <w:spacing w:line="240" w:lineRule="auto"/>
              <w:rPr>
                <w:sz w:val="18"/>
                <w:szCs w:val="28"/>
              </w:rPr>
            </w:pPr>
            <w:r w:rsidRPr="00ED581A">
              <w:rPr>
                <w:rFonts w:eastAsia="Times New Roman"/>
                <w:sz w:val="18"/>
                <w:szCs w:val="28"/>
              </w:rPr>
              <w:t>&lt;0.01</w:t>
            </w:r>
          </w:p>
        </w:tc>
      </w:tr>
      <w:tr w:rsidR="00082584" w:rsidRPr="00ED581A" w14:paraId="2D80892A" w14:textId="77777777">
        <w:trPr>
          <w:jc w:val="center"/>
        </w:trPr>
        <w:tc>
          <w:tcPr>
            <w:tcW w:w="1080" w:type="dxa"/>
            <w:tcMar>
              <w:top w:w="35" w:type="dxa"/>
              <w:left w:w="35" w:type="dxa"/>
              <w:bottom w:w="35" w:type="dxa"/>
              <w:right w:w="35" w:type="dxa"/>
            </w:tcMar>
            <w:vAlign w:val="center"/>
          </w:tcPr>
          <w:p w14:paraId="0187B623" w14:textId="77777777" w:rsidR="00082584" w:rsidRPr="00ED581A" w:rsidRDefault="00000000">
            <w:pPr>
              <w:spacing w:line="240" w:lineRule="auto"/>
              <w:rPr>
                <w:sz w:val="18"/>
                <w:szCs w:val="28"/>
              </w:rPr>
            </w:pPr>
            <w:r w:rsidRPr="00ED581A">
              <w:rPr>
                <w:rFonts w:eastAsia="Times New Roman"/>
                <w:sz w:val="18"/>
                <w:szCs w:val="28"/>
              </w:rPr>
              <w:t>Gao, 2021</w:t>
            </w:r>
          </w:p>
        </w:tc>
        <w:tc>
          <w:tcPr>
            <w:tcW w:w="1123" w:type="dxa"/>
            <w:tcMar>
              <w:top w:w="35" w:type="dxa"/>
              <w:left w:w="35" w:type="dxa"/>
              <w:bottom w:w="35" w:type="dxa"/>
              <w:right w:w="35" w:type="dxa"/>
            </w:tcMar>
            <w:vAlign w:val="center"/>
          </w:tcPr>
          <w:p w14:paraId="4E630C5E" w14:textId="77777777" w:rsidR="00082584" w:rsidRPr="00ED581A" w:rsidRDefault="00000000">
            <w:pPr>
              <w:spacing w:line="240" w:lineRule="auto"/>
              <w:rPr>
                <w:sz w:val="18"/>
                <w:szCs w:val="28"/>
              </w:rPr>
            </w:pPr>
            <w:r w:rsidRPr="00ED581A">
              <w:rPr>
                <w:rFonts w:eastAsia="Times New Roman"/>
                <w:sz w:val="18"/>
                <w:szCs w:val="28"/>
              </w:rPr>
              <w:t>miR-126 (↑)</w:t>
            </w:r>
          </w:p>
        </w:tc>
        <w:tc>
          <w:tcPr>
            <w:tcW w:w="1224" w:type="dxa"/>
            <w:tcMar>
              <w:top w:w="35" w:type="dxa"/>
              <w:left w:w="35" w:type="dxa"/>
              <w:bottom w:w="35" w:type="dxa"/>
              <w:right w:w="35" w:type="dxa"/>
            </w:tcMar>
            <w:vAlign w:val="center"/>
          </w:tcPr>
          <w:p w14:paraId="48DE6012" w14:textId="77777777" w:rsidR="00082584" w:rsidRPr="00ED581A" w:rsidRDefault="00000000">
            <w:pPr>
              <w:spacing w:line="240" w:lineRule="auto"/>
              <w:rPr>
                <w:sz w:val="18"/>
                <w:szCs w:val="28"/>
              </w:rPr>
            </w:pPr>
            <w:r w:rsidRPr="00ED581A">
              <w:rPr>
                <w:rFonts w:eastAsia="Times New Roman"/>
                <w:sz w:val="18"/>
                <w:szCs w:val="28"/>
              </w:rPr>
              <w:t>Angiogenesis</w:t>
            </w:r>
          </w:p>
        </w:tc>
        <w:tc>
          <w:tcPr>
            <w:tcW w:w="3384" w:type="dxa"/>
            <w:tcMar>
              <w:top w:w="35" w:type="dxa"/>
              <w:left w:w="35" w:type="dxa"/>
              <w:bottom w:w="35" w:type="dxa"/>
              <w:right w:w="35" w:type="dxa"/>
            </w:tcMar>
            <w:vAlign w:val="center"/>
          </w:tcPr>
          <w:p w14:paraId="16186364" w14:textId="77777777" w:rsidR="00082584" w:rsidRPr="00ED581A" w:rsidRDefault="00000000">
            <w:pPr>
              <w:spacing w:line="240" w:lineRule="auto"/>
              <w:rPr>
                <w:sz w:val="18"/>
                <w:szCs w:val="28"/>
              </w:rPr>
            </w:pPr>
            <w:r w:rsidRPr="00ED581A">
              <w:rPr>
                <w:rFonts w:eastAsia="Times New Roman"/>
                <w:sz w:val="18"/>
                <w:szCs w:val="28"/>
              </w:rPr>
              <w:t>Mimic raised VEGF, CD34, tube formation</w:t>
            </w:r>
          </w:p>
        </w:tc>
        <w:tc>
          <w:tcPr>
            <w:tcW w:w="1800" w:type="dxa"/>
            <w:tcMar>
              <w:top w:w="35" w:type="dxa"/>
              <w:left w:w="35" w:type="dxa"/>
              <w:bottom w:w="35" w:type="dxa"/>
              <w:right w:w="35" w:type="dxa"/>
            </w:tcMar>
            <w:vAlign w:val="center"/>
          </w:tcPr>
          <w:p w14:paraId="40A9A66E" w14:textId="77777777" w:rsidR="00082584" w:rsidRPr="00ED581A" w:rsidRDefault="00000000">
            <w:pPr>
              <w:spacing w:line="240" w:lineRule="auto"/>
              <w:rPr>
                <w:sz w:val="18"/>
                <w:szCs w:val="28"/>
              </w:rPr>
            </w:pPr>
            <w:r w:rsidRPr="00ED581A">
              <w:rPr>
                <w:rFonts w:eastAsia="Times New Roman"/>
                <w:sz w:val="18"/>
                <w:szCs w:val="28"/>
              </w:rPr>
              <w:t>HIF-1α/VEGF axis</w:t>
            </w:r>
          </w:p>
        </w:tc>
        <w:tc>
          <w:tcPr>
            <w:tcW w:w="691" w:type="dxa"/>
            <w:tcMar>
              <w:top w:w="35" w:type="dxa"/>
              <w:left w:w="35" w:type="dxa"/>
              <w:bottom w:w="35" w:type="dxa"/>
              <w:right w:w="35" w:type="dxa"/>
            </w:tcMar>
            <w:vAlign w:val="center"/>
          </w:tcPr>
          <w:p w14:paraId="47629F27" w14:textId="77777777" w:rsidR="00082584" w:rsidRPr="00ED581A" w:rsidRDefault="00000000">
            <w:pPr>
              <w:spacing w:line="240" w:lineRule="auto"/>
              <w:rPr>
                <w:sz w:val="18"/>
                <w:szCs w:val="28"/>
              </w:rPr>
            </w:pPr>
            <w:r w:rsidRPr="00ED581A">
              <w:rPr>
                <w:rFonts w:eastAsia="Times New Roman"/>
                <w:sz w:val="18"/>
                <w:szCs w:val="28"/>
              </w:rPr>
              <w:t>&lt;0.01</w:t>
            </w:r>
          </w:p>
        </w:tc>
      </w:tr>
    </w:tbl>
    <w:p w14:paraId="371ADC9C" w14:textId="77777777" w:rsidR="00082584" w:rsidRPr="00ED581A" w:rsidRDefault="00000000">
      <w:pPr>
        <w:spacing w:line="240" w:lineRule="auto"/>
        <w:rPr>
          <w:sz w:val="28"/>
          <w:szCs w:val="24"/>
        </w:rPr>
      </w:pPr>
      <w:r w:rsidRPr="00ED581A">
        <w:rPr>
          <w:rFonts w:eastAsia="Times New Roman"/>
          <w:i/>
          <w:sz w:val="18"/>
          <w:szCs w:val="24"/>
        </w:rPr>
        <w:t>AUC, area under the receiver-operating-characteristic curve; α-SMA, α-smooth muscle actin; CK, creatine kinase; CK-MB, creatine kinase-MB; CMT, cardiac fibroblast-to-myofibroblast transformation; cTnI, cardiac troponin I; CVF, collagen volume fraction; EF, ejection fraction; IR-ATO, infarct-related artery total occlusion; I/R, ischemia-reperfusion; LDH, lactate dehydrogenase; MACE, major adverse cardiac events; r, correlation coefficient; Sens, sensitivity; Spec, specificity. Arrows denote up-regulation (↑) or down-regulation (↓).</w:t>
      </w:r>
    </w:p>
    <w:p w14:paraId="1C8E2A09" w14:textId="77777777" w:rsidR="00082584" w:rsidRDefault="00000000">
      <w:pPr>
        <w:keepNext/>
        <w:spacing w:before="200"/>
      </w:pPr>
      <w:r>
        <w:rPr>
          <w:rFonts w:eastAsia="Times New Roman"/>
          <w:b/>
        </w:rPr>
        <w:t>Figure legends</w:t>
      </w:r>
    </w:p>
    <w:p w14:paraId="14EF5B30" w14:textId="77777777" w:rsidR="00082584" w:rsidRDefault="00000000">
      <w:r>
        <w:rPr>
          <w:rFonts w:eastAsia="Times New Roman"/>
          <w:b/>
        </w:rPr>
        <w:t xml:space="preserve">Figure 1. </w:t>
      </w:r>
      <w:r>
        <w:rPr>
          <w:rFonts w:eastAsia="Times New Roman"/>
        </w:rPr>
        <w:t>PRISMA 2020 flow diagram of study selection.</w:t>
      </w:r>
    </w:p>
    <w:p w14:paraId="3D89F197" w14:textId="77777777" w:rsidR="00082584" w:rsidRDefault="00000000">
      <w:r>
        <w:rPr>
          <w:rFonts w:eastAsia="Times New Roman"/>
          <w:b/>
        </w:rPr>
        <w:t xml:space="preserve">Figure 2. </w:t>
      </w:r>
      <w:r>
        <w:rPr>
          <w:rFonts w:eastAsia="Times New Roman"/>
        </w:rPr>
        <w:t>MicroRNA mechanisms, clinical utility, and potential pharmaceutical targeting in myocardial infarction. Up arrows indicate increased expression and down arrows indicate reduced expression. Pathways listed were reported in the included studies.</w:t>
      </w:r>
    </w:p>
    <w:p w14:paraId="70060DB0" w14:textId="77777777" w:rsidR="00082584" w:rsidRDefault="00000000">
      <w:r>
        <w:rPr>
          <w:rFonts w:eastAsia="Times New Roman"/>
          <w:b/>
        </w:rPr>
        <w:t xml:space="preserve">Figure 3. </w:t>
      </w:r>
      <w:r>
        <w:rPr>
          <w:rFonts w:eastAsia="Times New Roman"/>
        </w:rPr>
        <w:t>Summary of methodological appraisal and integrity flags. Methodological appraisal of experimental studies used SYRCLE; human observational studies used Newcastle-Ottawa Scale or QUIPS, as appropriate. Publication-integrity flags were recorded separately from internal-validity judgments.</w:t>
      </w:r>
    </w:p>
    <w:p w14:paraId="3347FEFE" w14:textId="77777777" w:rsidR="00082584" w:rsidRDefault="00000000">
      <w:pPr>
        <w:keepNext/>
        <w:spacing w:before="200"/>
      </w:pPr>
      <w:r>
        <w:rPr>
          <w:rFonts w:eastAsia="Times New Roman"/>
          <w:b/>
        </w:rPr>
        <w:lastRenderedPageBreak/>
        <w:t>Figures</w:t>
      </w:r>
    </w:p>
    <w:p w14:paraId="6C0E1908" w14:textId="77777777" w:rsidR="00082584" w:rsidRDefault="00000000">
      <w:pPr>
        <w:jc w:val="center"/>
      </w:pPr>
      <w:r>
        <w:rPr>
          <w:noProof/>
        </w:rPr>
        <w:drawing>
          <wp:inline distT="0" distB="0" distL="0" distR="0" wp14:anchorId="453B8456" wp14:editId="1750B3DB">
            <wp:extent cx="6080760" cy="805398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_PRISMA_2020_flow_diagram_embedded.jpeg"/>
                    <pic:cNvPicPr/>
                  </pic:nvPicPr>
                  <pic:blipFill>
                    <a:blip r:embed="rId8"/>
                    <a:stretch>
                      <a:fillRect/>
                    </a:stretch>
                  </pic:blipFill>
                  <pic:spPr>
                    <a:xfrm>
                      <a:off x="0" y="0"/>
                      <a:ext cx="6080760" cy="8053987"/>
                    </a:xfrm>
                    <a:prstGeom prst="rect">
                      <a:avLst/>
                    </a:prstGeom>
                  </pic:spPr>
                </pic:pic>
              </a:graphicData>
            </a:graphic>
          </wp:inline>
        </w:drawing>
      </w:r>
    </w:p>
    <w:p w14:paraId="73E34209" w14:textId="77777777" w:rsidR="00082584" w:rsidRDefault="00000000">
      <w:pPr>
        <w:jc w:val="center"/>
      </w:pPr>
      <w:r>
        <w:rPr>
          <w:noProof/>
        </w:rPr>
        <w:lastRenderedPageBreak/>
        <w:drawing>
          <wp:inline distT="0" distB="0" distL="0" distR="0" wp14:anchorId="0E109F85" wp14:editId="2EC46551">
            <wp:extent cx="6080760" cy="462137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2_MicroRNA_mechanistic_translational_synthesis_embedded.jpeg"/>
                    <pic:cNvPicPr/>
                  </pic:nvPicPr>
                  <pic:blipFill>
                    <a:blip r:embed="rId9"/>
                    <a:stretch>
                      <a:fillRect/>
                    </a:stretch>
                  </pic:blipFill>
                  <pic:spPr>
                    <a:xfrm>
                      <a:off x="0" y="0"/>
                      <a:ext cx="6080760" cy="4621378"/>
                    </a:xfrm>
                    <a:prstGeom prst="rect">
                      <a:avLst/>
                    </a:prstGeom>
                  </pic:spPr>
                </pic:pic>
              </a:graphicData>
            </a:graphic>
          </wp:inline>
        </w:drawing>
      </w:r>
    </w:p>
    <w:p w14:paraId="70695677" w14:textId="77777777" w:rsidR="00082584" w:rsidRDefault="00000000">
      <w:pPr>
        <w:jc w:val="center"/>
      </w:pPr>
      <w:r>
        <w:rPr>
          <w:noProof/>
        </w:rPr>
        <w:drawing>
          <wp:inline distT="0" distB="0" distL="0" distR="0" wp14:anchorId="3F6FB083" wp14:editId="3AD3747F">
            <wp:extent cx="6080760" cy="383594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Methodological_appraisal_summary_embedded.jpeg"/>
                    <pic:cNvPicPr/>
                  </pic:nvPicPr>
                  <pic:blipFill>
                    <a:blip r:embed="rId10"/>
                    <a:stretch>
                      <a:fillRect/>
                    </a:stretch>
                  </pic:blipFill>
                  <pic:spPr>
                    <a:xfrm>
                      <a:off x="0" y="0"/>
                      <a:ext cx="6080760" cy="3835946"/>
                    </a:xfrm>
                    <a:prstGeom prst="rect">
                      <a:avLst/>
                    </a:prstGeom>
                  </pic:spPr>
                </pic:pic>
              </a:graphicData>
            </a:graphic>
          </wp:inline>
        </w:drawing>
      </w:r>
    </w:p>
    <w:p w14:paraId="14271589" w14:textId="77777777" w:rsidR="00082584" w:rsidRDefault="00000000">
      <w:pPr>
        <w:keepNext/>
        <w:spacing w:before="200"/>
      </w:pPr>
      <w:r>
        <w:rPr>
          <w:rFonts w:eastAsia="Times New Roman"/>
          <w:b/>
        </w:rPr>
        <w:lastRenderedPageBreak/>
        <w:t>List of additional files</w:t>
      </w:r>
    </w:p>
    <w:p w14:paraId="3A71D773" w14:textId="77777777" w:rsidR="00082584" w:rsidRDefault="00000000">
      <w:r>
        <w:rPr>
          <w:rFonts w:eastAsia="Times New Roman"/>
        </w:rPr>
        <w:t>Additional file 1. Detailed electronic search strategy and search documentation template.</w:t>
      </w:r>
    </w:p>
    <w:p w14:paraId="3C6336D6" w14:textId="77777777" w:rsidR="00082584" w:rsidRDefault="00000000">
      <w:r>
        <w:rPr>
          <w:rFonts w:eastAsia="Times New Roman"/>
        </w:rPr>
        <w:t>Additional file 2. PRISMA 2020 checklist.</w:t>
      </w:r>
    </w:p>
    <w:sectPr w:rsidR="00082584">
      <w:headerReference w:type="default" r:id="rId11"/>
      <w:footerReference w:type="default" r:id="rId12"/>
      <w:pgSz w:w="11906" w:h="16838"/>
      <w:pgMar w:top="1440" w:right="1009" w:bottom="1440" w:left="1009"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059AA4" w14:textId="77777777" w:rsidR="00F311FE" w:rsidRDefault="00F311FE">
      <w:pPr>
        <w:spacing w:line="240" w:lineRule="auto"/>
      </w:pPr>
      <w:r>
        <w:separator/>
      </w:r>
    </w:p>
  </w:endnote>
  <w:endnote w:type="continuationSeparator" w:id="0">
    <w:p w14:paraId="3E795553" w14:textId="77777777" w:rsidR="00F311FE" w:rsidRDefault="00F311F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B8EA4E" w14:textId="77777777" w:rsidR="00082584" w:rsidRDefault="000825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C500C8" w14:textId="77777777" w:rsidR="00F311FE" w:rsidRDefault="00F311FE">
      <w:pPr>
        <w:spacing w:line="240" w:lineRule="auto"/>
      </w:pPr>
      <w:r>
        <w:separator/>
      </w:r>
    </w:p>
  </w:footnote>
  <w:footnote w:type="continuationSeparator" w:id="0">
    <w:p w14:paraId="78FFB2DD" w14:textId="77777777" w:rsidR="00F311FE" w:rsidRDefault="00F311F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E8D6C6" w14:textId="77777777" w:rsidR="00082584" w:rsidRDefault="0008258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84926216">
    <w:abstractNumId w:val="8"/>
  </w:num>
  <w:num w:numId="2" w16cid:durableId="916478182">
    <w:abstractNumId w:val="6"/>
  </w:num>
  <w:num w:numId="3" w16cid:durableId="1142039268">
    <w:abstractNumId w:val="5"/>
  </w:num>
  <w:num w:numId="4" w16cid:durableId="884489855">
    <w:abstractNumId w:val="4"/>
  </w:num>
  <w:num w:numId="5" w16cid:durableId="1172136627">
    <w:abstractNumId w:val="7"/>
  </w:num>
  <w:num w:numId="6" w16cid:durableId="1660452491">
    <w:abstractNumId w:val="3"/>
  </w:num>
  <w:num w:numId="7" w16cid:durableId="1346128140">
    <w:abstractNumId w:val="2"/>
  </w:num>
  <w:num w:numId="8" w16cid:durableId="612904968">
    <w:abstractNumId w:val="1"/>
  </w:num>
  <w:num w:numId="9" w16cid:durableId="13879904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62B1"/>
    <w:rsid w:val="00034616"/>
    <w:rsid w:val="0006063C"/>
    <w:rsid w:val="00082584"/>
    <w:rsid w:val="0015074B"/>
    <w:rsid w:val="0029639D"/>
    <w:rsid w:val="00326F90"/>
    <w:rsid w:val="00AA1D8D"/>
    <w:rsid w:val="00B47730"/>
    <w:rsid w:val="00CB0664"/>
    <w:rsid w:val="00D07024"/>
    <w:rsid w:val="00ED581A"/>
    <w:rsid w:val="00F311F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CAA7D6"/>
  <w14:defaultImageDpi w14:val="300"/>
  <w15:docId w15:val="{CEA7C885-BAA3-4328-A066-6D9DBC734C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contextualSpacing/>
    </w:pPr>
    <w:rPr>
      <w:rFonts w:asciiTheme="majorHAnsi" w:eastAsiaTheme="majorEastAsia" w:hAnsiTheme="majorHAnsi" w:cstheme="majorBidi"/>
      <w:b/>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TotalTime>
  <Pages>18</Pages>
  <Words>4738</Words>
  <Characters>27011</Characters>
  <Application>Microsoft Office Word</Application>
  <DocSecurity>0</DocSecurity>
  <Lines>225</Lines>
  <Paragraphs>63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31686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PT. ANOA SEJAHTERA MANDIRI 06</cp:lastModifiedBy>
  <cp:revision>2</cp:revision>
  <dcterms:created xsi:type="dcterms:W3CDTF">2013-12-23T23:15:00Z</dcterms:created>
  <dcterms:modified xsi:type="dcterms:W3CDTF">2026-06-22T08:40:00Z</dcterms:modified>
  <cp:category/>
</cp:coreProperties>
</file>