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PSA SUBMISSION READINESS AND VERIFICATION NOTES</w:t>
      </w:r>
    </w:p>
    <w:p>
      <w:pPr>
        <w:spacing w:before="160" w:after="60"/>
      </w:pPr>
      <w:r>
        <w:rPr>
          <w:rFonts w:ascii="Times New Roman" w:hAnsi="Times New Roman" w:eastAsia="Times New Roman"/>
          <w:b/>
          <w:sz w:val="24"/>
        </w:rPr>
        <w:t>Completed from the uploaded documents</w:t>
      </w:r>
    </w:p>
    <w:p>
      <w:pPr>
        <w:pStyle w:val="ListBullet"/>
      </w:pPr>
      <w:r>
        <w:rPr>
          <w:rFonts w:ascii="Times New Roman" w:hAnsi="Times New Roman" w:eastAsia="Times New Roman"/>
          <w:sz w:val="22"/>
        </w:rPr>
        <w:t>Author order has been set to the numeric No. sequence in DATA PENULIS: Ariyati Yosi, Putri Chairani Eyanoer, Muhammad Rusda, Irma Damayanti Roesyanto-Mahadi, and Ramona Dumasari Lubis.</w:t>
      </w:r>
    </w:p>
    <w:p>
      <w:pPr>
        <w:pStyle w:val="ListBullet"/>
      </w:pPr>
      <w:r>
        <w:rPr>
          <w:rFonts w:ascii="Times New Roman" w:hAnsi="Times New Roman" w:eastAsia="Times New Roman"/>
          <w:sz w:val="22"/>
        </w:rPr>
        <w:t>All authors were assigned the supplied affiliation: Doctoral Program in Medical Science, Faculty of Medicine, Universitas Sumatera Utara, Medan 20155, Indonesia.</w:t>
      </w:r>
    </w:p>
    <w:p>
      <w:pPr>
        <w:pStyle w:val="ListBullet"/>
      </w:pPr>
      <w:r>
        <w:rPr>
          <w:rFonts w:ascii="Times New Roman" w:hAnsi="Times New Roman" w:eastAsia="Times New Roman"/>
          <w:sz w:val="22"/>
        </w:rPr>
        <w:t>Ariyati Yosi was entered as the corresponding author using the supplied email address, telephone number, and ORCID iD.</w:t>
      </w:r>
    </w:p>
    <w:p>
      <w:pPr>
        <w:pStyle w:val="ListBullet"/>
      </w:pPr>
      <w:r>
        <w:rPr>
          <w:rFonts w:ascii="Times New Roman" w:hAnsi="Times New Roman" w:eastAsia="Times New Roman"/>
          <w:sz w:val="22"/>
        </w:rPr>
        <w:t>Ethics approval details were added to the title page and cover letter: Health Research Ethics Committee, Universitas Sumatera Utara; Approval No. 756/KEPK/USU/2024; approved 28 June 2024.</w:t>
      </w:r>
    </w:p>
    <w:p>
      <w:pPr>
        <w:pStyle w:val="ListBullet"/>
      </w:pPr>
      <w:r>
        <w:rPr>
          <w:rFonts w:ascii="Times New Roman" w:hAnsi="Times New Roman" w:eastAsia="Times New Roman"/>
          <w:sz w:val="22"/>
        </w:rPr>
        <w:t>The blinded manuscript retains anonymized ethics wording so that the institution and approval number are not visible to reviewers.</w:t>
      </w:r>
    </w:p>
    <w:p>
      <w:pPr>
        <w:spacing w:before="160" w:after="60"/>
      </w:pPr>
      <w:r>
        <w:rPr>
          <w:rFonts w:ascii="Times New Roman" w:hAnsi="Times New Roman" w:eastAsia="Times New Roman"/>
          <w:b/>
          <w:sz w:val="24"/>
        </w:rPr>
        <w:t>Critical checks before submission</w:t>
      </w:r>
    </w:p>
    <w:p>
      <w:pPr>
        <w:pStyle w:val="ListBullet"/>
      </w:pPr>
      <w:r>
        <w:rPr>
          <w:rFonts w:ascii="Times New Roman" w:hAnsi="Times New Roman" w:eastAsia="Times New Roman"/>
          <w:sz w:val="22"/>
        </w:rPr>
        <w:t>Ethics scope: the uploaded EC document names a study on red palm oil, skin moisture, skin-layer thickness, and cutaneous TNF-alpha in diabetic rats. The manuscript reports SOD and MDA. Confirm that SOD and MDA assessment was covered by the approved protocol or by an approved amendment before providing the EC PDF to the journal.</w:t>
      </w:r>
    </w:p>
    <w:p>
      <w:pPr>
        <w:pStyle w:val="ListBullet"/>
      </w:pPr>
      <w:r>
        <w:rPr>
          <w:rFonts w:ascii="Times New Roman" w:hAnsi="Times New Roman" w:eastAsia="Times New Roman"/>
          <w:sz w:val="22"/>
        </w:rPr>
        <w:t>The uploaded files do not identify the source or supplier of red palm oil/red palm stearin, vehicle/base-cream composition, amount applied per administration, streptozotocin supplier/catalogue number, anaesthesia/euthanasia regimen, SOD and MDA assay kits/reagents, assay wavelength, tissue-homogenization protocol, or statistical software/version. Add these only after verification against laboratory records; they have not been fabricated.</w:t>
      </w:r>
    </w:p>
    <w:p>
      <w:pPr>
        <w:pStyle w:val="ListBullet"/>
      </w:pPr>
      <w:r>
        <w:rPr>
          <w:rFonts w:ascii="Times New Roman" w:hAnsi="Times New Roman" w:eastAsia="Times New Roman"/>
          <w:sz w:val="22"/>
        </w:rPr>
        <w:t>The manuscript reports a Pearson correlation between SOD and MDA. Verify the original raw-data analysis before submission because the MDA group-level normality test was non-normal in two groups.</w:t>
      </w:r>
    </w:p>
    <w:p>
      <w:pPr>
        <w:pStyle w:val="ListBullet"/>
      </w:pPr>
      <w:r>
        <w:rPr>
          <w:rFonts w:ascii="Times New Roman" w:hAnsi="Times New Roman" w:eastAsia="Times New Roman"/>
          <w:sz w:val="22"/>
        </w:rPr>
        <w:t>The copyright-transfer form is prefilled but requires the actual signatures and dates of all five authors.</w:t>
      </w:r>
    </w:p>
    <w:p>
      <w:pPr>
        <w:pStyle w:val="ListBullet"/>
      </w:pPr>
      <w:r>
        <w:rPr>
          <w:rFonts w:ascii="Times New Roman" w:hAnsi="Times New Roman" w:eastAsia="Times New Roman"/>
          <w:sz w:val="22"/>
        </w:rPr>
        <w:t>Confirm author order with all authors before submission. The worksheet rows were not in the same order as the numeric author-order column.</w:t>
      </w:r>
    </w:p>
    <w:p>
      <w:pPr>
        <w:spacing w:before="160" w:after="60"/>
      </w:pPr>
      <w:r>
        <w:rPr>
          <w:rFonts w:ascii="Times New Roman" w:hAnsi="Times New Roman" w:eastAsia="Times New Roman"/>
          <w:b/>
          <w:sz w:val="24"/>
        </w:rPr>
        <w:t>Files prepared in this package</w:t>
      </w:r>
    </w:p>
    <w:p>
      <w:pPr>
        <w:pStyle w:val="ListBullet"/>
      </w:pPr>
      <w:r>
        <w:rPr>
          <w:rFonts w:ascii="Times New Roman" w:hAnsi="Times New Roman" w:eastAsia="Times New Roman"/>
          <w:sz w:val="22"/>
        </w:rPr>
        <w:t>01_PSA_Main_Manuscript_Blinded_Completed.docx</w:t>
      </w:r>
    </w:p>
    <w:p>
      <w:pPr>
        <w:pStyle w:val="ListBullet"/>
      </w:pPr>
      <w:r>
        <w:rPr>
          <w:rFonts w:ascii="Times New Roman" w:hAnsi="Times New Roman" w:eastAsia="Times New Roman"/>
          <w:sz w:val="22"/>
        </w:rPr>
        <w:t>02_PSA_Title_Page_Completed.docx</w:t>
      </w:r>
    </w:p>
    <w:p>
      <w:pPr>
        <w:pStyle w:val="ListBullet"/>
      </w:pPr>
      <w:r>
        <w:rPr>
          <w:rFonts w:ascii="Times New Roman" w:hAnsi="Times New Roman" w:eastAsia="Times New Roman"/>
          <w:sz w:val="22"/>
        </w:rPr>
        <w:t>03_PSA_Cover_Letter_Completed.docx</w:t>
      </w:r>
    </w:p>
    <w:p>
      <w:pPr>
        <w:pStyle w:val="ListBullet"/>
      </w:pPr>
      <w:r>
        <w:rPr>
          <w:rFonts w:ascii="Times New Roman" w:hAnsi="Times New Roman" w:eastAsia="Times New Roman"/>
          <w:sz w:val="22"/>
        </w:rPr>
        <w:t>04_PSA_Official_Consent_to_Publish_and_Copyright_Transfer_Prefilled.docx</w:t>
      </w:r>
    </w:p>
    <w:p>
      <w:pPr>
        <w:pStyle w:val="ListBullet"/>
      </w:pPr>
      <w:r>
        <w:rPr>
          <w:rFonts w:ascii="Times New Roman" w:hAnsi="Times New Roman" w:eastAsia="Times New Roman"/>
          <w:sz w:val="22"/>
        </w:rPr>
        <w:t>05_PSA_Tables.docx</w:t>
      </w:r>
    </w:p>
    <w:p>
      <w:pPr>
        <w:pStyle w:val="ListBullet"/>
      </w:pPr>
      <w:r>
        <w:rPr>
          <w:rFonts w:ascii="Times New Roman" w:hAnsi="Times New Roman" w:eastAsia="Times New Roman"/>
          <w:sz w:val="22"/>
        </w:rPr>
        <w:t>06_Figure_1.png</w:t>
      </w:r>
    </w:p>
    <w:p>
      <w:pPr>
        <w:pStyle w:val="ListBullet"/>
      </w:pPr>
      <w:r>
        <w:rPr>
          <w:rFonts w:ascii="Times New Roman" w:hAnsi="Times New Roman" w:eastAsia="Times New Roman"/>
          <w:sz w:val="22"/>
        </w:rPr>
        <w:t>07_PSA_Figure_Legends.docx</w:t>
      </w:r>
    </w:p>
    <w:p>
      <w:pPr>
        <w:pStyle w:val="ListBullet"/>
      </w:pPr>
      <w:r>
        <w:rPr>
          <w:rFonts w:ascii="Times New Roman" w:hAnsi="Times New Roman" w:eastAsia="Times New Roman"/>
          <w:sz w:val="22"/>
        </w:rPr>
        <w:t>08_Graphical_Abstract.png</w:t>
      </w:r>
    </w:p>
    <w:p>
      <w:pPr>
        <w:pStyle w:val="ListBullet"/>
      </w:pPr>
      <w:r>
        <w:rPr>
          <w:rFonts w:ascii="Times New Roman" w:hAnsi="Times New Roman" w:eastAsia="Times New Roman"/>
          <w:sz w:val="22"/>
        </w:rPr>
        <w:t>09_Ethics_Approval.pdf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