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82370" w14:textId="77777777" w:rsidR="006006CB" w:rsidRDefault="00000000">
      <w:pPr>
        <w:jc w:val="center"/>
      </w:pPr>
      <w:r>
        <w:rPr>
          <w:rFonts w:cs="Times New Roman"/>
          <w:b/>
        </w:rPr>
        <w:t>Tables for: Topical Red Palm Oil Modulates Cutaneous Oxidative-Stress Biomarkers in Streptozotocin-Induced Diabetic Wistar Rats</w:t>
      </w:r>
    </w:p>
    <w:p w14:paraId="7DE466A3" w14:textId="77777777" w:rsidR="006006CB" w:rsidRDefault="00000000">
      <w:pPr>
        <w:keepNext/>
        <w:spacing w:before="240"/>
      </w:pPr>
      <w:r>
        <w:rPr>
          <w:rFonts w:cs="Times New Roman"/>
          <w:b/>
        </w:rPr>
        <w:t>Table 1. Cutaneous SOD activity and MDA level by treatment group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448"/>
        <w:gridCol w:w="2448"/>
        <w:gridCol w:w="2448"/>
      </w:tblGrid>
      <w:tr w:rsidR="006006CB" w14:paraId="4AB9B6A1" w14:textId="77777777" w:rsidTr="00543D07">
        <w:trPr>
          <w:tblHeader/>
          <w:jc w:val="center"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3E426B3C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Outcome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14:paraId="1518A58E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Non-diabetic control</w:t>
            </w:r>
            <w:r>
              <w:rPr>
                <w:rFonts w:cs="Times New Roman"/>
                <w:b/>
                <w:sz w:val="20"/>
              </w:rPr>
              <w:br/>
              <w:t>(n=9)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14:paraId="6D93FA5F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Diabetic control</w:t>
            </w:r>
            <w:r>
              <w:rPr>
                <w:rFonts w:cs="Times New Roman"/>
                <w:b/>
                <w:sz w:val="20"/>
              </w:rPr>
              <w:br/>
              <w:t>(n=9)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14:paraId="60F8FAC8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Diabetic + RPO 10%</w:t>
            </w:r>
            <w:r>
              <w:rPr>
                <w:rFonts w:cs="Times New Roman"/>
                <w:b/>
                <w:sz w:val="20"/>
              </w:rPr>
              <w:br/>
              <w:t>(n=9)</w:t>
            </w:r>
          </w:p>
        </w:tc>
      </w:tr>
      <w:tr w:rsidR="006006CB" w14:paraId="5E03C203" w14:textId="77777777" w:rsidTr="00543D07">
        <w:trPr>
          <w:jc w:val="center"/>
        </w:trPr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51A00E83" w14:textId="77777777" w:rsidR="006006CB" w:rsidRDefault="00000000">
            <w:pPr>
              <w:spacing w:line="240" w:lineRule="auto"/>
            </w:pPr>
            <w:r>
              <w:rPr>
                <w:rFonts w:cs="Times New Roman"/>
                <w:sz w:val="20"/>
              </w:rPr>
              <w:t>SOD (U/mL)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04599122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42.35 ± 1.99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7B217B26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32.92 ± 4.33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4E7E4AAE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39.88 ± 2.13</w:t>
            </w:r>
          </w:p>
        </w:tc>
      </w:tr>
      <w:tr w:rsidR="006006CB" w14:paraId="0544B653" w14:textId="77777777" w:rsidTr="00543D07">
        <w:trPr>
          <w:jc w:val="center"/>
        </w:trPr>
        <w:tc>
          <w:tcPr>
            <w:tcW w:w="2160" w:type="dxa"/>
            <w:vAlign w:val="center"/>
          </w:tcPr>
          <w:p w14:paraId="5136CDE5" w14:textId="77777777" w:rsidR="006006CB" w:rsidRDefault="00000000">
            <w:pPr>
              <w:spacing w:line="240" w:lineRule="auto"/>
            </w:pPr>
            <w:r>
              <w:rPr>
                <w:rFonts w:cs="Times New Roman"/>
                <w:sz w:val="20"/>
              </w:rPr>
              <w:t>MDA (nmol/mL)</w:t>
            </w:r>
          </w:p>
        </w:tc>
        <w:tc>
          <w:tcPr>
            <w:tcW w:w="2448" w:type="dxa"/>
            <w:vAlign w:val="center"/>
          </w:tcPr>
          <w:p w14:paraId="3E85BE1B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5.45 ± 1.19</w:t>
            </w:r>
          </w:p>
        </w:tc>
        <w:tc>
          <w:tcPr>
            <w:tcW w:w="2448" w:type="dxa"/>
            <w:vAlign w:val="center"/>
          </w:tcPr>
          <w:p w14:paraId="2BDAEB93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10.24 ± 2.00</w:t>
            </w:r>
          </w:p>
        </w:tc>
        <w:tc>
          <w:tcPr>
            <w:tcW w:w="2448" w:type="dxa"/>
            <w:vAlign w:val="center"/>
          </w:tcPr>
          <w:p w14:paraId="088C311C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7.59 ± 2.02</w:t>
            </w:r>
          </w:p>
        </w:tc>
      </w:tr>
    </w:tbl>
    <w:p w14:paraId="381335A4" w14:textId="77777777" w:rsidR="006006CB" w:rsidRDefault="00000000" w:rsidP="00543D07">
      <w:r>
        <w:rPr>
          <w:rFonts w:cs="Times New Roman"/>
          <w:i/>
          <w:sz w:val="20"/>
        </w:rPr>
        <w:t>Values are mean ± standard deviation. RPO, red palm oil; SOD, superoxide dismutase; MDA, malondialdehyde.</w:t>
      </w:r>
    </w:p>
    <w:p w14:paraId="53FDA3DA" w14:textId="77777777" w:rsidR="006006CB" w:rsidRDefault="00000000">
      <w:pPr>
        <w:keepNext/>
        <w:spacing w:before="240"/>
      </w:pPr>
      <w:r>
        <w:rPr>
          <w:rFonts w:cs="Times New Roman"/>
          <w:b/>
        </w:rPr>
        <w:t>Table 2. Group comparisons for cutaneous SOD activity and MDA level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one" w:sz="0" w:space="0" w:color="auto"/>
          <w:bottom w:val="single" w:sz="4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448"/>
        <w:gridCol w:w="1296"/>
        <w:gridCol w:w="4464"/>
      </w:tblGrid>
      <w:tr w:rsidR="006006CB" w14:paraId="42B42841" w14:textId="77777777" w:rsidTr="00543D07">
        <w:trPr>
          <w:tblHeader/>
          <w:jc w:val="center"/>
        </w:trPr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4483C2C7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Outcome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14:paraId="0DD42B4E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Overall test (statistic)</w:t>
            </w:r>
          </w:p>
        </w:tc>
        <w:tc>
          <w:tcPr>
            <w:tcW w:w="1296" w:type="dxa"/>
            <w:tcBorders>
              <w:bottom w:val="single" w:sz="4" w:space="0" w:color="auto"/>
            </w:tcBorders>
            <w:vAlign w:val="center"/>
          </w:tcPr>
          <w:p w14:paraId="1F8E0F1A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Overall p value</w:t>
            </w:r>
          </w:p>
        </w:tc>
        <w:tc>
          <w:tcPr>
            <w:tcW w:w="4464" w:type="dxa"/>
            <w:tcBorders>
              <w:bottom w:val="single" w:sz="4" w:space="0" w:color="auto"/>
            </w:tcBorders>
            <w:vAlign w:val="center"/>
          </w:tcPr>
          <w:p w14:paraId="27E62207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Pairwise finding</w:t>
            </w:r>
          </w:p>
        </w:tc>
      </w:tr>
      <w:tr w:rsidR="006006CB" w14:paraId="117F5FEF" w14:textId="77777777" w:rsidTr="00543D07">
        <w:trPr>
          <w:jc w:val="center"/>
        </w:trPr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14792AEB" w14:textId="77777777" w:rsidR="006006CB" w:rsidRDefault="00000000">
            <w:pPr>
              <w:spacing w:line="240" w:lineRule="auto"/>
            </w:pPr>
            <w:r>
              <w:rPr>
                <w:rFonts w:cs="Times New Roman"/>
                <w:sz w:val="20"/>
              </w:rPr>
              <w:t>SOD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07704308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One-way ANOVA (F=23.696)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78C82C38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&lt;0.001</w:t>
            </w:r>
          </w:p>
        </w:tc>
        <w:tc>
          <w:tcPr>
            <w:tcW w:w="4464" w:type="dxa"/>
            <w:tcBorders>
              <w:top w:val="single" w:sz="4" w:space="0" w:color="auto"/>
            </w:tcBorders>
            <w:vAlign w:val="center"/>
          </w:tcPr>
          <w:p w14:paraId="325567E4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DM &lt; ND and DM+RPO; ND and DM+RPO not significantly different (Tukey test).</w:t>
            </w:r>
          </w:p>
        </w:tc>
      </w:tr>
      <w:tr w:rsidR="006006CB" w14:paraId="13AF07F7" w14:textId="77777777" w:rsidTr="00543D07">
        <w:trPr>
          <w:jc w:val="center"/>
        </w:trPr>
        <w:tc>
          <w:tcPr>
            <w:tcW w:w="1296" w:type="dxa"/>
            <w:vAlign w:val="center"/>
          </w:tcPr>
          <w:p w14:paraId="5E901FF3" w14:textId="77777777" w:rsidR="006006CB" w:rsidRDefault="00000000">
            <w:pPr>
              <w:spacing w:line="240" w:lineRule="auto"/>
            </w:pPr>
            <w:r>
              <w:rPr>
                <w:rFonts w:cs="Times New Roman"/>
                <w:sz w:val="20"/>
              </w:rPr>
              <w:t>MDA</w:t>
            </w:r>
          </w:p>
        </w:tc>
        <w:tc>
          <w:tcPr>
            <w:tcW w:w="2448" w:type="dxa"/>
            <w:vAlign w:val="center"/>
          </w:tcPr>
          <w:p w14:paraId="5A269C18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Kruskal-Wallis (H=16.358)</w:t>
            </w:r>
          </w:p>
        </w:tc>
        <w:tc>
          <w:tcPr>
            <w:tcW w:w="1296" w:type="dxa"/>
            <w:vAlign w:val="center"/>
          </w:tcPr>
          <w:p w14:paraId="163F375D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&lt;0.001</w:t>
            </w:r>
          </w:p>
        </w:tc>
        <w:tc>
          <w:tcPr>
            <w:tcW w:w="4464" w:type="dxa"/>
            <w:vAlign w:val="center"/>
          </w:tcPr>
          <w:p w14:paraId="123B9AD1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All pairwise differences significant after Holm-adjusted Mann-Whitney U tests.</w:t>
            </w:r>
          </w:p>
        </w:tc>
      </w:tr>
    </w:tbl>
    <w:p w14:paraId="3CD13F82" w14:textId="77777777" w:rsidR="006006CB" w:rsidRDefault="00000000" w:rsidP="00543D07">
      <w:r>
        <w:rPr>
          <w:rFonts w:cs="Times New Roman"/>
          <w:i/>
          <w:sz w:val="20"/>
        </w:rPr>
        <w:t>ND, non-diabetic control; DM, diabetic control; RPO, red palm oil; SOD, superoxide dismutase; MDA, malondialdehyde.</w:t>
      </w:r>
    </w:p>
    <w:p w14:paraId="427E4195" w14:textId="77777777" w:rsidR="006006CB" w:rsidRDefault="00000000">
      <w:pPr>
        <w:keepNext/>
        <w:spacing w:before="240"/>
      </w:pPr>
      <w:r>
        <w:rPr>
          <w:rFonts w:cs="Times New Roman"/>
          <w:b/>
        </w:rPr>
        <w:t>Table 3. Correlation between cutaneous SOD activity and MDA level (n=27)</w:t>
      </w:r>
    </w:p>
    <w:tbl>
      <w:tblPr>
        <w:tblStyle w:val="TableGrid"/>
        <w:tblW w:w="0" w:type="auto"/>
        <w:jc w:val="center"/>
        <w:tblBorders>
          <w:top w:val="single" w:sz="4" w:space="0" w:color="000000"/>
          <w:left w:val="none" w:sz="0" w:space="0" w:color="auto"/>
          <w:bottom w:val="single" w:sz="4" w:space="0" w:color="000000"/>
          <w:right w:val="single" w:sz="4" w:space="0" w:color="00000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448"/>
        <w:gridCol w:w="1440"/>
        <w:gridCol w:w="3600"/>
      </w:tblGrid>
      <w:tr w:rsidR="006006CB" w14:paraId="7664C5F8" w14:textId="77777777" w:rsidTr="00543D07">
        <w:trPr>
          <w:tblHeader/>
          <w:jc w:val="center"/>
        </w:trPr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00A6C56D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Variables</w:t>
            </w:r>
          </w:p>
        </w:tc>
        <w:tc>
          <w:tcPr>
            <w:tcW w:w="2448" w:type="dxa"/>
            <w:tcBorders>
              <w:bottom w:val="single" w:sz="4" w:space="0" w:color="auto"/>
            </w:tcBorders>
            <w:vAlign w:val="center"/>
          </w:tcPr>
          <w:p w14:paraId="18F0A757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Correlation coefficient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635065AF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p value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1E59CEF1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b/>
                <w:sz w:val="20"/>
              </w:rPr>
              <w:t>Interpretation</w:t>
            </w:r>
          </w:p>
        </w:tc>
      </w:tr>
      <w:tr w:rsidR="006006CB" w14:paraId="013BFB0D" w14:textId="77777777" w:rsidTr="00543D07">
        <w:trPr>
          <w:jc w:val="center"/>
        </w:trPr>
        <w:tc>
          <w:tcPr>
            <w:tcW w:w="2160" w:type="dxa"/>
            <w:tcBorders>
              <w:top w:val="single" w:sz="4" w:space="0" w:color="auto"/>
            </w:tcBorders>
            <w:vAlign w:val="center"/>
          </w:tcPr>
          <w:p w14:paraId="130BB3CE" w14:textId="77777777" w:rsidR="006006CB" w:rsidRDefault="00000000">
            <w:pPr>
              <w:spacing w:line="240" w:lineRule="auto"/>
            </w:pPr>
            <w:r>
              <w:rPr>
                <w:rFonts w:cs="Times New Roman"/>
                <w:sz w:val="20"/>
              </w:rPr>
              <w:t>SOD and MDA</w:t>
            </w:r>
          </w:p>
        </w:tc>
        <w:tc>
          <w:tcPr>
            <w:tcW w:w="2448" w:type="dxa"/>
            <w:tcBorders>
              <w:top w:val="single" w:sz="4" w:space="0" w:color="auto"/>
            </w:tcBorders>
            <w:vAlign w:val="center"/>
          </w:tcPr>
          <w:p w14:paraId="42FDB14A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r=-0.544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19873A5A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0.003</w:t>
            </w:r>
          </w:p>
        </w:tc>
        <w:tc>
          <w:tcPr>
            <w:tcW w:w="3600" w:type="dxa"/>
            <w:tcBorders>
              <w:top w:val="single" w:sz="4" w:space="0" w:color="auto"/>
            </w:tcBorders>
            <w:vAlign w:val="center"/>
          </w:tcPr>
          <w:p w14:paraId="73D659B2" w14:textId="77777777" w:rsidR="006006CB" w:rsidRDefault="00000000">
            <w:pPr>
              <w:spacing w:line="240" w:lineRule="auto"/>
              <w:jc w:val="center"/>
            </w:pPr>
            <w:r>
              <w:rPr>
                <w:rFonts w:cs="Times New Roman"/>
                <w:sz w:val="20"/>
              </w:rPr>
              <w:t>Negative association</w:t>
            </w:r>
          </w:p>
        </w:tc>
      </w:tr>
    </w:tbl>
    <w:p w14:paraId="751ADF16" w14:textId="77777777" w:rsidR="006006CB" w:rsidRDefault="00000000">
      <w:pPr>
        <w:spacing w:line="240" w:lineRule="auto"/>
      </w:pPr>
      <w:r>
        <w:rPr>
          <w:rFonts w:cs="Times New Roman"/>
          <w:i/>
          <w:sz w:val="20"/>
        </w:rPr>
        <w:t>SOD, superoxide dismutase; MDA, malondialdehyde.</w:t>
      </w:r>
    </w:p>
    <w:sectPr w:rsidR="006006CB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4A79B" w14:textId="77777777" w:rsidR="00794DAA" w:rsidRDefault="00794DAA">
      <w:pPr>
        <w:spacing w:line="240" w:lineRule="auto"/>
      </w:pPr>
      <w:r>
        <w:separator/>
      </w:r>
    </w:p>
  </w:endnote>
  <w:endnote w:type="continuationSeparator" w:id="0">
    <w:p w14:paraId="41043F82" w14:textId="77777777" w:rsidR="00794DAA" w:rsidRDefault="00794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8476E" w14:textId="77777777" w:rsidR="006006CB" w:rsidRDefault="00000000">
    <w:pPr>
      <w:pStyle w:val="Footer"/>
      <w:jc w:val="center"/>
    </w:pPr>
    <w:r>
      <w:rPr>
        <w:rFonts w:cs="Times New Roman"/>
        <w:sz w:val="20"/>
      </w:rPr>
      <w:fldChar w:fldCharType="begin"/>
    </w:r>
    <w:r>
      <w:rPr>
        <w:rFonts w:cs="Times New Roman"/>
        <w:sz w:val="20"/>
      </w:rPr>
      <w:instrText>PAGE</w:instrText>
    </w:r>
    <w:r w:rsidR="00543D07">
      <w:rPr>
        <w:rFonts w:cs="Times New Roman"/>
        <w:sz w:val="20"/>
      </w:rPr>
      <w:fldChar w:fldCharType="separate"/>
    </w:r>
    <w:r w:rsidR="00543D07">
      <w:rPr>
        <w:rFonts w:cs="Times New Roman"/>
        <w:noProof/>
        <w:sz w:val="20"/>
      </w:rPr>
      <w:t>1</w:t>
    </w:r>
    <w:r>
      <w:rPr>
        <w:rFonts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8C3D0" w14:textId="77777777" w:rsidR="00794DAA" w:rsidRDefault="00794DAA">
      <w:pPr>
        <w:spacing w:line="240" w:lineRule="auto"/>
      </w:pPr>
      <w:r>
        <w:separator/>
      </w:r>
    </w:p>
  </w:footnote>
  <w:footnote w:type="continuationSeparator" w:id="0">
    <w:p w14:paraId="6006FC4B" w14:textId="77777777" w:rsidR="00794DAA" w:rsidRDefault="00794D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492762">
    <w:abstractNumId w:val="8"/>
  </w:num>
  <w:num w:numId="2" w16cid:durableId="960500258">
    <w:abstractNumId w:val="6"/>
  </w:num>
  <w:num w:numId="3" w16cid:durableId="157619444">
    <w:abstractNumId w:val="5"/>
  </w:num>
  <w:num w:numId="4" w16cid:durableId="683558150">
    <w:abstractNumId w:val="4"/>
  </w:num>
  <w:num w:numId="5" w16cid:durableId="1522090403">
    <w:abstractNumId w:val="7"/>
  </w:num>
  <w:num w:numId="6" w16cid:durableId="294721318">
    <w:abstractNumId w:val="3"/>
  </w:num>
  <w:num w:numId="7" w16cid:durableId="269314951">
    <w:abstractNumId w:val="2"/>
  </w:num>
  <w:num w:numId="8" w16cid:durableId="362512053">
    <w:abstractNumId w:val="1"/>
  </w:num>
  <w:num w:numId="9" w16cid:durableId="199298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3D07"/>
    <w:rsid w:val="006006CB"/>
    <w:rsid w:val="006C6797"/>
    <w:rsid w:val="00794DA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41569"/>
  <w14:defaultImageDpi w14:val="300"/>
  <w15:docId w15:val="{A09ECBEA-FAC6-4456-B0CF-9FF66105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>PT. ANOA SEJAHTERA MANDIRI 06</cp:lastModifiedBy>
  <cp:revision>2</cp:revision>
  <dcterms:created xsi:type="dcterms:W3CDTF">2013-12-23T23:15:00Z</dcterms:created>
  <dcterms:modified xsi:type="dcterms:W3CDTF">2026-07-07T07:03:00Z</dcterms:modified>
  <cp:category/>
</cp:coreProperties>
</file>