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 w:before="160" w:after="80"/>
      </w:pPr>
      <w:r>
        <w:rPr>
          <w:b/>
        </w:rPr>
        <w:t>Table 1. Demographic and clinical characteristics of the study participants (N=120).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680"/>
        <w:gridCol w:w="4680"/>
      </w:tblGrid>
      <w:tr>
        <w:tc>
          <w:tcPr>
            <w:tcW w:type="dxa" w:w="4680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Characteristic</w:t>
            </w:r>
          </w:p>
        </w:tc>
        <w:tc>
          <w:tcPr>
            <w:tcW w:type="dxa" w:w="4680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n (%)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Age, years</w:t>
            </w:r>
          </w:p>
        </w:tc>
        <w:tc>
          <w:tcPr>
            <w:tcW w:type="dxa" w:w="4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 xml:space="preserve">  19-44</w:t>
            </w:r>
          </w:p>
        </w:tc>
        <w:tc>
          <w:tcPr>
            <w:tcW w:type="dxa" w:w="4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10 (8.3)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 xml:space="preserve">  45-59</w:t>
            </w:r>
          </w:p>
        </w:tc>
        <w:tc>
          <w:tcPr>
            <w:tcW w:type="dxa" w:w="4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62 (51.7)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 xml:space="preserve">  &gt;=60</w:t>
            </w:r>
          </w:p>
        </w:tc>
        <w:tc>
          <w:tcPr>
            <w:tcW w:type="dxa" w:w="4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48 (40.0)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Sex</w:t>
            </w:r>
          </w:p>
        </w:tc>
        <w:tc>
          <w:tcPr>
            <w:tcW w:type="dxa" w:w="4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 xml:space="preserve">  Male</w:t>
            </w:r>
          </w:p>
        </w:tc>
        <w:tc>
          <w:tcPr>
            <w:tcW w:type="dxa" w:w="4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47 (39.2)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 xml:space="preserve">  Female</w:t>
            </w:r>
          </w:p>
        </w:tc>
        <w:tc>
          <w:tcPr>
            <w:tcW w:type="dxa" w:w="4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73 (60.8)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Body mass index, kg/m2</w:t>
            </w:r>
          </w:p>
        </w:tc>
        <w:tc>
          <w:tcPr>
            <w:tcW w:type="dxa" w:w="4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 xml:space="preserve">  Underweight (&lt;18.5)</w:t>
            </w:r>
          </w:p>
        </w:tc>
        <w:tc>
          <w:tcPr>
            <w:tcW w:type="dxa" w:w="4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7 (5.8)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 xml:space="preserve">  Normal weight (18.5-22.9)</w:t>
            </w:r>
          </w:p>
        </w:tc>
        <w:tc>
          <w:tcPr>
            <w:tcW w:type="dxa" w:w="4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14 (11.7)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 xml:space="preserve">  Overweight (23.0-24.9)</w:t>
            </w:r>
          </w:p>
        </w:tc>
        <w:tc>
          <w:tcPr>
            <w:tcW w:type="dxa" w:w="4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24 (20.0)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 xml:space="preserve">  Obesity class I (25.0-29.9)</w:t>
            </w:r>
          </w:p>
        </w:tc>
        <w:tc>
          <w:tcPr>
            <w:tcW w:type="dxa" w:w="4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49 (40.8)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 xml:space="preserve">  Obesity class II (&gt;=30.0)</w:t>
            </w:r>
          </w:p>
        </w:tc>
        <w:tc>
          <w:tcPr>
            <w:tcW w:type="dxa" w:w="4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26 (21.7)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Glycaemic control</w:t>
            </w:r>
          </w:p>
        </w:tc>
        <w:tc>
          <w:tcPr>
            <w:tcW w:type="dxa" w:w="4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 xml:space="preserve">  Controlled (HbA1c &lt;7%)</w:t>
            </w:r>
          </w:p>
        </w:tc>
        <w:tc>
          <w:tcPr>
            <w:tcW w:type="dxa" w:w="4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43 (35.8)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 xml:space="preserve">  Uncontrolled (HbA1c &gt;=7%)</w:t>
            </w:r>
          </w:p>
        </w:tc>
        <w:tc>
          <w:tcPr>
            <w:tcW w:type="dxa" w:w="4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77 (64.2)</w:t>
            </w:r>
          </w:p>
        </w:tc>
      </w:tr>
    </w:tbl>
    <w:p>
      <w:pPr>
        <w:spacing w:line="240" w:lineRule="auto" w:after="120"/>
      </w:pPr>
      <w:r>
        <w:rPr>
          <w:sz w:val="20"/>
        </w:rPr>
        <w:t>HbA1c, glycated haemoglobin.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365F91" w:themeColor="accent1" w:themeShade="BF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