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20C5" w14:textId="77777777" w:rsidR="00817EDD" w:rsidRDefault="00000000">
      <w:pPr>
        <w:pStyle w:val="JKSTitle"/>
        <w:keepNext/>
      </w:pPr>
      <w:r>
        <w:t>CHANGES IN LONELINESS FOLLOWING COMBINED LAUGHTER AND BUTTERFLY HUG THERAPY AMONG ADOLESCENTS IN ISLAMIC BOARDING SCHOOLS</w:t>
      </w:r>
    </w:p>
    <w:p w14:paraId="6CF71CE4" w14:textId="77777777" w:rsidR="000C0116" w:rsidRDefault="000C0116">
      <w:pPr>
        <w:pStyle w:val="JKSHeading"/>
        <w:keepNext/>
      </w:pPr>
    </w:p>
    <w:p w14:paraId="0637233A" w14:textId="30CE148C" w:rsidR="00817EDD" w:rsidRDefault="00000000" w:rsidP="00C86007">
      <w:pPr>
        <w:pStyle w:val="JKSHeading"/>
        <w:keepNext/>
        <w:jc w:val="center"/>
      </w:pPr>
      <w:r>
        <w:t>ABSTRACT</w:t>
      </w:r>
    </w:p>
    <w:p w14:paraId="0C4F0CB7" w14:textId="77777777" w:rsidR="00817EDD" w:rsidRDefault="00000000">
      <w:pPr>
        <w:jc w:val="both"/>
      </w:pPr>
      <w:r>
        <w:t>Loneliness is an important mental-health concern for adolescents living away from family and may be intensified by social and academic adjustment demands in boarding-school settings. This study examined changes in loneliness after a combined laughter therapy and butterfly hug program among adolescents in Indonesian Islamic boarding schools. A pre-experimental one-group pretest-posttest design was used. Participants were 165 adolescents selected purposively from 15 Islamic boarding schools from a source population of 500. The combined intervention was delivered in eight 20-minute sessions over four weeks. Loneliness was measured using the UCLA Loneliness Scale Version 3, and paired pretest-posttest scores were analyzed using the Wilcoxon signed-rank test. Before the intervention, 27% of participants were classified as having low loneliness, 65% moderate loneliness, and 8% high loneliness; after the intervention, the corresponding proportions were 85%, 13%, and 2%. The pretest-posttest difference was statistically significant (p &lt; 0.001). The findings indicate a substantial within-group shift toward lower loneliness after the combined intervention. Because no control group was included, causal efficacy cannot be established. Controlled studies with longer follow-up are recommended.</w:t>
      </w:r>
    </w:p>
    <w:p w14:paraId="089B6E49" w14:textId="77777777" w:rsidR="000C0116" w:rsidRDefault="000C0116">
      <w:pPr>
        <w:keepNext/>
        <w:rPr>
          <w:i/>
        </w:rPr>
      </w:pPr>
    </w:p>
    <w:p w14:paraId="4FA77523" w14:textId="7A8CDA30" w:rsidR="00817EDD" w:rsidRDefault="00000000">
      <w:pPr>
        <w:keepNext/>
        <w:sectPr w:rsidR="00817EDD">
          <w:footerReference w:type="default" r:id="rId8"/>
          <w:type w:val="continuous"/>
          <w:pgSz w:w="11906" w:h="16838"/>
          <w:pgMar w:top="1984" w:right="1984" w:bottom="1984" w:left="1984" w:header="1134" w:footer="1134" w:gutter="0"/>
          <w:cols w:space="720"/>
          <w:docGrid w:linePitch="360"/>
        </w:sectPr>
      </w:pPr>
      <w:r>
        <w:rPr>
          <w:i/>
        </w:rPr>
        <w:t>Keywords: Adolescents; butterfly hug; Islamic boarding schools; laughter therapy; loneliness</w:t>
      </w:r>
    </w:p>
    <w:p w14:paraId="5D074271" w14:textId="77777777" w:rsidR="000C0116" w:rsidRDefault="000C0116">
      <w:pPr>
        <w:pStyle w:val="JKSHeading"/>
        <w:keepNext/>
      </w:pPr>
    </w:p>
    <w:p w14:paraId="6645A371" w14:textId="5F1C5575" w:rsidR="00817EDD" w:rsidRDefault="00000000">
      <w:pPr>
        <w:pStyle w:val="JKSHeading"/>
        <w:keepNext/>
      </w:pPr>
      <w:r>
        <w:t>BACKGROUND</w:t>
      </w:r>
    </w:p>
    <w:p w14:paraId="189C1D31" w14:textId="77777777" w:rsidR="00817EDD" w:rsidRDefault="00000000">
      <w:pPr>
        <w:ind w:firstLine="283"/>
        <w:jc w:val="both"/>
      </w:pPr>
      <w:r>
        <w:t xml:space="preserve">Adolescence is a developmental period in which changes in family relationships, peer networks, identity, and educational demands can increase vulnerability to loneliness and other mental-health problems. Indonesian youth report substantial psychosocial needs, including loneliness, academic difficulties, anxiety, and barriers to seeking professional support (Kaligis et al., 2021). In a recent study published in Jurnal Keperawatan Soedirman, adolescents also described unmet mental-health needs and the importance of accessible support within school and community settings (Tampubolon, Tampubolon, &amp; Sari, 2025). Loneliness is clinically relevant because persistent social disconnection during adolescence is associated with later depression and anxiety and may interact with other </w:t>
      </w:r>
      <w:r>
        <w:t>psychosocial stressors (Loades et al., 2020).</w:t>
      </w:r>
    </w:p>
    <w:p w14:paraId="38188CEF" w14:textId="77777777" w:rsidR="00817EDD" w:rsidRDefault="00000000">
      <w:pPr>
        <w:ind w:firstLine="283"/>
        <w:jc w:val="both"/>
      </w:pPr>
      <w:r>
        <w:t>Adolescents who live in Islamic boarding schools (pesantren) face a distinctive social context. They are physically separated from family for extended periods, must adjust to institutional routines, and depend heavily on peers and school personnel for day-to-day social support. A study of female adolescents in an Indonesian Islamic boarding school found that most participants experienced some degree of loneliness, supporting the relevance of this problem in residential religious education settings (Astuti &amp; Sulistyanto, 2023). More broadly, Indonesian studies show that adolescent mental health is shaped by interpersonal and contextual factors, including family and school support (Fausiah, Turnip, &amp; Hauff, 2019; Sagita &amp; Hermawan, 2020).</w:t>
      </w:r>
    </w:p>
    <w:p w14:paraId="20E38624" w14:textId="77777777" w:rsidR="00817EDD" w:rsidRDefault="00000000">
      <w:pPr>
        <w:ind w:firstLine="283"/>
        <w:jc w:val="both"/>
      </w:pPr>
      <w:r>
        <w:t xml:space="preserve">Brief, low-cost, non-pharmacological approaches that can be delivered in </w:t>
      </w:r>
      <w:r>
        <w:lastRenderedPageBreak/>
        <w:t>school or community settings may therefore be useful as supportive nursing interventions. Laughter therapy combines structured laughter activities with breathing and social interaction. Randomized studies in nursing populations have reported improvements in anxiety, psychological well-being, stress, and life satisfaction following laughter-based interventions (Eraydin &amp; Alpar, 2022; Siş Çelik &amp; Kılınç, 2022). Evidence specifically for loneliness is less consistent: Ozturk and Tekkas-Kerman (2022) found that online laughter therapy reduced depression but did not significantly reduce loneliness compared with a control group. This suggests that laughter therapy alone should not be assumed to have a specific anti-loneliness effect.</w:t>
      </w:r>
    </w:p>
    <w:p w14:paraId="539DDA56" w14:textId="77777777" w:rsidR="00817EDD" w:rsidRDefault="00000000">
      <w:pPr>
        <w:ind w:firstLine="283"/>
        <w:jc w:val="both"/>
      </w:pPr>
      <w:r>
        <w:t>The butterfly hug is a self-administered bilateral stimulation technique in which the arms are crossed over the chest and alternating tactile stimulation is paired with slow breathing. Studies have reported reductions in anxiety following butterfly hug interventions, including among adolescents (Aulia, Yuliastuti, &amp; Suyatno, 2024) and other populations (Girianto, Widayati, &amp; Agusti, 2021). However, evidence regarding loneliness as an outcome remains limited. Combining laughter-based positive social engagement with a self-soothing bilateral stimulation technique may be relevant for adolescents experiencing loneliness, but the combined approach requires empirical evaluation.</w:t>
      </w:r>
    </w:p>
    <w:p w14:paraId="69CDE51D" w14:textId="77777777" w:rsidR="00817EDD" w:rsidRDefault="00000000">
      <w:pPr>
        <w:ind w:firstLine="283"/>
        <w:jc w:val="both"/>
      </w:pPr>
      <w:r>
        <w:t xml:space="preserve">Evidence from broader youth-loneliness intervention research supports cautious but active evaluation of structured psychosocial programs. A meta-analysis by Eccles and Qualter (2021) found that interventions can reduce loneliness in young people, </w:t>
      </w:r>
      <w:r>
        <w:t>although the included programs differed substantially in their targets, formats, and populations. Similarly, Osborn, Weatherburn, and French (2021) concluded that the evidence base remains heterogeneous and that acceptability, implementation, and intervention context require closer attention. For adolescents living in residential schools, this is especially relevant because loneliness may reflect both individual emotional regulation and the quality of everyday social connection. An intervention that combines a group-based positive-affect activity with an individual self-soothing technique may therefore address more than one pathway, while still requiring a design capable of separating therapeutic effects from general group contact.</w:t>
      </w:r>
    </w:p>
    <w:p w14:paraId="1ADB7B81" w14:textId="77777777" w:rsidR="00817EDD" w:rsidRDefault="00000000">
      <w:pPr>
        <w:ind w:firstLine="283"/>
        <w:jc w:val="both"/>
      </w:pPr>
      <w:r>
        <w:t>This study therefore aimed to examine within-group changes in loneliness among adolescents living in Islamic boarding schools after a combined laughter therapy and butterfly hug program. It was hypothesized that loneliness would be lower after the four-week intervention than before the intervention.</w:t>
      </w:r>
    </w:p>
    <w:p w14:paraId="06D378FD" w14:textId="77777777" w:rsidR="000C0116" w:rsidRDefault="000C0116">
      <w:pPr>
        <w:pStyle w:val="JKSHeading"/>
        <w:keepNext/>
      </w:pPr>
    </w:p>
    <w:p w14:paraId="711DC1E7" w14:textId="4DE289F6" w:rsidR="00817EDD" w:rsidRDefault="00000000">
      <w:pPr>
        <w:pStyle w:val="JKSHeading"/>
        <w:keepNext/>
      </w:pPr>
      <w:r>
        <w:t>METHOD</w:t>
      </w:r>
    </w:p>
    <w:p w14:paraId="1DA4A40B" w14:textId="77777777" w:rsidR="00817EDD" w:rsidRDefault="00000000">
      <w:pPr>
        <w:pStyle w:val="JKSSubheading"/>
        <w:keepNext/>
      </w:pPr>
      <w:r>
        <w:t>Study design</w:t>
      </w:r>
    </w:p>
    <w:p w14:paraId="50360DD7" w14:textId="77777777" w:rsidR="00817EDD" w:rsidRDefault="00000000">
      <w:pPr>
        <w:ind w:firstLine="283"/>
        <w:jc w:val="both"/>
      </w:pPr>
      <w:r>
        <w:t>A quantitative pre-experimental one-group pretest-posttest design was used. The study evaluated loneliness before and after a four-week combined laughter therapy and butterfly hug intervention. Data collection was conducted from 6 to 30 September 2024 across 15 Islamic boarding schools in Indonesia.</w:t>
      </w:r>
    </w:p>
    <w:p w14:paraId="44BDD4C3" w14:textId="77777777" w:rsidR="00817EDD" w:rsidRDefault="00000000">
      <w:pPr>
        <w:pStyle w:val="JKSSubheading"/>
        <w:keepNext/>
      </w:pPr>
      <w:r>
        <w:t>Sample</w:t>
      </w:r>
    </w:p>
    <w:p w14:paraId="419806A5" w14:textId="77777777" w:rsidR="00817EDD" w:rsidRDefault="00000000">
      <w:pPr>
        <w:ind w:firstLine="283"/>
        <w:jc w:val="both"/>
      </w:pPr>
      <w:r>
        <w:t xml:space="preserve">The source population comprised 500 adolescents from the 15 participating Islamic boarding schools. Purposive sampling was used to recruit 165 adolescents. The participants in the </w:t>
      </w:r>
      <w:r>
        <w:lastRenderedPageBreak/>
        <w:t>analyzed sample were 13-18 years old, lived in the participating boarding schools, and had been identified as experiencing loneliness. All 165 participants had pretest and posttest observations in the data reported in this study.</w:t>
      </w:r>
    </w:p>
    <w:p w14:paraId="0043BE90" w14:textId="77777777" w:rsidR="00817EDD" w:rsidRDefault="00000000">
      <w:pPr>
        <w:pStyle w:val="JKSSubheading"/>
        <w:keepNext/>
      </w:pPr>
      <w:r>
        <w:t>Instrument</w:t>
      </w:r>
    </w:p>
    <w:p w14:paraId="41F24CE4" w14:textId="77777777" w:rsidR="00817EDD" w:rsidRDefault="00000000">
      <w:pPr>
        <w:ind w:firstLine="283"/>
        <w:jc w:val="both"/>
      </w:pPr>
      <w:r>
        <w:t>Loneliness was measured using the UCLA Loneliness Scale Version 3 (Russell, 1996). The instrument contains 20 items rated on a four-point response scale and yields a total score ranging from 20 to 80, with higher scores indicating greater loneliness. The original scale demonstrated high internal consistency across samples (Cronbach's alpha 0.89-0.94) and evidence of construct and convergent validity (Russell, 1996). In the present study, loneliness was also summarized using the study's low, moderate, and high categories for descriptive reporting. Observation sheets and standardized operating procedures were used to document implementation of the laughter therapy and butterfly hug components.</w:t>
      </w:r>
    </w:p>
    <w:p w14:paraId="077C919D" w14:textId="77777777" w:rsidR="00817EDD" w:rsidRDefault="00000000">
      <w:pPr>
        <w:pStyle w:val="JKSSubheading"/>
        <w:keepNext/>
      </w:pPr>
      <w:r>
        <w:t>Intervention</w:t>
      </w:r>
    </w:p>
    <w:p w14:paraId="50EADA2C" w14:textId="77777777" w:rsidR="00817EDD" w:rsidRDefault="00000000">
      <w:pPr>
        <w:ind w:firstLine="283"/>
        <w:jc w:val="both"/>
      </w:pPr>
      <w:r>
        <w:t xml:space="preserve">The research team delivered laughter therapy and butterfly hug therapy as a combined intervention. Participants completed a pretest before the first session. The program consisted of eight sessions over four weeks, with each meeting lasting approximately 20 minutes. Sessions followed the study's standardized operating procedures for laughter therapy and butterfly hug therapy, and participant progress was observed at each meeting. The posttest was administered after the final session at the end of week four. Because both techniques were delivered as one intervention package, the study was designed to evaluate the combined </w:t>
      </w:r>
      <w:r>
        <w:t>program rather than the independent contribution of either component.</w:t>
      </w:r>
    </w:p>
    <w:p w14:paraId="5CC0B548" w14:textId="77777777" w:rsidR="00817EDD" w:rsidRDefault="00000000">
      <w:pPr>
        <w:pStyle w:val="JKSSubheading"/>
        <w:keepNext/>
      </w:pPr>
      <w:r>
        <w:t>Data collection</w:t>
      </w:r>
    </w:p>
    <w:p w14:paraId="67F76930" w14:textId="77777777" w:rsidR="00817EDD" w:rsidRDefault="00000000">
      <w:pPr>
        <w:ind w:firstLine="283"/>
        <w:jc w:val="both"/>
      </w:pPr>
      <w:r>
        <w:t>The research team visited the participating Islamic boarding schools after institutional permission had been obtained. Eligible adolescents were informed about the study and invited to participate. Baseline loneliness data were collected using the UCLA Loneliness Scale Version 3 before the first intervention session. The combined intervention was then provided over four weeks, and the same loneliness measure was administered after the eighth session. The pretest and final posttest data were entered into IBM SPSS Statistics for analysis.</w:t>
      </w:r>
    </w:p>
    <w:p w14:paraId="198B5512" w14:textId="77777777" w:rsidR="00817EDD" w:rsidRDefault="00000000">
      <w:pPr>
        <w:pStyle w:val="JKSSubheading"/>
        <w:keepNext/>
      </w:pPr>
      <w:r>
        <w:t>Data analysis</w:t>
      </w:r>
    </w:p>
    <w:p w14:paraId="114B45F8" w14:textId="77777777" w:rsidR="00817EDD" w:rsidRDefault="00000000">
      <w:pPr>
        <w:ind w:firstLine="283"/>
        <w:jc w:val="both"/>
      </w:pPr>
      <w:r>
        <w:t>Participant characteristics and loneliness categories were summarized using frequencies and percentages. Paired pretest and posttest loneliness scores were compared using the Wilcoxon signed-rank test. Statistical significance was set at alpha = 0.05. Analyses were performed using IBM SPSS Statistics version 23 for Windows. A probability value reported by SPSS as 0.000 was expressed as p &lt; 0.001 in accordance with statistical reporting practice.</w:t>
      </w:r>
    </w:p>
    <w:p w14:paraId="0FC7F7F0" w14:textId="77777777" w:rsidR="00817EDD" w:rsidRDefault="00000000">
      <w:pPr>
        <w:pStyle w:val="JKSSubheading"/>
        <w:keepNext/>
      </w:pPr>
      <w:r>
        <w:t>Ethical consideration</w:t>
      </w:r>
    </w:p>
    <w:p w14:paraId="057F788D" w14:textId="77777777" w:rsidR="00817EDD" w:rsidRDefault="00000000">
      <w:pPr>
        <w:ind w:firstLine="283"/>
        <w:jc w:val="both"/>
      </w:pPr>
      <w:r>
        <w:t>Ethical approval was obtained before data collection (approval number 158/0084223523/LEPK.IIKNU/VII/2024). Research permission was subsequently obtained from the 15 participating Islamic boarding schools. Potential participants received an explanation of the study purpose and procedures, participation was voluntary, and participants could refuse participation. Informed consent was obtained before participation.</w:t>
      </w:r>
    </w:p>
    <w:p w14:paraId="06405BD8" w14:textId="77777777" w:rsidR="00817EDD" w:rsidRDefault="00000000">
      <w:pPr>
        <w:pStyle w:val="JKSHeading"/>
        <w:keepNext/>
      </w:pPr>
      <w:r>
        <w:lastRenderedPageBreak/>
        <w:t>RESULT</w:t>
      </w:r>
    </w:p>
    <w:p w14:paraId="6E101DCC" w14:textId="77777777" w:rsidR="00817EDD" w:rsidRDefault="00000000">
      <w:pPr>
        <w:pStyle w:val="JKSSubheading"/>
        <w:keepNext/>
      </w:pPr>
      <w:r>
        <w:t>Participant characteristics</w:t>
      </w:r>
    </w:p>
    <w:p w14:paraId="7B53FB04" w14:textId="77777777" w:rsidR="00817EDD" w:rsidRDefault="00000000">
      <w:pPr>
        <w:ind w:firstLine="283"/>
        <w:jc w:val="both"/>
        <w:sectPr w:rsidR="00817EDD">
          <w:footerReference w:type="default" r:id="rId9"/>
          <w:type w:val="continuous"/>
          <w:pgSz w:w="11906" w:h="16838"/>
          <w:pgMar w:top="1984" w:right="1984" w:bottom="1984" w:left="1984" w:header="1134" w:footer="1134" w:gutter="0"/>
          <w:cols w:num="2" w:space="720" w:equalWidth="0">
            <w:col w:w="3608" w:space="720"/>
            <w:col w:w="3608" w:space="0"/>
          </w:cols>
          <w:docGrid w:linePitch="360"/>
        </w:sectPr>
      </w:pPr>
      <w:r>
        <w:t xml:space="preserve">A total of 165 adolescents were included in the pretest-posttest analysis. Most participants were 13-15 years old </w:t>
      </w:r>
      <w:r>
        <w:t>(63%), were enrolled at the Madrasah Tsanawiyah level (65%), and had received one parental visit during the previous three months (71%) (Table 1).</w:t>
      </w:r>
    </w:p>
    <w:p w14:paraId="5FD1B579" w14:textId="77777777" w:rsidR="00817EDD" w:rsidRDefault="00000000">
      <w:pPr>
        <w:keepNext/>
        <w:jc w:val="both"/>
      </w:pPr>
      <w:r>
        <w:rPr>
          <w:b/>
        </w:rPr>
        <w:t>Table 1. Participant characteristics (n = 165)</w:t>
      </w:r>
    </w:p>
    <w:tbl>
      <w:tblPr>
        <w:tblW w:w="720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3686"/>
        <w:gridCol w:w="850"/>
        <w:gridCol w:w="850"/>
      </w:tblGrid>
      <w:tr w:rsidR="00817EDD" w14:paraId="4C7C07DB" w14:textId="77777777">
        <w:trPr>
          <w:cantSplit/>
        </w:trPr>
        <w:tc>
          <w:tcPr>
            <w:tcW w:w="1814" w:type="dxa"/>
            <w:tcBorders>
              <w:top w:val="single" w:sz="8" w:space="0" w:color="000000"/>
              <w:left w:val="nil"/>
              <w:bottom w:val="single" w:sz="8" w:space="0" w:color="000000"/>
              <w:right w:val="nil"/>
            </w:tcBorders>
            <w:vAlign w:val="center"/>
          </w:tcPr>
          <w:p w14:paraId="0B2BC7E4" w14:textId="77777777" w:rsidR="00817EDD" w:rsidRDefault="00000000">
            <w:r>
              <w:rPr>
                <w:b/>
                <w:sz w:val="20"/>
              </w:rPr>
              <w:t>Variable</w:t>
            </w:r>
          </w:p>
        </w:tc>
        <w:tc>
          <w:tcPr>
            <w:tcW w:w="3686" w:type="dxa"/>
            <w:tcBorders>
              <w:top w:val="single" w:sz="8" w:space="0" w:color="000000"/>
              <w:left w:val="nil"/>
              <w:bottom w:val="single" w:sz="8" w:space="0" w:color="000000"/>
              <w:right w:val="nil"/>
            </w:tcBorders>
            <w:vAlign w:val="center"/>
          </w:tcPr>
          <w:p w14:paraId="29A01CA5" w14:textId="77777777" w:rsidR="00817EDD" w:rsidRDefault="00000000">
            <w:r>
              <w:rPr>
                <w:b/>
                <w:sz w:val="20"/>
              </w:rPr>
              <w:t>Category</w:t>
            </w:r>
          </w:p>
        </w:tc>
        <w:tc>
          <w:tcPr>
            <w:tcW w:w="850" w:type="dxa"/>
            <w:tcBorders>
              <w:top w:val="single" w:sz="8" w:space="0" w:color="000000"/>
              <w:left w:val="nil"/>
              <w:bottom w:val="single" w:sz="8" w:space="0" w:color="000000"/>
              <w:right w:val="nil"/>
            </w:tcBorders>
            <w:vAlign w:val="center"/>
          </w:tcPr>
          <w:p w14:paraId="7E779CDC" w14:textId="77777777" w:rsidR="00817EDD" w:rsidRDefault="00000000">
            <w:pPr>
              <w:jc w:val="center"/>
            </w:pPr>
            <w:r>
              <w:rPr>
                <w:b/>
                <w:sz w:val="20"/>
              </w:rPr>
              <w:t>n</w:t>
            </w:r>
          </w:p>
        </w:tc>
        <w:tc>
          <w:tcPr>
            <w:tcW w:w="850" w:type="dxa"/>
            <w:tcBorders>
              <w:top w:val="single" w:sz="8" w:space="0" w:color="000000"/>
              <w:left w:val="nil"/>
              <w:bottom w:val="single" w:sz="8" w:space="0" w:color="000000"/>
              <w:right w:val="nil"/>
            </w:tcBorders>
            <w:vAlign w:val="center"/>
          </w:tcPr>
          <w:p w14:paraId="4DC9A998" w14:textId="77777777" w:rsidR="00817EDD" w:rsidRDefault="00000000">
            <w:pPr>
              <w:jc w:val="center"/>
            </w:pPr>
            <w:r>
              <w:rPr>
                <w:b/>
                <w:sz w:val="20"/>
              </w:rPr>
              <w:t>%</w:t>
            </w:r>
          </w:p>
        </w:tc>
      </w:tr>
      <w:tr w:rsidR="00817EDD" w14:paraId="7768DAA5" w14:textId="77777777">
        <w:trPr>
          <w:cantSplit/>
        </w:trPr>
        <w:tc>
          <w:tcPr>
            <w:tcW w:w="1814" w:type="dxa"/>
            <w:tcBorders>
              <w:top w:val="nil"/>
              <w:left w:val="nil"/>
              <w:bottom w:val="nil"/>
              <w:right w:val="nil"/>
            </w:tcBorders>
            <w:vAlign w:val="center"/>
          </w:tcPr>
          <w:p w14:paraId="4D463C04" w14:textId="77777777" w:rsidR="00817EDD" w:rsidRDefault="00000000">
            <w:r>
              <w:rPr>
                <w:sz w:val="20"/>
              </w:rPr>
              <w:t>Age (years)</w:t>
            </w:r>
          </w:p>
        </w:tc>
        <w:tc>
          <w:tcPr>
            <w:tcW w:w="3686" w:type="dxa"/>
            <w:tcBorders>
              <w:top w:val="nil"/>
              <w:left w:val="nil"/>
              <w:bottom w:val="nil"/>
              <w:right w:val="nil"/>
            </w:tcBorders>
            <w:vAlign w:val="center"/>
          </w:tcPr>
          <w:p w14:paraId="1A794F08" w14:textId="77777777" w:rsidR="00817EDD" w:rsidRDefault="00000000">
            <w:r>
              <w:rPr>
                <w:sz w:val="20"/>
              </w:rPr>
              <w:t>13-15</w:t>
            </w:r>
          </w:p>
        </w:tc>
        <w:tc>
          <w:tcPr>
            <w:tcW w:w="850" w:type="dxa"/>
            <w:tcBorders>
              <w:top w:val="nil"/>
              <w:left w:val="nil"/>
              <w:bottom w:val="nil"/>
              <w:right w:val="nil"/>
            </w:tcBorders>
            <w:vAlign w:val="center"/>
          </w:tcPr>
          <w:p w14:paraId="3AD996C3" w14:textId="77777777" w:rsidR="00817EDD" w:rsidRDefault="00000000">
            <w:pPr>
              <w:jc w:val="center"/>
            </w:pPr>
            <w:r>
              <w:rPr>
                <w:sz w:val="20"/>
              </w:rPr>
              <w:t>104</w:t>
            </w:r>
          </w:p>
        </w:tc>
        <w:tc>
          <w:tcPr>
            <w:tcW w:w="850" w:type="dxa"/>
            <w:tcBorders>
              <w:top w:val="nil"/>
              <w:left w:val="nil"/>
              <w:bottom w:val="nil"/>
              <w:right w:val="nil"/>
            </w:tcBorders>
            <w:vAlign w:val="center"/>
          </w:tcPr>
          <w:p w14:paraId="48797ACD" w14:textId="77777777" w:rsidR="00817EDD" w:rsidRDefault="00000000">
            <w:pPr>
              <w:jc w:val="center"/>
            </w:pPr>
            <w:r>
              <w:rPr>
                <w:sz w:val="20"/>
              </w:rPr>
              <w:t>63.0</w:t>
            </w:r>
          </w:p>
        </w:tc>
      </w:tr>
      <w:tr w:rsidR="00817EDD" w14:paraId="7746AC56" w14:textId="77777777">
        <w:trPr>
          <w:cantSplit/>
        </w:trPr>
        <w:tc>
          <w:tcPr>
            <w:tcW w:w="1814" w:type="dxa"/>
            <w:tcBorders>
              <w:top w:val="nil"/>
              <w:left w:val="nil"/>
              <w:bottom w:val="nil"/>
              <w:right w:val="nil"/>
            </w:tcBorders>
            <w:vAlign w:val="center"/>
          </w:tcPr>
          <w:p w14:paraId="0C98D36C" w14:textId="77777777" w:rsidR="00817EDD" w:rsidRDefault="00817EDD"/>
        </w:tc>
        <w:tc>
          <w:tcPr>
            <w:tcW w:w="3686" w:type="dxa"/>
            <w:tcBorders>
              <w:top w:val="nil"/>
              <w:left w:val="nil"/>
              <w:bottom w:val="nil"/>
              <w:right w:val="nil"/>
            </w:tcBorders>
            <w:vAlign w:val="center"/>
          </w:tcPr>
          <w:p w14:paraId="5DF383DD" w14:textId="77777777" w:rsidR="00817EDD" w:rsidRDefault="00000000">
            <w:r>
              <w:rPr>
                <w:sz w:val="20"/>
              </w:rPr>
              <w:t>16-18</w:t>
            </w:r>
          </w:p>
        </w:tc>
        <w:tc>
          <w:tcPr>
            <w:tcW w:w="850" w:type="dxa"/>
            <w:tcBorders>
              <w:top w:val="nil"/>
              <w:left w:val="nil"/>
              <w:bottom w:val="nil"/>
              <w:right w:val="nil"/>
            </w:tcBorders>
            <w:vAlign w:val="center"/>
          </w:tcPr>
          <w:p w14:paraId="6216A6E0" w14:textId="77777777" w:rsidR="00817EDD" w:rsidRDefault="00000000">
            <w:pPr>
              <w:jc w:val="center"/>
            </w:pPr>
            <w:r>
              <w:rPr>
                <w:sz w:val="20"/>
              </w:rPr>
              <w:t>61</w:t>
            </w:r>
          </w:p>
        </w:tc>
        <w:tc>
          <w:tcPr>
            <w:tcW w:w="850" w:type="dxa"/>
            <w:tcBorders>
              <w:top w:val="nil"/>
              <w:left w:val="nil"/>
              <w:bottom w:val="nil"/>
              <w:right w:val="nil"/>
            </w:tcBorders>
            <w:vAlign w:val="center"/>
          </w:tcPr>
          <w:p w14:paraId="1A0CC74E" w14:textId="77777777" w:rsidR="00817EDD" w:rsidRDefault="00000000">
            <w:pPr>
              <w:jc w:val="center"/>
            </w:pPr>
            <w:r>
              <w:rPr>
                <w:sz w:val="20"/>
              </w:rPr>
              <w:t>37.0</w:t>
            </w:r>
          </w:p>
        </w:tc>
      </w:tr>
      <w:tr w:rsidR="00817EDD" w14:paraId="6FF3859E" w14:textId="77777777">
        <w:trPr>
          <w:cantSplit/>
        </w:trPr>
        <w:tc>
          <w:tcPr>
            <w:tcW w:w="1814" w:type="dxa"/>
            <w:tcBorders>
              <w:top w:val="nil"/>
              <w:left w:val="nil"/>
              <w:bottom w:val="nil"/>
              <w:right w:val="nil"/>
            </w:tcBorders>
            <w:vAlign w:val="center"/>
          </w:tcPr>
          <w:p w14:paraId="6D4E5780" w14:textId="77777777" w:rsidR="00817EDD" w:rsidRDefault="00000000">
            <w:r>
              <w:rPr>
                <w:sz w:val="20"/>
              </w:rPr>
              <w:t>Education level</w:t>
            </w:r>
          </w:p>
        </w:tc>
        <w:tc>
          <w:tcPr>
            <w:tcW w:w="3686" w:type="dxa"/>
            <w:tcBorders>
              <w:top w:val="nil"/>
              <w:left w:val="nil"/>
              <w:bottom w:val="nil"/>
              <w:right w:val="nil"/>
            </w:tcBorders>
            <w:vAlign w:val="center"/>
          </w:tcPr>
          <w:p w14:paraId="717FB7DE" w14:textId="77777777" w:rsidR="00817EDD" w:rsidRDefault="00000000">
            <w:r>
              <w:rPr>
                <w:sz w:val="20"/>
              </w:rPr>
              <w:t>Madrasah Tsanawiyah (MTs)</w:t>
            </w:r>
          </w:p>
        </w:tc>
        <w:tc>
          <w:tcPr>
            <w:tcW w:w="850" w:type="dxa"/>
            <w:tcBorders>
              <w:top w:val="nil"/>
              <w:left w:val="nil"/>
              <w:bottom w:val="nil"/>
              <w:right w:val="nil"/>
            </w:tcBorders>
            <w:vAlign w:val="center"/>
          </w:tcPr>
          <w:p w14:paraId="4BBDAEEB" w14:textId="77777777" w:rsidR="00817EDD" w:rsidRDefault="00000000">
            <w:pPr>
              <w:jc w:val="center"/>
            </w:pPr>
            <w:r>
              <w:rPr>
                <w:sz w:val="20"/>
              </w:rPr>
              <w:t>107</w:t>
            </w:r>
          </w:p>
        </w:tc>
        <w:tc>
          <w:tcPr>
            <w:tcW w:w="850" w:type="dxa"/>
            <w:tcBorders>
              <w:top w:val="nil"/>
              <w:left w:val="nil"/>
              <w:bottom w:val="nil"/>
              <w:right w:val="nil"/>
            </w:tcBorders>
            <w:vAlign w:val="center"/>
          </w:tcPr>
          <w:p w14:paraId="46EC3D2B" w14:textId="77777777" w:rsidR="00817EDD" w:rsidRDefault="00000000">
            <w:pPr>
              <w:jc w:val="center"/>
            </w:pPr>
            <w:r>
              <w:rPr>
                <w:sz w:val="20"/>
              </w:rPr>
              <w:t>65.0</w:t>
            </w:r>
          </w:p>
        </w:tc>
      </w:tr>
      <w:tr w:rsidR="00817EDD" w14:paraId="1E8601EB" w14:textId="77777777">
        <w:trPr>
          <w:cantSplit/>
        </w:trPr>
        <w:tc>
          <w:tcPr>
            <w:tcW w:w="1814" w:type="dxa"/>
            <w:tcBorders>
              <w:top w:val="nil"/>
              <w:left w:val="nil"/>
              <w:bottom w:val="nil"/>
              <w:right w:val="nil"/>
            </w:tcBorders>
            <w:vAlign w:val="center"/>
          </w:tcPr>
          <w:p w14:paraId="6C59E6EC" w14:textId="77777777" w:rsidR="00817EDD" w:rsidRDefault="00817EDD"/>
        </w:tc>
        <w:tc>
          <w:tcPr>
            <w:tcW w:w="3686" w:type="dxa"/>
            <w:tcBorders>
              <w:top w:val="nil"/>
              <w:left w:val="nil"/>
              <w:bottom w:val="nil"/>
              <w:right w:val="nil"/>
            </w:tcBorders>
            <w:vAlign w:val="center"/>
          </w:tcPr>
          <w:p w14:paraId="4FFCD48F" w14:textId="77777777" w:rsidR="00817EDD" w:rsidRDefault="00000000">
            <w:r>
              <w:rPr>
                <w:sz w:val="20"/>
              </w:rPr>
              <w:t>Madrasah Aliyah (MA)</w:t>
            </w:r>
          </w:p>
        </w:tc>
        <w:tc>
          <w:tcPr>
            <w:tcW w:w="850" w:type="dxa"/>
            <w:tcBorders>
              <w:top w:val="nil"/>
              <w:left w:val="nil"/>
              <w:bottom w:val="nil"/>
              <w:right w:val="nil"/>
            </w:tcBorders>
            <w:vAlign w:val="center"/>
          </w:tcPr>
          <w:p w14:paraId="31735049" w14:textId="77777777" w:rsidR="00817EDD" w:rsidRDefault="00000000">
            <w:pPr>
              <w:jc w:val="center"/>
            </w:pPr>
            <w:r>
              <w:rPr>
                <w:sz w:val="20"/>
              </w:rPr>
              <w:t>58</w:t>
            </w:r>
          </w:p>
        </w:tc>
        <w:tc>
          <w:tcPr>
            <w:tcW w:w="850" w:type="dxa"/>
            <w:tcBorders>
              <w:top w:val="nil"/>
              <w:left w:val="nil"/>
              <w:bottom w:val="nil"/>
              <w:right w:val="nil"/>
            </w:tcBorders>
            <w:vAlign w:val="center"/>
          </w:tcPr>
          <w:p w14:paraId="2FDBCE4C" w14:textId="77777777" w:rsidR="00817EDD" w:rsidRDefault="00000000">
            <w:pPr>
              <w:jc w:val="center"/>
            </w:pPr>
            <w:r>
              <w:rPr>
                <w:sz w:val="20"/>
              </w:rPr>
              <w:t>35.0</w:t>
            </w:r>
          </w:p>
        </w:tc>
      </w:tr>
      <w:tr w:rsidR="00817EDD" w14:paraId="5375425D" w14:textId="77777777">
        <w:trPr>
          <w:cantSplit/>
        </w:trPr>
        <w:tc>
          <w:tcPr>
            <w:tcW w:w="1814" w:type="dxa"/>
            <w:tcBorders>
              <w:top w:val="nil"/>
              <w:left w:val="nil"/>
              <w:bottom w:val="nil"/>
              <w:right w:val="nil"/>
            </w:tcBorders>
            <w:vAlign w:val="center"/>
          </w:tcPr>
          <w:p w14:paraId="160452B7" w14:textId="77777777" w:rsidR="00817EDD" w:rsidRDefault="00000000">
            <w:r>
              <w:rPr>
                <w:sz w:val="20"/>
              </w:rPr>
              <w:t>Parental visits in previous 3 months</w:t>
            </w:r>
          </w:p>
        </w:tc>
        <w:tc>
          <w:tcPr>
            <w:tcW w:w="3686" w:type="dxa"/>
            <w:tcBorders>
              <w:top w:val="nil"/>
              <w:left w:val="nil"/>
              <w:bottom w:val="nil"/>
              <w:right w:val="nil"/>
            </w:tcBorders>
            <w:vAlign w:val="center"/>
          </w:tcPr>
          <w:p w14:paraId="3EE5EEC1" w14:textId="77777777" w:rsidR="00817EDD" w:rsidRDefault="00000000">
            <w:r>
              <w:rPr>
                <w:sz w:val="20"/>
              </w:rPr>
              <w:t>Once</w:t>
            </w:r>
          </w:p>
        </w:tc>
        <w:tc>
          <w:tcPr>
            <w:tcW w:w="850" w:type="dxa"/>
            <w:tcBorders>
              <w:top w:val="nil"/>
              <w:left w:val="nil"/>
              <w:bottom w:val="nil"/>
              <w:right w:val="nil"/>
            </w:tcBorders>
            <w:vAlign w:val="center"/>
          </w:tcPr>
          <w:p w14:paraId="16052567" w14:textId="77777777" w:rsidR="00817EDD" w:rsidRDefault="00000000">
            <w:pPr>
              <w:jc w:val="center"/>
            </w:pPr>
            <w:r>
              <w:rPr>
                <w:sz w:val="20"/>
              </w:rPr>
              <w:t>117</w:t>
            </w:r>
          </w:p>
        </w:tc>
        <w:tc>
          <w:tcPr>
            <w:tcW w:w="850" w:type="dxa"/>
            <w:tcBorders>
              <w:top w:val="nil"/>
              <w:left w:val="nil"/>
              <w:bottom w:val="nil"/>
              <w:right w:val="nil"/>
            </w:tcBorders>
            <w:vAlign w:val="center"/>
          </w:tcPr>
          <w:p w14:paraId="5E78983D" w14:textId="77777777" w:rsidR="00817EDD" w:rsidRDefault="00000000">
            <w:pPr>
              <w:jc w:val="center"/>
            </w:pPr>
            <w:r>
              <w:rPr>
                <w:sz w:val="20"/>
              </w:rPr>
              <w:t>71.0</w:t>
            </w:r>
          </w:p>
        </w:tc>
      </w:tr>
      <w:tr w:rsidR="00817EDD" w14:paraId="12701292" w14:textId="77777777">
        <w:trPr>
          <w:cantSplit/>
        </w:trPr>
        <w:tc>
          <w:tcPr>
            <w:tcW w:w="1814" w:type="dxa"/>
            <w:tcBorders>
              <w:top w:val="nil"/>
              <w:left w:val="nil"/>
              <w:bottom w:val="single" w:sz="8" w:space="0" w:color="000000"/>
              <w:right w:val="nil"/>
            </w:tcBorders>
            <w:vAlign w:val="center"/>
          </w:tcPr>
          <w:p w14:paraId="547FBA55" w14:textId="77777777" w:rsidR="00817EDD" w:rsidRDefault="00817EDD"/>
        </w:tc>
        <w:tc>
          <w:tcPr>
            <w:tcW w:w="3686" w:type="dxa"/>
            <w:tcBorders>
              <w:top w:val="nil"/>
              <w:left w:val="nil"/>
              <w:bottom w:val="single" w:sz="8" w:space="0" w:color="000000"/>
              <w:right w:val="nil"/>
            </w:tcBorders>
            <w:vAlign w:val="center"/>
          </w:tcPr>
          <w:p w14:paraId="431C32D5" w14:textId="77777777" w:rsidR="00817EDD" w:rsidRDefault="00000000">
            <w:r>
              <w:rPr>
                <w:sz w:val="20"/>
              </w:rPr>
              <w:t>Twice</w:t>
            </w:r>
          </w:p>
        </w:tc>
        <w:tc>
          <w:tcPr>
            <w:tcW w:w="850" w:type="dxa"/>
            <w:tcBorders>
              <w:top w:val="nil"/>
              <w:left w:val="nil"/>
              <w:bottom w:val="single" w:sz="8" w:space="0" w:color="000000"/>
              <w:right w:val="nil"/>
            </w:tcBorders>
            <w:vAlign w:val="center"/>
          </w:tcPr>
          <w:p w14:paraId="2BD6FB0F" w14:textId="77777777" w:rsidR="00817EDD" w:rsidRDefault="00000000">
            <w:pPr>
              <w:jc w:val="center"/>
            </w:pPr>
            <w:r>
              <w:rPr>
                <w:sz w:val="20"/>
              </w:rPr>
              <w:t>48</w:t>
            </w:r>
          </w:p>
        </w:tc>
        <w:tc>
          <w:tcPr>
            <w:tcW w:w="850" w:type="dxa"/>
            <w:tcBorders>
              <w:top w:val="nil"/>
              <w:left w:val="nil"/>
              <w:bottom w:val="single" w:sz="8" w:space="0" w:color="000000"/>
              <w:right w:val="nil"/>
            </w:tcBorders>
            <w:vAlign w:val="center"/>
          </w:tcPr>
          <w:p w14:paraId="716A3494" w14:textId="77777777" w:rsidR="00817EDD" w:rsidRDefault="00000000">
            <w:pPr>
              <w:jc w:val="center"/>
            </w:pPr>
            <w:r>
              <w:rPr>
                <w:sz w:val="20"/>
              </w:rPr>
              <w:t>29.0</w:t>
            </w:r>
          </w:p>
        </w:tc>
      </w:tr>
    </w:tbl>
    <w:p w14:paraId="708527CE" w14:textId="77777777" w:rsidR="00817EDD" w:rsidRDefault="00000000">
      <w:pPr>
        <w:sectPr w:rsidR="00817EDD">
          <w:footerReference w:type="default" r:id="rId10"/>
          <w:type w:val="continuous"/>
          <w:pgSz w:w="11906" w:h="16838"/>
          <w:pgMar w:top="1984" w:right="1984" w:bottom="1984" w:left="1984" w:header="1134" w:footer="1134" w:gutter="0"/>
          <w:cols w:space="720"/>
          <w:docGrid w:linePitch="360"/>
        </w:sectPr>
      </w:pPr>
      <w:r>
        <w:rPr>
          <w:i/>
        </w:rPr>
        <w:t>Note: MTs = Madrasah Tsanawiyah; MA = Madrasah Aliyah.</w:t>
      </w:r>
    </w:p>
    <w:p w14:paraId="3F54EF97" w14:textId="77777777" w:rsidR="00817EDD" w:rsidRDefault="00000000">
      <w:pPr>
        <w:pStyle w:val="JKSSubheading"/>
        <w:keepNext/>
      </w:pPr>
      <w:r>
        <w:t>Loneliness before and after the intervention</w:t>
      </w:r>
    </w:p>
    <w:p w14:paraId="3878411B" w14:textId="77777777" w:rsidR="00817EDD" w:rsidRDefault="00000000">
      <w:pPr>
        <w:ind w:firstLine="283"/>
        <w:jc w:val="both"/>
        <w:sectPr w:rsidR="00817EDD">
          <w:footerReference w:type="default" r:id="rId11"/>
          <w:type w:val="continuous"/>
          <w:pgSz w:w="11906" w:h="16838"/>
          <w:pgMar w:top="1984" w:right="1984" w:bottom="1984" w:left="1984" w:header="1134" w:footer="1134" w:gutter="0"/>
          <w:cols w:num="2" w:space="720" w:equalWidth="0">
            <w:col w:w="3608" w:space="720"/>
            <w:col w:w="3608" w:space="0"/>
          </w:cols>
          <w:docGrid w:linePitch="360"/>
        </w:sectPr>
      </w:pPr>
      <w:r>
        <w:t xml:space="preserve">Before the combined intervention, 107 participants (65%) were in the moderate loneliness category, 45 (27%) were in the low category, and 13 (8%) were in the high category. After eight intervention sessions, 140 participants (85%) were in the low loneliness category, 21 (13%) were in the moderate </w:t>
      </w:r>
      <w:r>
        <w:t>category, and four (2%) were in the high category. Thus, the proportion classified as low loneliness increased by 58 percentage points, while the proportions in the moderate and high categories decreased. The paired Wilcoxon signed-rank test indicated a statistically significant pretest-posttest difference (p &lt; 0.001) (Table 2).</w:t>
      </w:r>
    </w:p>
    <w:p w14:paraId="78668D0F" w14:textId="77777777" w:rsidR="00817EDD" w:rsidRDefault="00000000">
      <w:pPr>
        <w:keepNext/>
        <w:jc w:val="both"/>
      </w:pPr>
      <w:r>
        <w:rPr>
          <w:b/>
        </w:rPr>
        <w:t>Table 2. Loneliness categories before and after the combined intervention (n = 165)</w:t>
      </w:r>
    </w:p>
    <w:tbl>
      <w:tblPr>
        <w:tblW w:w="7257"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1"/>
        <w:gridCol w:w="1814"/>
        <w:gridCol w:w="1814"/>
        <w:gridCol w:w="1928"/>
      </w:tblGrid>
      <w:tr w:rsidR="00817EDD" w14:paraId="61DB74E1" w14:textId="77777777">
        <w:trPr>
          <w:cantSplit/>
        </w:trPr>
        <w:tc>
          <w:tcPr>
            <w:tcW w:w="1701" w:type="dxa"/>
            <w:tcBorders>
              <w:top w:val="single" w:sz="8" w:space="0" w:color="000000"/>
              <w:left w:val="nil"/>
              <w:bottom w:val="single" w:sz="8" w:space="0" w:color="000000"/>
              <w:right w:val="nil"/>
            </w:tcBorders>
            <w:vAlign w:val="center"/>
          </w:tcPr>
          <w:p w14:paraId="113E7A01" w14:textId="77777777" w:rsidR="00817EDD" w:rsidRDefault="00000000">
            <w:r>
              <w:rPr>
                <w:b/>
                <w:sz w:val="20"/>
              </w:rPr>
              <w:t>Loneliness category</w:t>
            </w:r>
          </w:p>
        </w:tc>
        <w:tc>
          <w:tcPr>
            <w:tcW w:w="1814" w:type="dxa"/>
            <w:tcBorders>
              <w:top w:val="single" w:sz="8" w:space="0" w:color="000000"/>
              <w:left w:val="nil"/>
              <w:bottom w:val="single" w:sz="8" w:space="0" w:color="000000"/>
              <w:right w:val="nil"/>
            </w:tcBorders>
            <w:vAlign w:val="center"/>
          </w:tcPr>
          <w:p w14:paraId="24DB2E17" w14:textId="77777777" w:rsidR="00817EDD" w:rsidRDefault="00000000">
            <w:r>
              <w:rPr>
                <w:b/>
                <w:sz w:val="20"/>
              </w:rPr>
              <w:t>Pretest, n (%)</w:t>
            </w:r>
          </w:p>
        </w:tc>
        <w:tc>
          <w:tcPr>
            <w:tcW w:w="1814" w:type="dxa"/>
            <w:tcBorders>
              <w:top w:val="single" w:sz="8" w:space="0" w:color="000000"/>
              <w:left w:val="nil"/>
              <w:bottom w:val="single" w:sz="8" w:space="0" w:color="000000"/>
              <w:right w:val="nil"/>
            </w:tcBorders>
            <w:vAlign w:val="center"/>
          </w:tcPr>
          <w:p w14:paraId="0783E4E7" w14:textId="77777777" w:rsidR="00817EDD" w:rsidRDefault="00000000">
            <w:pPr>
              <w:jc w:val="center"/>
            </w:pPr>
            <w:r>
              <w:rPr>
                <w:b/>
                <w:sz w:val="20"/>
              </w:rPr>
              <w:t>Posttest, n (%)</w:t>
            </w:r>
          </w:p>
        </w:tc>
        <w:tc>
          <w:tcPr>
            <w:tcW w:w="1928" w:type="dxa"/>
            <w:tcBorders>
              <w:top w:val="single" w:sz="8" w:space="0" w:color="000000"/>
              <w:left w:val="nil"/>
              <w:bottom w:val="single" w:sz="8" w:space="0" w:color="000000"/>
              <w:right w:val="nil"/>
            </w:tcBorders>
            <w:vAlign w:val="center"/>
          </w:tcPr>
          <w:p w14:paraId="69F11C66" w14:textId="77777777" w:rsidR="00817EDD" w:rsidRDefault="00000000">
            <w:pPr>
              <w:jc w:val="center"/>
            </w:pPr>
            <w:r>
              <w:rPr>
                <w:b/>
                <w:sz w:val="20"/>
              </w:rPr>
              <w:t>Change (percentage points)</w:t>
            </w:r>
          </w:p>
        </w:tc>
      </w:tr>
      <w:tr w:rsidR="00817EDD" w14:paraId="2A80AC93" w14:textId="77777777">
        <w:trPr>
          <w:cantSplit/>
        </w:trPr>
        <w:tc>
          <w:tcPr>
            <w:tcW w:w="1701" w:type="dxa"/>
            <w:tcBorders>
              <w:top w:val="nil"/>
              <w:left w:val="nil"/>
              <w:bottom w:val="nil"/>
              <w:right w:val="nil"/>
            </w:tcBorders>
            <w:vAlign w:val="center"/>
          </w:tcPr>
          <w:p w14:paraId="3B1FD74C" w14:textId="77777777" w:rsidR="00817EDD" w:rsidRDefault="00000000">
            <w:r>
              <w:rPr>
                <w:sz w:val="20"/>
              </w:rPr>
              <w:t>Low</w:t>
            </w:r>
          </w:p>
        </w:tc>
        <w:tc>
          <w:tcPr>
            <w:tcW w:w="1814" w:type="dxa"/>
            <w:tcBorders>
              <w:top w:val="nil"/>
              <w:left w:val="nil"/>
              <w:bottom w:val="nil"/>
              <w:right w:val="nil"/>
            </w:tcBorders>
            <w:vAlign w:val="center"/>
          </w:tcPr>
          <w:p w14:paraId="4F93463D" w14:textId="77777777" w:rsidR="00817EDD" w:rsidRDefault="00000000">
            <w:r>
              <w:rPr>
                <w:sz w:val="20"/>
              </w:rPr>
              <w:t>45 (27%)</w:t>
            </w:r>
          </w:p>
        </w:tc>
        <w:tc>
          <w:tcPr>
            <w:tcW w:w="1814" w:type="dxa"/>
            <w:tcBorders>
              <w:top w:val="nil"/>
              <w:left w:val="nil"/>
              <w:bottom w:val="nil"/>
              <w:right w:val="nil"/>
            </w:tcBorders>
            <w:vAlign w:val="center"/>
          </w:tcPr>
          <w:p w14:paraId="5FFA84E0" w14:textId="77777777" w:rsidR="00817EDD" w:rsidRDefault="00000000">
            <w:pPr>
              <w:jc w:val="center"/>
            </w:pPr>
            <w:r>
              <w:rPr>
                <w:sz w:val="20"/>
              </w:rPr>
              <w:t>140 (85%)</w:t>
            </w:r>
          </w:p>
        </w:tc>
        <w:tc>
          <w:tcPr>
            <w:tcW w:w="1928" w:type="dxa"/>
            <w:tcBorders>
              <w:top w:val="nil"/>
              <w:left w:val="nil"/>
              <w:bottom w:val="nil"/>
              <w:right w:val="nil"/>
            </w:tcBorders>
            <w:vAlign w:val="center"/>
          </w:tcPr>
          <w:p w14:paraId="28C862BD" w14:textId="77777777" w:rsidR="00817EDD" w:rsidRDefault="00000000">
            <w:pPr>
              <w:jc w:val="center"/>
            </w:pPr>
            <w:r>
              <w:rPr>
                <w:sz w:val="20"/>
              </w:rPr>
              <w:t>+58</w:t>
            </w:r>
          </w:p>
        </w:tc>
      </w:tr>
      <w:tr w:rsidR="00817EDD" w14:paraId="59234BF3" w14:textId="77777777">
        <w:trPr>
          <w:cantSplit/>
        </w:trPr>
        <w:tc>
          <w:tcPr>
            <w:tcW w:w="1701" w:type="dxa"/>
            <w:tcBorders>
              <w:top w:val="nil"/>
              <w:left w:val="nil"/>
              <w:bottom w:val="nil"/>
              <w:right w:val="nil"/>
            </w:tcBorders>
            <w:vAlign w:val="center"/>
          </w:tcPr>
          <w:p w14:paraId="25695AEC" w14:textId="77777777" w:rsidR="00817EDD" w:rsidRDefault="00000000">
            <w:r>
              <w:rPr>
                <w:sz w:val="20"/>
              </w:rPr>
              <w:t>Moderate</w:t>
            </w:r>
          </w:p>
        </w:tc>
        <w:tc>
          <w:tcPr>
            <w:tcW w:w="1814" w:type="dxa"/>
            <w:tcBorders>
              <w:top w:val="nil"/>
              <w:left w:val="nil"/>
              <w:bottom w:val="nil"/>
              <w:right w:val="nil"/>
            </w:tcBorders>
            <w:vAlign w:val="center"/>
          </w:tcPr>
          <w:p w14:paraId="55D1C934" w14:textId="77777777" w:rsidR="00817EDD" w:rsidRDefault="00000000">
            <w:r>
              <w:rPr>
                <w:sz w:val="20"/>
              </w:rPr>
              <w:t>107 (65%)</w:t>
            </w:r>
          </w:p>
        </w:tc>
        <w:tc>
          <w:tcPr>
            <w:tcW w:w="1814" w:type="dxa"/>
            <w:tcBorders>
              <w:top w:val="nil"/>
              <w:left w:val="nil"/>
              <w:bottom w:val="nil"/>
              <w:right w:val="nil"/>
            </w:tcBorders>
            <w:vAlign w:val="center"/>
          </w:tcPr>
          <w:p w14:paraId="6C20B5F1" w14:textId="77777777" w:rsidR="00817EDD" w:rsidRDefault="00000000">
            <w:pPr>
              <w:jc w:val="center"/>
            </w:pPr>
            <w:r>
              <w:rPr>
                <w:sz w:val="20"/>
              </w:rPr>
              <w:t>21 (13%)</w:t>
            </w:r>
          </w:p>
        </w:tc>
        <w:tc>
          <w:tcPr>
            <w:tcW w:w="1928" w:type="dxa"/>
            <w:tcBorders>
              <w:top w:val="nil"/>
              <w:left w:val="nil"/>
              <w:bottom w:val="nil"/>
              <w:right w:val="nil"/>
            </w:tcBorders>
            <w:vAlign w:val="center"/>
          </w:tcPr>
          <w:p w14:paraId="3DF0C787" w14:textId="77777777" w:rsidR="00817EDD" w:rsidRDefault="00000000">
            <w:pPr>
              <w:jc w:val="center"/>
            </w:pPr>
            <w:r>
              <w:rPr>
                <w:sz w:val="20"/>
              </w:rPr>
              <w:t>-52</w:t>
            </w:r>
          </w:p>
        </w:tc>
      </w:tr>
      <w:tr w:rsidR="00817EDD" w14:paraId="30E02C1F" w14:textId="77777777">
        <w:trPr>
          <w:cantSplit/>
        </w:trPr>
        <w:tc>
          <w:tcPr>
            <w:tcW w:w="1701" w:type="dxa"/>
            <w:tcBorders>
              <w:top w:val="nil"/>
              <w:left w:val="nil"/>
              <w:bottom w:val="single" w:sz="8" w:space="0" w:color="000000"/>
              <w:right w:val="nil"/>
            </w:tcBorders>
            <w:vAlign w:val="center"/>
          </w:tcPr>
          <w:p w14:paraId="3A25952D" w14:textId="77777777" w:rsidR="00817EDD" w:rsidRDefault="00000000">
            <w:r>
              <w:rPr>
                <w:sz w:val="20"/>
              </w:rPr>
              <w:t>High</w:t>
            </w:r>
          </w:p>
        </w:tc>
        <w:tc>
          <w:tcPr>
            <w:tcW w:w="1814" w:type="dxa"/>
            <w:tcBorders>
              <w:top w:val="nil"/>
              <w:left w:val="nil"/>
              <w:bottom w:val="single" w:sz="8" w:space="0" w:color="000000"/>
              <w:right w:val="nil"/>
            </w:tcBorders>
            <w:vAlign w:val="center"/>
          </w:tcPr>
          <w:p w14:paraId="4ED8A867" w14:textId="77777777" w:rsidR="00817EDD" w:rsidRDefault="00000000">
            <w:r>
              <w:rPr>
                <w:sz w:val="20"/>
              </w:rPr>
              <w:t>13 (8%)</w:t>
            </w:r>
          </w:p>
        </w:tc>
        <w:tc>
          <w:tcPr>
            <w:tcW w:w="1814" w:type="dxa"/>
            <w:tcBorders>
              <w:top w:val="nil"/>
              <w:left w:val="nil"/>
              <w:bottom w:val="single" w:sz="8" w:space="0" w:color="000000"/>
              <w:right w:val="nil"/>
            </w:tcBorders>
            <w:vAlign w:val="center"/>
          </w:tcPr>
          <w:p w14:paraId="68C15513" w14:textId="77777777" w:rsidR="00817EDD" w:rsidRDefault="00000000">
            <w:pPr>
              <w:jc w:val="center"/>
            </w:pPr>
            <w:r>
              <w:rPr>
                <w:sz w:val="20"/>
              </w:rPr>
              <w:t>4 (2%)</w:t>
            </w:r>
          </w:p>
        </w:tc>
        <w:tc>
          <w:tcPr>
            <w:tcW w:w="1928" w:type="dxa"/>
            <w:tcBorders>
              <w:top w:val="nil"/>
              <w:left w:val="nil"/>
              <w:bottom w:val="single" w:sz="8" w:space="0" w:color="000000"/>
              <w:right w:val="nil"/>
            </w:tcBorders>
            <w:vAlign w:val="center"/>
          </w:tcPr>
          <w:p w14:paraId="5BE9BC0D" w14:textId="77777777" w:rsidR="00817EDD" w:rsidRDefault="00000000">
            <w:pPr>
              <w:jc w:val="center"/>
            </w:pPr>
            <w:r>
              <w:rPr>
                <w:sz w:val="20"/>
              </w:rPr>
              <w:t>-6</w:t>
            </w:r>
          </w:p>
        </w:tc>
      </w:tr>
    </w:tbl>
    <w:p w14:paraId="23095C3B" w14:textId="77777777" w:rsidR="00817EDD" w:rsidRDefault="00000000">
      <w:pPr>
        <w:sectPr w:rsidR="00817EDD">
          <w:footerReference w:type="default" r:id="rId12"/>
          <w:type w:val="continuous"/>
          <w:pgSz w:w="11906" w:h="16838"/>
          <w:pgMar w:top="1984" w:right="1984" w:bottom="1984" w:left="1984" w:header="1134" w:footer="1134" w:gutter="0"/>
          <w:cols w:space="720"/>
          <w:docGrid w:linePitch="360"/>
        </w:sectPr>
      </w:pPr>
      <w:r>
        <w:rPr>
          <w:i/>
        </w:rPr>
        <w:t>Note: Wilcoxon signed-rank test based on paired pretest and posttest loneliness scores: p &lt; 0.001.</w:t>
      </w:r>
    </w:p>
    <w:p w14:paraId="034B6A31" w14:textId="77777777" w:rsidR="000C0116" w:rsidRDefault="000C0116">
      <w:pPr>
        <w:pStyle w:val="JKSHeading"/>
        <w:keepNext/>
      </w:pPr>
    </w:p>
    <w:p w14:paraId="39241B66" w14:textId="79D5347C" w:rsidR="00817EDD" w:rsidRDefault="00000000">
      <w:pPr>
        <w:pStyle w:val="JKSHeading"/>
        <w:keepNext/>
      </w:pPr>
      <w:r>
        <w:t>DISCUSSION</w:t>
      </w:r>
    </w:p>
    <w:p w14:paraId="393BFB56" w14:textId="77777777" w:rsidR="00817EDD" w:rsidRDefault="00000000">
      <w:pPr>
        <w:ind w:firstLine="283"/>
        <w:jc w:val="both"/>
      </w:pPr>
      <w:r>
        <w:t xml:space="preserve">This study found a marked within-group shift toward lower loneliness after adolescents completed eight sessions of a combined laughter therapy and butterfly hug program. The proportion of participants in the low loneliness category increased from 27% before the program to 85% after the program, while moderate and high loneliness became less frequent. The Wilcoxon signed-rank test also indicated a statistically significant pretest-posttest difference. </w:t>
      </w:r>
      <w:r>
        <w:t>These findings support the study hypothesis that loneliness would be lower after the four-week program; however, the one-group design means that the observed change should not be interpreted as definitive evidence of causal efficacy.</w:t>
      </w:r>
    </w:p>
    <w:p w14:paraId="4D25DF91" w14:textId="77777777" w:rsidR="00817EDD" w:rsidRDefault="00000000">
      <w:pPr>
        <w:ind w:firstLine="283"/>
        <w:jc w:val="both"/>
      </w:pPr>
      <w:r>
        <w:t xml:space="preserve">The boarding-school context is important when interpreting these findings. Adolescents living in pesantren spend prolonged periods away from family and must establish new sources of emotional and social support within a structured residential environment. Astuti </w:t>
      </w:r>
      <w:r>
        <w:lastRenderedPageBreak/>
        <w:t>and Sulistyanto (2023) similarly documented loneliness among adolescents in an Indonesian Islamic boarding school. Indonesian evidence also emphasizes that family, peer, school, and broader social conditions are relevant to adolescent mental health (Fausiah et al., 2019; Kaligis et al., 2021). A group-based intervention may therefore influence loneliness not only through the intended therapeutic components but also through repeated social contact, shared activity, and a sense of belonging during sessions.</w:t>
      </w:r>
    </w:p>
    <w:p w14:paraId="40FEA8E6" w14:textId="77777777" w:rsidR="00817EDD" w:rsidRDefault="00000000">
      <w:pPr>
        <w:ind w:firstLine="283"/>
        <w:jc w:val="both"/>
      </w:pPr>
      <w:r>
        <w:t>Laughter-based interventions may contribute to positive affect, relaxation, and social engagement. Randomized studies have reported reductions in anxiety and stress and improvements in psychological well-being or life satisfaction after laughter therapy or laughter yoga (Eraydin &amp; Alpar, 2022; Siş Çelik &amp; Kılınç, 2022). Nevertheless, evidence for loneliness is not uniformly positive. In a randomized controlled trial, Ozturk and Tekkas-Kerman (2022) found that online laughter therapy improved depression but did not significantly change loneliness compared with a control group. That finding is important because it indicates that laughter therapy should not be assumed to directly reduce loneliness in all settings. The stronger descriptive change observed in the present study may relate to the face-to-face boarding-school context, the group format, the additional butterfly hug component, or other time-related and contextual factors.</w:t>
      </w:r>
    </w:p>
    <w:p w14:paraId="04A256A0" w14:textId="77777777" w:rsidR="00817EDD" w:rsidRDefault="00000000">
      <w:pPr>
        <w:ind w:firstLine="283"/>
        <w:jc w:val="both"/>
      </w:pPr>
      <w:r>
        <w:t xml:space="preserve">The butterfly hug component may have supported emotional regulation and self-soothing during the intervention. Aulia et al. (2024) reported reduced anxiety among adolescents after butterfly hug therapy, and Girianto et al. (2021) reported similar anxiety-related benefits </w:t>
      </w:r>
      <w:r>
        <w:t>in older adults. These studies do not establish a direct effect on loneliness, but they support the technique's potential to reduce emotional arousal. For adolescents who experience loneliness together with tension, worry, or difficulty regulating emotions, a self-administered calming technique may make social engagement easier. Because laughter therapy and butterfly hug therapy were delivered together in the present study, however, their individual contributions cannot be separated.</w:t>
      </w:r>
    </w:p>
    <w:p w14:paraId="62E1EE26" w14:textId="77777777" w:rsidR="00817EDD" w:rsidRDefault="00000000">
      <w:pPr>
        <w:ind w:firstLine="283"/>
        <w:jc w:val="both"/>
      </w:pPr>
      <w:r>
        <w:t>From a nursing perspective, the combined program has practical features that may be attractive in school and community mental-health promotion: it is brief, does not require medication or specialized equipment, and can be delivered in repeated sessions. The findings can therefore be considered preliminary evidence supporting further evaluation of a nurse-facilitated, low-cost psychosocial activity for adolescents in residential educational settings. The intervention should not be presented as a replacement for assessment, counseling, or referral when adolescents have persistent loneliness, depression, self-harm risk, trauma-related symptoms, or other complex mental-health needs. Recent JKS evidence likewise highlights the need for integrated adolescent mental-health support involving families, schools, communities, and health services (Tampubolon et al., 2025).</w:t>
      </w:r>
    </w:p>
    <w:p w14:paraId="107A0039" w14:textId="77777777" w:rsidR="00817EDD" w:rsidRDefault="00000000">
      <w:pPr>
        <w:ind w:firstLine="283"/>
        <w:jc w:val="both"/>
      </w:pPr>
      <w:r>
        <w:t xml:space="preserve">The magnitude of the categorical shift should also be interpreted separately from statistical significance. A p value indicates whether the paired measurements are compatible with a null hypothesis of no systematic change; it does not show how large or clinically important that change was. Because the available study report did not provide the pretest and posttest score distributions, </w:t>
      </w:r>
      <w:r>
        <w:lastRenderedPageBreak/>
        <w:t>the Wilcoxon Z statistic, or an effect-size estimate, this manuscript appropriately reports the available categorical distribution and significance test without inventing an effect magnitude. Future reporting should include the median and interquartile range of UCLA Loneliness Scale scores at both time points, the Wilcoxon test statistic, and an effect size. This would allow the findings to be compared more directly with the wider youth-loneliness intervention literature (Eccles &amp; Qualter, 2021; Osborn et al., 2021).</w:t>
      </w:r>
    </w:p>
    <w:p w14:paraId="33674B12" w14:textId="77777777" w:rsidR="00817EDD" w:rsidRDefault="00000000">
      <w:pPr>
        <w:ind w:firstLine="283"/>
        <w:jc w:val="both"/>
      </w:pPr>
      <w:r>
        <w:t>The findings also have implications for implementation. Residential schools provide repeated access to adolescents, which can make brief programs feasible, but the same setting can introduce common social influences across participants. The intervention's group delivery may itself create contact, shared attention, and peer interaction that are relevant to loneliness. Future controlled studies should therefore document intervention fidelity, attendance, facilitator training, group size, and any co-interventions or routine mental-health activities occurring in the schools. Where participants are recruited from multiple schools, analyses should consider school-level clustering or use a cluster-randomized or appropriately adjusted design. These design features would help distinguish the effects of the therapeutic content from the effects of being brought together in a supportive group activity.</w:t>
      </w:r>
    </w:p>
    <w:p w14:paraId="1CB7CC81" w14:textId="77777777" w:rsidR="00817EDD" w:rsidRDefault="00000000">
      <w:pPr>
        <w:ind w:firstLine="283"/>
        <w:jc w:val="both"/>
      </w:pPr>
      <w:r>
        <w:t xml:space="preserve">Several limitations require careful consideration. First, the absence of a control group leaves the study vulnerable to history, maturation, repeated-testing effects, regression to the mean, and nonspecific group-contact effects. Second, purposive sampling limits generalizability, and participants were </w:t>
      </w:r>
      <w:r>
        <w:t>clustered within 15 boarding schools, whose social environments may differ. Third, loneliness was assessed by self-report, which may be affected by social desirability or response shifts after repeated contact with the research team. Fourth, the study evaluated the combined intervention, so the effects of laughter therapy and butterfly hug therapy cannot be distinguished. Finally, outcomes were assessed only immediately after the four-week program; the persistence of any improvement is unknown. Future research should use a controlled or randomized design, report raw-score distributions and effect sizes, account for school-level clustering where appropriate, and include follow-up assessments.</w:t>
      </w:r>
    </w:p>
    <w:p w14:paraId="46179BD8" w14:textId="77777777" w:rsidR="000C0116" w:rsidRDefault="000C0116">
      <w:pPr>
        <w:pStyle w:val="JKSHeading"/>
        <w:keepNext/>
      </w:pPr>
    </w:p>
    <w:p w14:paraId="522D37F8" w14:textId="7F359810" w:rsidR="00817EDD" w:rsidRDefault="00000000">
      <w:pPr>
        <w:pStyle w:val="JKSHeading"/>
        <w:keepNext/>
      </w:pPr>
      <w:r>
        <w:t>CONCLUSION AND RECOMMENDATION</w:t>
      </w:r>
    </w:p>
    <w:p w14:paraId="2BC90D65" w14:textId="77777777" w:rsidR="00817EDD" w:rsidRDefault="00000000">
      <w:pPr>
        <w:ind w:firstLine="283"/>
        <w:jc w:val="both"/>
      </w:pPr>
      <w:r>
        <w:t>Among 165 adolescents living in Islamic boarding schools, loneliness shifted toward lower categories after eight sessions of a combined laughter therapy and butterfly hug program, and paired pretest-posttest scores differed significantly (p &lt; 0.001). These findings demonstrate a meaningful within-group change but do not establish that the intervention caused the improvement because the study had no control group. Nurses and school health personnel may consider the program as a preliminary, low-cost supportive approach while ensuring that adolescents with persistent or severe mental-health concerns receive appropriate assessment and referral. Controlled studies with longer follow-up are needed before routine implementation or attribution of benefit to either intervention component.</w:t>
      </w:r>
    </w:p>
    <w:p w14:paraId="4C7FEB5A" w14:textId="77777777" w:rsidR="000C0116" w:rsidRDefault="000C0116">
      <w:pPr>
        <w:pStyle w:val="JKSHeading"/>
        <w:keepNext/>
      </w:pPr>
    </w:p>
    <w:p w14:paraId="5B13AF89" w14:textId="12C28BF5" w:rsidR="00817EDD" w:rsidRDefault="00000000">
      <w:pPr>
        <w:pStyle w:val="JKSHeading"/>
        <w:keepNext/>
      </w:pPr>
      <w:r>
        <w:t>ACKNOWLEDGMENT</w:t>
      </w:r>
    </w:p>
    <w:p w14:paraId="1D41FE6D" w14:textId="77777777" w:rsidR="00817EDD" w:rsidRDefault="00000000">
      <w:pPr>
        <w:ind w:firstLine="283"/>
        <w:jc w:val="both"/>
      </w:pPr>
      <w:r>
        <w:t>The authors thank the participating Islamic boarding schools and adolescents for their cooperation during the study.</w:t>
      </w:r>
    </w:p>
    <w:p w14:paraId="344804B7" w14:textId="77777777" w:rsidR="000C0116" w:rsidRDefault="000C0116">
      <w:pPr>
        <w:pStyle w:val="JKSHeading"/>
        <w:keepNext/>
      </w:pPr>
    </w:p>
    <w:p w14:paraId="07CA6568" w14:textId="6274C21F" w:rsidR="00817EDD" w:rsidRDefault="00000000">
      <w:pPr>
        <w:pStyle w:val="JKSHeading"/>
        <w:keepNext/>
      </w:pPr>
      <w:r>
        <w:t>REFERENCES</w:t>
      </w:r>
    </w:p>
    <w:p w14:paraId="7AA0F708" w14:textId="77777777" w:rsidR="00817EDD" w:rsidRDefault="00000000">
      <w:pPr>
        <w:pStyle w:val="JKSReference"/>
        <w:spacing w:after="0"/>
        <w:ind w:left="720" w:hanging="720"/>
      </w:pPr>
      <w:r>
        <w:t>Astuti, Y. D., &amp; Sulistyanto, B. A. (2023). Overview of loneliness among female adolescents at International Muhammadiyah Boarding School Miftahul Ulum Pekajangan Pekalongan. Prosiding University Research Colloquium, 927-934.</w:t>
      </w:r>
    </w:p>
    <w:p w14:paraId="0C31ED37" w14:textId="77777777" w:rsidR="00817EDD" w:rsidRDefault="00000000">
      <w:pPr>
        <w:pStyle w:val="JKSReference"/>
        <w:spacing w:after="0"/>
        <w:ind w:left="720" w:hanging="720"/>
      </w:pPr>
      <w:r>
        <w:t>Aulia, A. W. Z., Yuliastuti, E., &amp; Suyatno, S. (2024). Effect of butterfly hug therapy on anxiety levels among adolescents. ASJN (Aisyiyah Surakarta Journal of Nursing), 5(1), 1-8. https://doi.org/10.30787/asjn.v5i1.1514</w:t>
      </w:r>
    </w:p>
    <w:p w14:paraId="7265FB78" w14:textId="77777777" w:rsidR="00817EDD" w:rsidRDefault="00000000">
      <w:pPr>
        <w:pStyle w:val="JKSReference"/>
        <w:spacing w:after="0"/>
        <w:ind w:left="720" w:hanging="720"/>
      </w:pPr>
      <w:r>
        <w:t>Eccles, A. M., &amp; Qualter, P. (2021). Review: Alleviating loneliness in young people - a meta-analysis of interventions. Child and Adolescent Mental Health, 26(1), 17-33. https://doi.org/10.1111/camh.12389</w:t>
      </w:r>
    </w:p>
    <w:p w14:paraId="4D6D160A" w14:textId="77777777" w:rsidR="00817EDD" w:rsidRDefault="00000000">
      <w:pPr>
        <w:pStyle w:val="JKSReference"/>
        <w:spacing w:after="0"/>
        <w:ind w:left="720" w:hanging="720"/>
      </w:pPr>
      <w:r>
        <w:t>El-Sayed, M. M., Ali Hafez, S., Nashwan, A. J., Khedr, M. A., &amp; El-Ashry, A. M. (2024). Feasibility of a group-based laughter yoga therapy on anxiety and happiness among community-dwelling older adults: A quasi-experimental study. International Journal of Africa Nursing Sciences, 20, 100675. https://doi.org/10.1016/j.ijans.2024.100675</w:t>
      </w:r>
    </w:p>
    <w:p w14:paraId="6CF369C0" w14:textId="77777777" w:rsidR="00817EDD" w:rsidRDefault="00000000">
      <w:pPr>
        <w:pStyle w:val="JKSReference"/>
        <w:spacing w:after="0"/>
        <w:ind w:left="720" w:hanging="720"/>
      </w:pPr>
      <w:r>
        <w:t xml:space="preserve">Eraydin, C., &amp; Alpar, S. E. (2022). The effect of laughter therapy on </w:t>
      </w:r>
      <w:r>
        <w:t>nursing students' anxiety, satisfaction with life, and psychological well-being during the COVID-19 pandemic: Randomized controlled study. Advances in Integrative Medicine, 9(3), 173-179. https://doi.org/10.1016/j.aimed.2022.06.006</w:t>
      </w:r>
    </w:p>
    <w:p w14:paraId="512CEF13" w14:textId="77777777" w:rsidR="00817EDD" w:rsidRDefault="00000000">
      <w:pPr>
        <w:pStyle w:val="JKSReference"/>
        <w:spacing w:after="0"/>
        <w:ind w:left="720" w:hanging="720"/>
      </w:pPr>
      <w:r>
        <w:t>Fausiah, F., Turnip, S. S., &amp; Hauff, E. (2019). Community violence exposure and determinants of adolescent mental health: A school-based study of a post-conflict area in Indonesia. Asian Journal of Psychiatry, 40, 49-54. https://doi.org/10.1016/j.ajp.2019.01.020</w:t>
      </w:r>
    </w:p>
    <w:p w14:paraId="43DC7D59" w14:textId="77777777" w:rsidR="00817EDD" w:rsidRDefault="00000000">
      <w:pPr>
        <w:pStyle w:val="JKSReference"/>
        <w:spacing w:after="0"/>
        <w:ind w:left="720" w:hanging="720"/>
      </w:pPr>
      <w:r>
        <w:t>Girianto, P. W. R., Widayati, D., &amp; Agusti, S. S. (2021). Butterfly hug reduce anxiety on elderly. Jurnal Ners dan Kebidanan (Journal of Ners and Midwifery), 8(3), 295-300. https://doi.org/10.26699/jnk.v8i3.ART.p295-300</w:t>
      </w:r>
    </w:p>
    <w:p w14:paraId="7CC1AA2D" w14:textId="77777777" w:rsidR="00817EDD" w:rsidRDefault="00000000">
      <w:pPr>
        <w:pStyle w:val="JKSReference"/>
        <w:spacing w:after="0"/>
        <w:ind w:left="720" w:hanging="720"/>
      </w:pPr>
      <w:r>
        <w:t>Hoseña, M. A., Mallorca, P. R. I., Muyot, Y. M., Tan, I. N., Calong, K. C., &amp; Soriano, G. P. (2024). Relationship of problematic internet use, fear of missing out, loneliness and nomophobia among Filipino nursing students. Jurnal Keperawatan Soedirman, 19(1), 16-21. https://doi.org/10.20884/1.jks.2024.19.1.9476</w:t>
      </w:r>
    </w:p>
    <w:p w14:paraId="2CAA814D" w14:textId="77777777" w:rsidR="00817EDD" w:rsidRDefault="00000000">
      <w:pPr>
        <w:pStyle w:val="JKSReference"/>
        <w:spacing w:after="0"/>
        <w:ind w:left="720" w:hanging="720"/>
      </w:pPr>
      <w:r>
        <w:t xml:space="preserve">Kaligis, F., Ismail, R. I., Wiguna, T., Prasetyo, S., Indriatmi, W., Gunardi, H., Pandia, V., &amp; Magdalena, C. C. (2021). Mental health problems and needs among transitional-age youth in Indonesia. International Journal of Environmental Research and Public Health, 18(8), 4046. </w:t>
      </w:r>
      <w:r>
        <w:lastRenderedPageBreak/>
        <w:t>https://doi.org/10.3390/ijerph18084046</w:t>
      </w:r>
    </w:p>
    <w:p w14:paraId="242F31AE" w14:textId="77777777" w:rsidR="00817EDD" w:rsidRDefault="00000000">
      <w:pPr>
        <w:pStyle w:val="JKSReference"/>
        <w:spacing w:after="0"/>
        <w:ind w:left="720" w:hanging="720"/>
      </w:pPr>
      <w:r>
        <w:t>Loades, M. E., Chatburn, E., Higson-Sweeney, N., Reynolds, S., Shafran, R., Brigden, A., Linney, C., McManus, M. N., Borwick, C., &amp; Crawley, E. (2020). Rapid systematic review: The impact of social isolation and loneliness on the mental health of children and adolescents in the context of COVID-19. Journal of the American Academy of Child &amp; Adolescent Psychiatry, 59(11), 1218-1239.e3. https://doi.org/10.1016/j.jaac.2020.05.009</w:t>
      </w:r>
    </w:p>
    <w:p w14:paraId="4191975C" w14:textId="77777777" w:rsidR="00817EDD" w:rsidRDefault="00000000">
      <w:pPr>
        <w:pStyle w:val="JKSReference"/>
        <w:spacing w:after="0"/>
        <w:ind w:left="720" w:hanging="720"/>
      </w:pPr>
      <w:r>
        <w:t>Osborn, T., Weatherburn, P., &amp; French, R. S. (2021). Interventions to address loneliness and social isolation in young people: A systematic review of the evidence on acceptability and effectiveness. Journal of Adolescence, 93, 53-79. https://doi.org/10.1016/j.adolescence.2021.09.007</w:t>
      </w:r>
    </w:p>
    <w:p w14:paraId="09687247" w14:textId="77777777" w:rsidR="00817EDD" w:rsidRDefault="00000000">
      <w:pPr>
        <w:pStyle w:val="JKSReference"/>
        <w:spacing w:after="0"/>
        <w:ind w:left="720" w:hanging="720"/>
      </w:pPr>
      <w:r>
        <w:t>Ozturk, F. O., &amp; Tekkas-Kerman, K. (2022). The effect of online laughter therapy on depression, anxiety, stress, and loneliness among nursing students during the COVID-19 pandemic. Archives of Psychiatric Nursing, 41, 271-276. https://doi.org/10.1016/j.apnu.2022.09.006</w:t>
      </w:r>
    </w:p>
    <w:p w14:paraId="06F4B6B5" w14:textId="77777777" w:rsidR="00817EDD" w:rsidRDefault="00000000">
      <w:pPr>
        <w:pStyle w:val="JKSReference"/>
        <w:spacing w:after="0"/>
        <w:ind w:left="720" w:hanging="720"/>
      </w:pPr>
      <w:r>
        <w:t>Russell, D. W. (1996). UCLA Loneliness Scale (Version 3): Reliability, validity, and factor structure. Journal of Personality Assessment, 66(1), 20-40. https://doi.org/10.1207/s15327752jpa6601_2</w:t>
      </w:r>
    </w:p>
    <w:p w14:paraId="7511F7F8" w14:textId="77777777" w:rsidR="00817EDD" w:rsidRDefault="00000000">
      <w:pPr>
        <w:pStyle w:val="JKSReference"/>
        <w:spacing w:after="0"/>
        <w:ind w:left="720" w:hanging="720"/>
      </w:pPr>
      <w:r>
        <w:t xml:space="preserve">Sagita, D. D., &amp; Hermawan, D. (2020). Adolescent loneliness during the </w:t>
      </w:r>
      <w:r>
        <w:t>COVID-19 pandemic. ENLIGHTEN: Jurnal Bimbingan Konseling Islam, 3(2), 122-130. https://doi.org/10.32505/enlighten.v3i2.1892</w:t>
      </w:r>
    </w:p>
    <w:p w14:paraId="4D62EA77" w14:textId="77777777" w:rsidR="00817EDD" w:rsidRDefault="00000000">
      <w:pPr>
        <w:pStyle w:val="JKSReference"/>
        <w:spacing w:after="0"/>
        <w:ind w:left="720" w:hanging="720"/>
      </w:pPr>
      <w:r>
        <w:t>Siş Çelik, A., &amp; Kılınç, T. (2022). The effect of laughter yoga on perceived stress, burnout, and life satisfaction in nurses during the pandemic: A randomized controlled trial. Complementary Therapies in Clinical Practice, 49, 101637. https://doi.org/10.1016/j.ctcp.2022.101637</w:t>
      </w:r>
    </w:p>
    <w:p w14:paraId="66C9BD5B" w14:textId="77777777" w:rsidR="00817EDD" w:rsidRDefault="00000000">
      <w:pPr>
        <w:pStyle w:val="JKSReference"/>
        <w:spacing w:after="0"/>
        <w:ind w:left="720" w:hanging="720"/>
      </w:pPr>
      <w:r>
        <w:t>Tampubolon, N. R., Tampubolon, M. M., &amp; Sari, N. Y. (2025). Exploring adolescent mental health issues and primary service needs in wetland areas: A mixed-method study. Jurnal Keperawatan Soedirman, 20(1), 51-57. https://doi.org/10.20884/1.jks.2025.20.1.14570</w:t>
      </w:r>
    </w:p>
    <w:sectPr w:rsidR="00817EDD">
      <w:footerReference w:type="default" r:id="rId13"/>
      <w:type w:val="continuous"/>
      <w:pgSz w:w="11906" w:h="16838"/>
      <w:pgMar w:top="1984" w:right="1984" w:bottom="1984" w:left="1984" w:header="1134" w:footer="1134" w:gutter="0"/>
      <w:cols w:num="2" w:space="720" w:equalWidth="0">
        <w:col w:w="3608" w:space="720"/>
        <w:col w:w="3608"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83D0B" w14:textId="77777777" w:rsidR="007F395A" w:rsidRDefault="007F395A">
      <w:r>
        <w:separator/>
      </w:r>
    </w:p>
  </w:endnote>
  <w:endnote w:type="continuationSeparator" w:id="0">
    <w:p w14:paraId="51657521" w14:textId="77777777" w:rsidR="007F395A" w:rsidRDefault="007F3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566F" w14:textId="77777777" w:rsidR="00817EDD" w:rsidRDefault="00000000">
    <w:pPr>
      <w:pStyle w:val="Footer"/>
      <w:jc w:val="right"/>
    </w:pPr>
    <w:r>
      <w:fldChar w:fldCharType="begin"/>
    </w:r>
    <w:r>
      <w:instrText xml:space="preserve"> PAGE </w:instrText>
    </w:r>
    <w:r w:rsidR="000C0116">
      <w:fldChar w:fldCharType="separate"/>
    </w:r>
    <w:r w:rsidR="000C011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76D6" w14:textId="77777777" w:rsidR="00817EDD" w:rsidRDefault="00000000">
    <w:pPr>
      <w:pStyle w:val="Footer"/>
      <w:jc w:val="right"/>
    </w:pPr>
    <w:r>
      <w:fldChar w:fldCharType="begin"/>
    </w:r>
    <w:r>
      <w:instrText xml:space="preserve"> PAGE </w:instrText>
    </w:r>
    <w:r w:rsidR="000C0116">
      <w:fldChar w:fldCharType="separate"/>
    </w:r>
    <w:r w:rsidR="000C0116">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7DAF" w14:textId="14DFF2D7" w:rsidR="00817EDD" w:rsidRDefault="00000000">
    <w:pPr>
      <w:pStyle w:val="Footer"/>
      <w:jc w:val="right"/>
    </w:pPr>
    <w:r>
      <w:fldChar w:fldCharType="begin"/>
    </w:r>
    <w:r>
      <w:instrText xml:space="preserve"> PAGE </w:instrText>
    </w:r>
    <w:r w:rsidR="000C0116">
      <w:fldChar w:fldCharType="separate"/>
    </w:r>
    <w:r w:rsidR="000C0116">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D5E7" w14:textId="77777777" w:rsidR="00817EDD" w:rsidRDefault="00000000">
    <w:pPr>
      <w:pStyle w:val="Footer"/>
      <w:jc w:val="right"/>
    </w:pPr>
    <w:r>
      <w:fldChar w:fldCharType="begin"/>
    </w:r>
    <w:r>
      <w:instrText xml:space="preserve"> PAGE </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D7AE" w14:textId="77777777" w:rsidR="00817EDD" w:rsidRDefault="00000000">
    <w:pPr>
      <w:pStyle w:val="Footer"/>
      <w:jc w:val="right"/>
    </w:pP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5C9D" w14:textId="6D8D7E85" w:rsidR="00817EDD" w:rsidRDefault="00000000">
    <w:pPr>
      <w:pStyle w:val="Footer"/>
      <w:jc w:val="right"/>
    </w:pPr>
    <w:r>
      <w:fldChar w:fldCharType="begin"/>
    </w:r>
    <w:r>
      <w:instrText xml:space="preserve"> PAGE </w:instrText>
    </w:r>
    <w:r w:rsidR="000C0116">
      <w:fldChar w:fldCharType="separate"/>
    </w:r>
    <w:r w:rsidR="000C0116">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08F6" w14:textId="77777777" w:rsidR="007F395A" w:rsidRDefault="007F395A">
      <w:r>
        <w:separator/>
      </w:r>
    </w:p>
  </w:footnote>
  <w:footnote w:type="continuationSeparator" w:id="0">
    <w:p w14:paraId="13D195A7" w14:textId="77777777" w:rsidR="007F395A" w:rsidRDefault="007F3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981642">
    <w:abstractNumId w:val="8"/>
  </w:num>
  <w:num w:numId="2" w16cid:durableId="979306396">
    <w:abstractNumId w:val="6"/>
  </w:num>
  <w:num w:numId="3" w16cid:durableId="622885632">
    <w:abstractNumId w:val="5"/>
  </w:num>
  <w:num w:numId="4" w16cid:durableId="847403314">
    <w:abstractNumId w:val="4"/>
  </w:num>
  <w:num w:numId="5" w16cid:durableId="18896751">
    <w:abstractNumId w:val="7"/>
  </w:num>
  <w:num w:numId="6" w16cid:durableId="179972740">
    <w:abstractNumId w:val="3"/>
  </w:num>
  <w:num w:numId="7" w16cid:durableId="485360948">
    <w:abstractNumId w:val="2"/>
  </w:num>
  <w:num w:numId="8" w16cid:durableId="1622343811">
    <w:abstractNumId w:val="1"/>
  </w:num>
  <w:num w:numId="9" w16cid:durableId="191142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116"/>
    <w:rsid w:val="0015074B"/>
    <w:rsid w:val="001A7023"/>
    <w:rsid w:val="0029639D"/>
    <w:rsid w:val="00326F90"/>
    <w:rsid w:val="007F395A"/>
    <w:rsid w:val="00817EDD"/>
    <w:rsid w:val="00A52DB2"/>
    <w:rsid w:val="00AA1D8D"/>
    <w:rsid w:val="00B47730"/>
    <w:rsid w:val="00C86007"/>
    <w:rsid w:val="00C863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0E280"/>
  <w14:defaultImageDpi w14:val="300"/>
  <w15:docId w15:val="{70DE9C12-BA50-40BB-9104-EBD75646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Narrow" w:eastAsia="Arial Narrow" w:hAnsi="Arial Narrow"/>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KSHeading">
    <w:name w:val="JKS Heading"/>
    <w:pPr>
      <w:spacing w:after="0" w:line="240" w:lineRule="auto"/>
    </w:pPr>
    <w:rPr>
      <w:rFonts w:ascii="Arial Narrow" w:eastAsia="Arial Narrow" w:hAnsi="Arial Narrow"/>
      <w:b/>
      <w:sz w:val="24"/>
    </w:rPr>
  </w:style>
  <w:style w:type="paragraph" w:customStyle="1" w:styleId="JKSSubheading">
    <w:name w:val="JKS Subheading"/>
    <w:pPr>
      <w:spacing w:after="0" w:line="240" w:lineRule="auto"/>
    </w:pPr>
    <w:rPr>
      <w:rFonts w:ascii="Arial Narrow" w:eastAsia="Arial Narrow" w:hAnsi="Arial Narrow"/>
      <w:b/>
      <w:i/>
      <w:sz w:val="24"/>
    </w:rPr>
  </w:style>
  <w:style w:type="paragraph" w:customStyle="1" w:styleId="JKSTitle">
    <w:name w:val="JKS Title"/>
    <w:pPr>
      <w:spacing w:after="0" w:line="240" w:lineRule="auto"/>
      <w:jc w:val="center"/>
    </w:pPr>
    <w:rPr>
      <w:rFonts w:ascii="Arial Narrow" w:eastAsia="Arial Narrow" w:hAnsi="Arial Narrow"/>
      <w:b/>
      <w:sz w:val="24"/>
    </w:rPr>
  </w:style>
  <w:style w:type="paragraph" w:customStyle="1" w:styleId="JKSAuthors">
    <w:name w:val="JKS Authors"/>
    <w:pPr>
      <w:spacing w:after="60" w:line="240" w:lineRule="auto"/>
      <w:jc w:val="center"/>
    </w:pPr>
    <w:rPr>
      <w:rFonts w:ascii="Arial Narrow" w:eastAsia="Arial Narrow" w:hAnsi="Arial Narrow"/>
      <w:b/>
      <w:sz w:val="24"/>
    </w:rPr>
  </w:style>
  <w:style w:type="paragraph" w:customStyle="1" w:styleId="JKSAffiliation">
    <w:name w:val="JKS Affiliation"/>
    <w:pPr>
      <w:spacing w:after="40" w:line="240" w:lineRule="auto"/>
      <w:jc w:val="center"/>
    </w:pPr>
    <w:rPr>
      <w:rFonts w:ascii="Arial Narrow" w:eastAsia="Arial Narrow" w:hAnsi="Arial Narrow"/>
      <w:sz w:val="24"/>
    </w:rPr>
  </w:style>
  <w:style w:type="paragraph" w:customStyle="1" w:styleId="JKSReference">
    <w:name w:val="JKS Reference"/>
    <w:pPr>
      <w:spacing w:after="60" w:line="240" w:lineRule="auto"/>
      <w:ind w:left="425" w:hanging="425"/>
    </w:pPr>
    <w:rPr>
      <w:rFonts w:ascii="Arial Narrow" w:eastAsia="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3480</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Changes In Loneliness Following Combined Laughter And Butterfly Hug Therapy Among Adolescents In Islamic Boarding Schools</dc:title>
  <dc:subject>Blinded manuscript for Jurnal Keperawatan Soedirman</dc:subject>
  <dc:creator/>
  <cp:keywords/>
  <dc:description>generated by python-docx</dc:description>
  <cp:lastModifiedBy>.</cp:lastModifiedBy>
  <cp:revision>6</cp:revision>
  <dcterms:created xsi:type="dcterms:W3CDTF">2013-12-23T23:15:00Z</dcterms:created>
  <dcterms:modified xsi:type="dcterms:W3CDTF">2026-10-01T03:18:00Z</dcterms:modified>
  <cp:category/>
</cp:coreProperties>
</file>