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2985B" w14:textId="2C746229" w:rsidR="00B02CF7" w:rsidRDefault="0033797A">
      <w:r w:rsidRPr="0033797A">
        <w:rPr>
          <w:b/>
          <w:bCs/>
        </w:rPr>
        <w:t>Comment 1:</w:t>
      </w:r>
      <w:r w:rsidRPr="0033797A">
        <w:t xml:space="preserve"> Measure particle numbers to report particle concentration (particles/mL) and calculate the particle-to-protein ratio.</w:t>
      </w:r>
    </w:p>
    <w:p w14:paraId="5B01FD94" w14:textId="5969E8CE" w:rsidR="0033797A" w:rsidRDefault="0033797A">
      <w:r>
        <w:t>Response:</w:t>
      </w:r>
    </w:p>
    <w:p w14:paraId="75180F63" w14:textId="24A02280" w:rsidR="0033797A" w:rsidRDefault="0033797A" w:rsidP="0033797A">
      <w:pPr>
        <w:jc w:val="both"/>
      </w:pPr>
      <w:r w:rsidRPr="0033797A">
        <w:t>We thank the Associate Editor for this valuable recommendation and agree that absolute particle concentration and particle-to-protein ratios would considerably strengthen the quantitative characterization of our preparations. Unfortunately, absolute single-particle quantification was not undertaken in the original study, and no residual material remains for nanoparticle tracking analysis, nano-flow cytometry, or any equivalent validated particle-counting method.</w:t>
      </w:r>
    </w:p>
    <w:p w14:paraId="1E353D1F" w14:textId="6C86CA5E" w:rsidR="0033797A" w:rsidRDefault="0033797A" w:rsidP="0033797A">
      <w:pPr>
        <w:jc w:val="both"/>
      </w:pPr>
      <w:r w:rsidRPr="0033797A">
        <w:t>The dynamic light scattering (DLS) data available to us yield intensity-weighted size distributions and instrument count-rate values. Neither can be rigorously converted into absolute particle concentrations (particles/mL). We therefore judged it methodologically unsound to derive or approximate particle-to-protein ratios from these data, as any such figure would lack validity.</w:t>
      </w:r>
    </w:p>
    <w:p w14:paraId="10D0557F" w14:textId="77777777" w:rsidR="0033797A" w:rsidRPr="0033797A" w:rsidRDefault="0033797A" w:rsidP="0033797A">
      <w:pPr>
        <w:jc w:val="both"/>
      </w:pPr>
      <w:r w:rsidRPr="0033797A">
        <w:t>In response to this comment, we have made the following revisions:</w:t>
      </w:r>
    </w:p>
    <w:p w14:paraId="236CA42F" w14:textId="77777777" w:rsidR="0033797A" w:rsidRPr="0033797A" w:rsidRDefault="0033797A" w:rsidP="0033797A">
      <w:pPr>
        <w:numPr>
          <w:ilvl w:val="0"/>
          <w:numId w:val="1"/>
        </w:numPr>
        <w:jc w:val="both"/>
      </w:pPr>
      <w:r w:rsidRPr="0033797A">
        <w:t>We now state explicitly that the reported final suspension volumes and total protein measurements do not reflect particle yield or particle concentration.</w:t>
      </w:r>
    </w:p>
    <w:p w14:paraId="19E357A6" w14:textId="77777777" w:rsidR="0033797A" w:rsidRPr="0033797A" w:rsidRDefault="0033797A" w:rsidP="0033797A">
      <w:pPr>
        <w:numPr>
          <w:ilvl w:val="0"/>
          <w:numId w:val="1"/>
        </w:numPr>
        <w:jc w:val="both"/>
      </w:pPr>
      <w:r w:rsidRPr="0033797A">
        <w:t>We have added the lack of absolute particle quantification and particle-to-protein analysis as a major limitation of the study.</w:t>
      </w:r>
    </w:p>
    <w:p w14:paraId="41A6341A" w14:textId="77777777" w:rsidR="0033797A" w:rsidRPr="0033797A" w:rsidRDefault="0033797A" w:rsidP="0033797A">
      <w:pPr>
        <w:numPr>
          <w:ilvl w:val="0"/>
          <w:numId w:val="1"/>
        </w:numPr>
        <w:jc w:val="both"/>
      </w:pPr>
      <w:r w:rsidRPr="0033797A">
        <w:t>We have moderated all statements concerning EV yield, enrichment, and purity to align with the evidence the data can actually support.</w:t>
      </w:r>
    </w:p>
    <w:p w14:paraId="16C5E98C" w14:textId="77777777" w:rsidR="0033797A" w:rsidRDefault="0033797A" w:rsidP="0033797A">
      <w:pPr>
        <w:jc w:val="both"/>
      </w:pPr>
      <w:r w:rsidRPr="0033797A">
        <w:rPr>
          <w:b/>
          <w:bCs/>
        </w:rPr>
        <w:t>Comment 2</w:t>
      </w:r>
      <w:r>
        <w:t xml:space="preserve">: </w:t>
      </w:r>
      <w:r w:rsidRPr="0033797A">
        <w:t>zeta-potential measurement under appropriate conductivity conditions</w:t>
      </w:r>
    </w:p>
    <w:p w14:paraId="18D96FDD" w14:textId="602AB0F3" w:rsidR="00216089" w:rsidRDefault="00216089" w:rsidP="0033797A">
      <w:pPr>
        <w:jc w:val="both"/>
      </w:pPr>
      <w:r>
        <w:t>Response:</w:t>
      </w:r>
    </w:p>
    <w:p w14:paraId="1036FE8F" w14:textId="77777777" w:rsidR="00216089" w:rsidRPr="00216089" w:rsidRDefault="00216089" w:rsidP="00216089">
      <w:pPr>
        <w:jc w:val="both"/>
      </w:pPr>
      <w:r w:rsidRPr="00216089">
        <w:t xml:space="preserve">We agree that re-measurement under controlled low-conductivity conditions would provide a more interpretable electrokinetic surface-potential measurement. Unfortunately, the original preparations have been exhausted and therefore cannot be re-tested. </w:t>
      </w:r>
    </w:p>
    <w:p w14:paraId="28D07058" w14:textId="77777777" w:rsidR="00216089" w:rsidRPr="00216089" w:rsidRDefault="00216089" w:rsidP="00216089">
      <w:pPr>
        <w:jc w:val="both"/>
      </w:pPr>
      <w:r w:rsidRPr="00216089">
        <w:t xml:space="preserve">To prevent overinterpretation of the available data, we have revised the manuscript throughout to refer to these measurements exclusively as </w:t>
      </w:r>
      <w:r w:rsidRPr="00216089">
        <w:rPr>
          <w:b/>
          <w:bCs/>
        </w:rPr>
        <w:t>apparent zeta potentials measured under high-conductivity conditions</w:t>
      </w:r>
      <w:r w:rsidRPr="00216089">
        <w:t>. We explicitly state that these values are affected by ionic screening and should not be interpreted as intrinsic vesicle surface charge or used for conclusions regarding colloidal stability.</w:t>
      </w:r>
    </w:p>
    <w:p w14:paraId="23D919AC" w14:textId="088C84E3" w:rsidR="00216089" w:rsidRPr="0033797A" w:rsidRDefault="00216089" w:rsidP="0033797A">
      <w:pPr>
        <w:jc w:val="both"/>
      </w:pPr>
      <w:r w:rsidRPr="00216089">
        <w:rPr>
          <w:b/>
          <w:bCs/>
        </w:rPr>
        <w:t>Comment 3</w:t>
      </w:r>
      <w:r>
        <w:t xml:space="preserve">: </w:t>
      </w:r>
      <w:r w:rsidRPr="00216089">
        <w:t>Fix flow cytometry</w:t>
      </w:r>
    </w:p>
    <w:p w14:paraId="1AA706BA" w14:textId="6B9F3E65" w:rsidR="0033797A" w:rsidRDefault="00216089" w:rsidP="0033797A">
      <w:pPr>
        <w:jc w:val="both"/>
      </w:pPr>
      <w:r>
        <w:t>Response:</w:t>
      </w:r>
    </w:p>
    <w:p w14:paraId="7822C0CA" w14:textId="77777777" w:rsidR="00216089" w:rsidRPr="00216089" w:rsidRDefault="00216089" w:rsidP="00216089">
      <w:pPr>
        <w:jc w:val="both"/>
      </w:pPr>
      <w:r w:rsidRPr="00216089">
        <w:rPr>
          <w:b/>
          <w:bCs/>
        </w:rPr>
        <w:t>Honey</w:t>
      </w:r>
    </w:p>
    <w:p w14:paraId="684AF912" w14:textId="6DC0189E" w:rsidR="00216089" w:rsidRDefault="00216089" w:rsidP="00216089">
      <w:pPr>
        <w:jc w:val="both"/>
      </w:pPr>
      <w:r w:rsidRPr="00216089">
        <w:t xml:space="preserve">We agree that a human </w:t>
      </w:r>
      <w:proofErr w:type="spellStart"/>
      <w:r w:rsidRPr="00216089">
        <w:t>tetraspanin</w:t>
      </w:r>
      <w:proofErr w:type="spellEnd"/>
      <w:r w:rsidRPr="00216089">
        <w:t xml:space="preserve">-based kit is not appropriate for establishing the identity of honey-derived vesicle-like nanoparticles. As no residual honey preparations remain for source-appropriate marker or membrane-dye testing, we have withdrawn the honey CD81 result from the principal evidence for vesicle identity and have substantially revised the corresponding Methods, Results, Discussion, Figure 4, and conclusions. The honey-derived material is now described conservatively as a vesicle-like nanoparticle preparation, supported chiefly by physicochemical and ultrastructural observations rather than by detection of human </w:t>
      </w:r>
      <w:proofErr w:type="spellStart"/>
      <w:r w:rsidRPr="00216089">
        <w:t>tetraspanins</w:t>
      </w:r>
      <w:proofErr w:type="spellEnd"/>
      <w:r w:rsidRPr="00216089">
        <w:t>.</w:t>
      </w:r>
      <w:r>
        <w:t xml:space="preserve"> </w:t>
      </w:r>
    </w:p>
    <w:p w14:paraId="0EA78CD3" w14:textId="77777777" w:rsidR="00216089" w:rsidRPr="00216089" w:rsidRDefault="00216089" w:rsidP="00216089">
      <w:pPr>
        <w:jc w:val="both"/>
      </w:pPr>
      <w:r w:rsidRPr="00216089">
        <w:rPr>
          <w:b/>
          <w:bCs/>
        </w:rPr>
        <w:lastRenderedPageBreak/>
        <w:t>Urine</w:t>
      </w:r>
    </w:p>
    <w:p w14:paraId="4CD23C37" w14:textId="77777777" w:rsidR="00216089" w:rsidRPr="00216089" w:rsidRDefault="00216089" w:rsidP="00216089">
      <w:pPr>
        <w:jc w:val="both"/>
      </w:pPr>
      <w:r w:rsidRPr="00216089">
        <w:t>We agree that assessing matrix-relevant non-EV proteins, such as albumin and uromodulin, would improve the characterization of the urinary EV-enriched preparation. These assays were not performed in the original study, and the urinary preparations are no longer available for further testing. We have therefore added this omission explicitly as a major limitation and removed any wording that implied high purity or definitive EV identity.</w:t>
      </w:r>
    </w:p>
    <w:p w14:paraId="49DB8E4D" w14:textId="5819BD8A" w:rsidR="00216089" w:rsidRDefault="00216089" w:rsidP="00216089">
      <w:pPr>
        <w:jc w:val="both"/>
      </w:pPr>
      <w:r w:rsidRPr="00216089">
        <w:rPr>
          <w:b/>
          <w:bCs/>
        </w:rPr>
        <w:t>Comment 4</w:t>
      </w:r>
      <w:r>
        <w:t xml:space="preserve">: </w:t>
      </w:r>
      <w:r w:rsidRPr="00216089">
        <w:t>Independent biological samples and simple in vitro testing</w:t>
      </w:r>
    </w:p>
    <w:p w14:paraId="6A3DD6CF" w14:textId="557FDD37" w:rsidR="00216089" w:rsidRDefault="00216089" w:rsidP="00216089">
      <w:pPr>
        <w:jc w:val="both"/>
      </w:pPr>
      <w:r>
        <w:t>Response:</w:t>
      </w:r>
    </w:p>
    <w:p w14:paraId="4D72836B" w14:textId="77777777" w:rsidR="00216089" w:rsidRPr="00216089" w:rsidRDefault="00216089" w:rsidP="00216089">
      <w:pPr>
        <w:jc w:val="both"/>
      </w:pPr>
      <w:r w:rsidRPr="00216089">
        <w:t>We fully agree that independent biological replicates and functional assays would substantially strengthen the biological and translational relevance of this study. However, the original biological material and the residual enriched preparations have been exhausted, and the funded experimental phase of the project has concluded. Additional donor-level preparations and in vitro uptake or cytotoxicity experiments therefore cannot be undertaken within the scope of the present study.</w:t>
      </w:r>
    </w:p>
    <w:p w14:paraId="3D288D7E" w14:textId="77777777" w:rsidR="00216089" w:rsidRPr="00216089" w:rsidRDefault="00216089" w:rsidP="00216089">
      <w:pPr>
        <w:jc w:val="both"/>
      </w:pPr>
      <w:r w:rsidRPr="00216089">
        <w:t>Accordingly, we have revised the manuscript to present the work explicitly as a descriptive characterization of the available preparations. Technical replicate measurements are no longer presented or interpreted as biological replication, and, where applicable, pooled measurements are clearly identified as such. We have also removed all inferential claims concerning inter-individual reproducibility, biological activity, cellular uptake, safety, and suitability for drug delivery.</w:t>
      </w:r>
    </w:p>
    <w:p w14:paraId="57C8EAA5" w14:textId="77777777" w:rsidR="00216089" w:rsidRPr="00216089" w:rsidRDefault="00216089" w:rsidP="00216089">
      <w:pPr>
        <w:jc w:val="both"/>
      </w:pPr>
      <w:r w:rsidRPr="00216089">
        <w:t>These limitations are now prominently stated in the Discussion and Conclusions, where independent biological replication and functional validation are framed as prerequisites for any future translational work.</w:t>
      </w:r>
    </w:p>
    <w:p w14:paraId="00B893CE" w14:textId="3CDF9DED" w:rsidR="00216089" w:rsidRDefault="00216089" w:rsidP="00216089">
      <w:pPr>
        <w:jc w:val="both"/>
        <w:rPr>
          <w:b/>
          <w:bCs/>
        </w:rPr>
      </w:pPr>
      <w:r w:rsidRPr="00216089">
        <w:rPr>
          <w:b/>
          <w:bCs/>
        </w:rPr>
        <w:t>Overall proposed claim /conclusion</w:t>
      </w:r>
    </w:p>
    <w:p w14:paraId="2CA1D2AA" w14:textId="4C510855" w:rsidR="00216089" w:rsidRPr="00216089" w:rsidRDefault="00216089" w:rsidP="00216089">
      <w:pPr>
        <w:jc w:val="both"/>
      </w:pPr>
      <w:r w:rsidRPr="00216089">
        <w:t>This exploratory study shows that ultracentrifugation-based workflows can yield urinary EV-enriched and honey-derived vesicle-like nanoparticle preparations that contain membrane-enclosed nanoscale structures. The two preparations differed in their physicochemical characteristics and protein profiles in a manner consistent with their respective source matrices. However, the lack of absolute particle quantification, extended positive and negative marker panels, independent biological replication, and functional assays precludes any conclusion about particle purity, biological activity, or suitability for therapeutic delivery. The findings are therefore best regarded as a descriptive physicochemical and ultrastructural baseline to inform future studies using quantitatively characterized, independently prepared material.</w:t>
      </w:r>
    </w:p>
    <w:p w14:paraId="772655C3" w14:textId="77777777" w:rsidR="00216089" w:rsidRDefault="00216089" w:rsidP="0033797A">
      <w:pPr>
        <w:jc w:val="both"/>
      </w:pPr>
    </w:p>
    <w:sectPr w:rsidR="002160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307B8"/>
    <w:multiLevelType w:val="multilevel"/>
    <w:tmpl w:val="A736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8775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97A"/>
    <w:rsid w:val="001F40A1"/>
    <w:rsid w:val="00216089"/>
    <w:rsid w:val="0033797A"/>
    <w:rsid w:val="0038584E"/>
    <w:rsid w:val="00402405"/>
    <w:rsid w:val="00B02CF7"/>
    <w:rsid w:val="00B3280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F30E9"/>
  <w15:chartTrackingRefBased/>
  <w15:docId w15:val="{0F1D261C-F159-4146-BE62-E71597B31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9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9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9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9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9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9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9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9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9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9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9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9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9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9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9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9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9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97A"/>
    <w:rPr>
      <w:rFonts w:eastAsiaTheme="majorEastAsia" w:cstheme="majorBidi"/>
      <w:color w:val="272727" w:themeColor="text1" w:themeTint="D8"/>
    </w:rPr>
  </w:style>
  <w:style w:type="paragraph" w:styleId="Title">
    <w:name w:val="Title"/>
    <w:basedOn w:val="Normal"/>
    <w:next w:val="Normal"/>
    <w:link w:val="TitleChar"/>
    <w:uiPriority w:val="10"/>
    <w:qFormat/>
    <w:rsid w:val="003379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9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9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9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97A"/>
    <w:pPr>
      <w:spacing w:before="160"/>
      <w:jc w:val="center"/>
    </w:pPr>
    <w:rPr>
      <w:i/>
      <w:iCs/>
      <w:color w:val="404040" w:themeColor="text1" w:themeTint="BF"/>
    </w:rPr>
  </w:style>
  <w:style w:type="character" w:customStyle="1" w:styleId="QuoteChar">
    <w:name w:val="Quote Char"/>
    <w:basedOn w:val="DefaultParagraphFont"/>
    <w:link w:val="Quote"/>
    <w:uiPriority w:val="29"/>
    <w:rsid w:val="0033797A"/>
    <w:rPr>
      <w:i/>
      <w:iCs/>
      <w:color w:val="404040" w:themeColor="text1" w:themeTint="BF"/>
    </w:rPr>
  </w:style>
  <w:style w:type="paragraph" w:styleId="ListParagraph">
    <w:name w:val="List Paragraph"/>
    <w:basedOn w:val="Normal"/>
    <w:uiPriority w:val="34"/>
    <w:qFormat/>
    <w:rsid w:val="0033797A"/>
    <w:pPr>
      <w:ind w:left="720"/>
      <w:contextualSpacing/>
    </w:pPr>
  </w:style>
  <w:style w:type="character" w:styleId="IntenseEmphasis">
    <w:name w:val="Intense Emphasis"/>
    <w:basedOn w:val="DefaultParagraphFont"/>
    <w:uiPriority w:val="21"/>
    <w:qFormat/>
    <w:rsid w:val="0033797A"/>
    <w:rPr>
      <w:i/>
      <w:iCs/>
      <w:color w:val="2F5496" w:themeColor="accent1" w:themeShade="BF"/>
    </w:rPr>
  </w:style>
  <w:style w:type="paragraph" w:styleId="IntenseQuote">
    <w:name w:val="Intense Quote"/>
    <w:basedOn w:val="Normal"/>
    <w:next w:val="Normal"/>
    <w:link w:val="IntenseQuoteChar"/>
    <w:uiPriority w:val="30"/>
    <w:qFormat/>
    <w:rsid w:val="003379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97A"/>
    <w:rPr>
      <w:i/>
      <w:iCs/>
      <w:color w:val="2F5496" w:themeColor="accent1" w:themeShade="BF"/>
    </w:rPr>
  </w:style>
  <w:style w:type="character" w:styleId="IntenseReference">
    <w:name w:val="Intense Reference"/>
    <w:basedOn w:val="DefaultParagraphFont"/>
    <w:uiPriority w:val="32"/>
    <w:qFormat/>
    <w:rsid w:val="0033797A"/>
    <w:rPr>
      <w:b/>
      <w:bCs/>
      <w:smallCaps/>
      <w:color w:val="2F5496" w:themeColor="accent1" w:themeShade="BF"/>
      <w:spacing w:val="5"/>
    </w:rPr>
  </w:style>
  <w:style w:type="paragraph" w:styleId="NormalWeb">
    <w:name w:val="Normal (Web)"/>
    <w:basedOn w:val="Normal"/>
    <w:uiPriority w:val="99"/>
    <w:semiHidden/>
    <w:unhideWhenUsed/>
    <w:rsid w:val="0033797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818</Words>
  <Characters>4666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 Lim</dc:creator>
  <cp:keywords/>
  <dc:description/>
  <cp:lastModifiedBy>Agus Lim</cp:lastModifiedBy>
  <cp:revision>1</cp:revision>
  <dcterms:created xsi:type="dcterms:W3CDTF">2026-10-05T08:13:00Z</dcterms:created>
  <dcterms:modified xsi:type="dcterms:W3CDTF">2026-10-05T08:32:00Z</dcterms:modified>
</cp:coreProperties>
</file>