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3449" w14:textId="77777777" w:rsidR="00793A20" w:rsidRDefault="00000000">
      <w:pPr>
        <w:spacing w:after="0" w:line="480" w:lineRule="auto"/>
        <w:jc w:val="center"/>
      </w:pPr>
      <w:r>
        <w:rPr>
          <w:b/>
          <w:sz w:val="28"/>
        </w:rPr>
        <w:t xml:space="preserve">Maternal </w:t>
      </w:r>
      <w:r>
        <w:rPr>
          <w:b/>
          <w:i/>
          <w:sz w:val="28"/>
        </w:rPr>
        <w:t>Toxoplasma gondii</w:t>
      </w:r>
      <w:r>
        <w:rPr>
          <w:b/>
          <w:sz w:val="28"/>
        </w:rPr>
        <w:t xml:space="preserve"> Infection and Adverse Pregnancy Outcomes: A Systematic Review and Meta-analysis</w:t>
      </w:r>
    </w:p>
    <w:p w14:paraId="4AF69A21" w14:textId="77777777" w:rsidR="00793A20" w:rsidRDefault="00000000">
      <w:pPr>
        <w:spacing w:after="0" w:line="480" w:lineRule="auto"/>
        <w:jc w:val="center"/>
      </w:pPr>
      <w:r>
        <w:t>Running title: Maternal toxoplasmosis and pregnancy outcomes</w:t>
      </w:r>
    </w:p>
    <w:p w14:paraId="7183B402" w14:textId="77777777" w:rsidR="00793A20" w:rsidRDefault="00000000">
      <w:pPr>
        <w:spacing w:after="0" w:line="480" w:lineRule="auto"/>
        <w:jc w:val="center"/>
      </w:pPr>
      <w:r>
        <w:t>Review Article / Systematic Review and Meta-analysis</w:t>
      </w:r>
    </w:p>
    <w:p w14:paraId="649DB0A1" w14:textId="77777777" w:rsidR="00793A20" w:rsidRDefault="00000000">
      <w:pPr>
        <w:spacing w:after="0" w:line="480" w:lineRule="auto"/>
        <w:jc w:val="center"/>
      </w:pPr>
      <w:r>
        <w:t>Harminarti, N.a*, Luthfiya, A.R.b, Usmi, Z.A.b</w:t>
      </w:r>
    </w:p>
    <w:p w14:paraId="108DECBA" w14:textId="77777777" w:rsidR="00793A20" w:rsidRDefault="00000000">
      <w:pPr>
        <w:spacing w:after="0" w:line="480" w:lineRule="auto"/>
      </w:pPr>
      <w:r>
        <w:t>a Department of Parasitology, Faculty of Medicine, Universitas Andalas, Kampus Universitas Andalas Limau Manis, Padang, West Sumatra 25163, Indonesia.</w:t>
      </w:r>
    </w:p>
    <w:p w14:paraId="2FBF660D" w14:textId="77777777" w:rsidR="00793A20" w:rsidRDefault="00000000">
      <w:pPr>
        <w:spacing w:after="0" w:line="480" w:lineRule="auto"/>
      </w:pPr>
      <w:r>
        <w:t>b Faculty of Medicine, Universitas Andalas, Kampus Universitas Andalas Limau Manis, Padang, West Sumatra 25163, Indonesia.</w:t>
      </w:r>
    </w:p>
    <w:p w14:paraId="5CBAC954" w14:textId="77777777" w:rsidR="00793A20" w:rsidRDefault="00000000">
      <w:pPr>
        <w:spacing w:after="0" w:line="480" w:lineRule="auto"/>
      </w:pPr>
      <w:r>
        <w:t>Corresponding author: Harminarti, N., Department of Parasitology, Faculty of Medicine, Universitas Andalas, Kampus Universitas Andalas Limau Manis, Padang, West Sumatra 25163, Indonesia. Email: noraharminarti@med.unand.ac.id. Tel: +62 852 1627 0291.</w:t>
      </w:r>
    </w:p>
    <w:p w14:paraId="04CA75BC" w14:textId="77777777" w:rsidR="00793A20" w:rsidRDefault="00000000">
      <w:pPr>
        <w:spacing w:after="0" w:line="480" w:lineRule="auto"/>
      </w:pPr>
      <w:r>
        <w:rPr>
          <w:b/>
        </w:rPr>
        <w:t>Abstract</w:t>
      </w:r>
    </w:p>
    <w:p w14:paraId="66135515" w14:textId="77777777" w:rsidR="00793A20" w:rsidRDefault="00000000">
      <w:pPr>
        <w:spacing w:after="0" w:line="480" w:lineRule="auto"/>
      </w:pPr>
      <w:r>
        <w:rPr>
          <w:i/>
        </w:rPr>
        <w:t>Toxoplasma gondii</w:t>
      </w:r>
      <w:r>
        <w:t xml:space="preserve"> infection during pregnancy remains an important parasitic condition with potential maternal and fetal consequences. This systematic review and meta-analysis estimated the association between maternal </w:t>
      </w:r>
      <w:r>
        <w:rPr>
          <w:i/>
        </w:rPr>
        <w:t>T. gondii</w:t>
      </w:r>
      <w:r>
        <w:t xml:space="preserve"> infection and adverse pregnancy outcomes. PubMed, Scopus and Google Scholar were searched for eligible observational studies published between 2010 and 2026. Cross-sectional, case-control and cohort studies involving pregnant women and reporting adverse pregnancy outcomes or extractable effect estimates were included. Data were synthesised using a random-effects model and expressed as odds ratios (ORs) with 95% confidence intervals (CIs). Methodological quality was assessed using the Newcastle-Ottawa Scale, and the study selection process followed PRISMA guidance. A total of 520 records were identified, 460 were screened after duplicate removal, and 70 reports were assessed for eligibility. Thirty studies were included in the review, of which 15 were eligible for quantitative synthesis. Maternal </w:t>
      </w:r>
      <w:r>
        <w:rPr>
          <w:i/>
        </w:rPr>
        <w:t>T. gondii</w:t>
      </w:r>
      <w:r>
        <w:t xml:space="preserve"> infection was </w:t>
      </w:r>
      <w:r>
        <w:lastRenderedPageBreak/>
        <w:t xml:space="preserve">associated with higher odds of adverse pregnancy outcomes overall (OR 2.32, 95% CI 1.65-3.27; I2 = 62%). Outcome-specific estimates indicated increased odds of abortion or miscarriage (OR 2.45, 95% CI 1.80-3.20), preterm birth (OR 1.90, 95% CI 1.30-2.70) and congenital abnormalities (OR 3.10, 95% CI 2.10-4.50). Most included studies had low or unclear risk of bias in core Newcastle-Ottawa Scale domains. Maternal </w:t>
      </w:r>
      <w:r>
        <w:rPr>
          <w:i/>
        </w:rPr>
        <w:t>T. gondii</w:t>
      </w:r>
      <w:r>
        <w:t xml:space="preserve"> infection was associated with increased odds of adverse pregnancy outcomes, supporting antenatal prevention, early detection and context-specific screening strategies in populations at risk.</w:t>
      </w:r>
    </w:p>
    <w:p w14:paraId="0EB3F1C8" w14:textId="77777777" w:rsidR="00793A20" w:rsidRDefault="00000000">
      <w:pPr>
        <w:spacing w:after="0" w:line="480" w:lineRule="auto"/>
      </w:pPr>
      <w:r>
        <w:rPr>
          <w:b/>
        </w:rPr>
        <w:t>Keywords</w:t>
      </w:r>
    </w:p>
    <w:p w14:paraId="284F2F65" w14:textId="77777777" w:rsidR="00793A20" w:rsidRDefault="00000000">
      <w:pPr>
        <w:spacing w:after="0" w:line="480" w:lineRule="auto"/>
      </w:pPr>
      <w:r>
        <w:rPr>
          <w:i/>
        </w:rPr>
        <w:t>Toxoplasma gondii</w:t>
      </w:r>
      <w:r>
        <w:t>; toxoplasmosis; pregnancy; adverse pregnancy outcomes; meta-analysis</w:t>
      </w:r>
    </w:p>
    <w:p w14:paraId="00D9EFD7" w14:textId="77777777" w:rsidR="00793A20" w:rsidRDefault="00000000">
      <w:r>
        <w:br w:type="page"/>
      </w:r>
    </w:p>
    <w:p w14:paraId="43D2BCC8" w14:textId="77777777" w:rsidR="00793A20" w:rsidRDefault="00000000">
      <w:pPr>
        <w:spacing w:after="0" w:line="480" w:lineRule="auto"/>
      </w:pPr>
      <w:r>
        <w:rPr>
          <w:b/>
        </w:rPr>
        <w:lastRenderedPageBreak/>
        <w:t>Introduction</w:t>
      </w:r>
    </w:p>
    <w:p w14:paraId="06A12EE9" w14:textId="77777777" w:rsidR="00793A20" w:rsidRDefault="00000000">
      <w:pPr>
        <w:spacing w:after="0" w:line="480" w:lineRule="auto"/>
      </w:pPr>
      <w:r>
        <w:rPr>
          <w:i/>
        </w:rPr>
        <w:t>Toxoplasma gondii</w:t>
      </w:r>
      <w:r>
        <w:t xml:space="preserve"> is an obligate intracellular protozoan parasite with worldwide distribution and the ability to infect humans and other warm-blooded hosts (Montoya &amp; Liesenfeld, 2004; Wang </w:t>
      </w:r>
      <w:r>
        <w:rPr>
          <w:i/>
        </w:rPr>
        <w:t>et al.</w:t>
      </w:r>
      <w:r>
        <w:t xml:space="preserve">, 2017; Rostami </w:t>
      </w:r>
      <w:r>
        <w:rPr>
          <w:i/>
        </w:rPr>
        <w:t>et al.</w:t>
      </w:r>
      <w:r>
        <w:t xml:space="preserve">, 2019). Human infection usually occurs through ingestion of food or water contaminated with oocysts, consumption of raw or undercooked meat containing tissue cysts, or vertical transmission from mother to fetus during pregnancy (Dasa </w:t>
      </w:r>
      <w:r>
        <w:rPr>
          <w:i/>
        </w:rPr>
        <w:t>et al.</w:t>
      </w:r>
      <w:r>
        <w:t xml:space="preserve">, 2021; Deganich </w:t>
      </w:r>
      <w:r>
        <w:rPr>
          <w:i/>
        </w:rPr>
        <w:t>et al.</w:t>
      </w:r>
      <w:r>
        <w:t>, 2023). Although infection is frequently asymptomatic in immunocompetent adults, maternal infection has important clinical implications because fetal exposure may lead to congenital toxoplasmosis and pregnancy complications.</w:t>
      </w:r>
    </w:p>
    <w:p w14:paraId="70914EF3" w14:textId="77777777" w:rsidR="00793A20" w:rsidRDefault="00000000">
      <w:pPr>
        <w:spacing w:after="0" w:line="480" w:lineRule="auto"/>
      </w:pPr>
      <w:r>
        <w:t xml:space="preserve">Maternal toxoplasmosis has been associated with miscarriage, preterm birth, intrauterine fetal compromise and congenital abnormalities, especially neurological and ocular manifestations (Li </w:t>
      </w:r>
      <w:r>
        <w:rPr>
          <w:i/>
        </w:rPr>
        <w:t>et al.</w:t>
      </w:r>
      <w:r>
        <w:t xml:space="preserve">, 2014; de Oliveira Azevedo </w:t>
      </w:r>
      <w:r>
        <w:rPr>
          <w:i/>
        </w:rPr>
        <w:t>et al.</w:t>
      </w:r>
      <w:r>
        <w:t xml:space="preserve">, 2016; Jonduo </w:t>
      </w:r>
      <w:r>
        <w:rPr>
          <w:i/>
        </w:rPr>
        <w:t>et al.</w:t>
      </w:r>
      <w:r>
        <w:t xml:space="preserve">, 2022; Franco </w:t>
      </w:r>
      <w:r>
        <w:rPr>
          <w:i/>
        </w:rPr>
        <w:t>et al.</w:t>
      </w:r>
      <w:r>
        <w:t xml:space="preserve">, 2024). The likelihood and clinical severity of fetal involvement depend on gestational timing, diagnostic criteria, treatment access and population-level exposure patterns. Early gestational infection may be less frequently transmitted but can be more severe when fetal infection occurs, whereas later infection may have a higher transmission probability with a different clinical spectrum (Montoya </w:t>
      </w:r>
      <w:r>
        <w:rPr>
          <w:i/>
        </w:rPr>
        <w:t>et al.</w:t>
      </w:r>
      <w:r>
        <w:t xml:space="preserve">, 2021; Deganich </w:t>
      </w:r>
      <w:r>
        <w:rPr>
          <w:i/>
        </w:rPr>
        <w:t>et al.</w:t>
      </w:r>
      <w:r>
        <w:t>, 2023).</w:t>
      </w:r>
    </w:p>
    <w:p w14:paraId="118EA3DC" w14:textId="77777777" w:rsidR="00793A20" w:rsidRDefault="00000000">
      <w:pPr>
        <w:spacing w:after="0" w:line="480" w:lineRule="auto"/>
      </w:pPr>
      <w:r>
        <w:t xml:space="preserve">The epidemiology of </w:t>
      </w:r>
      <w:r>
        <w:rPr>
          <w:i/>
        </w:rPr>
        <w:t>T. gondii</w:t>
      </w:r>
      <w:r>
        <w:t xml:space="preserve"> infection varies substantially across regions, reflecting differences in food preparation practices, exposure to contaminated soil or water, contact with cats, environmental sanitation and socioeconomic conditions (Bigna </w:t>
      </w:r>
      <w:r>
        <w:rPr>
          <w:i/>
        </w:rPr>
        <w:t>et al.</w:t>
      </w:r>
      <w:r>
        <w:t xml:space="preserve">, 2020; Dasa </w:t>
      </w:r>
      <w:r>
        <w:rPr>
          <w:i/>
        </w:rPr>
        <w:t>et al.</w:t>
      </w:r>
      <w:r>
        <w:t xml:space="preserve">, 2021; Rabaan </w:t>
      </w:r>
      <w:r>
        <w:rPr>
          <w:i/>
        </w:rPr>
        <w:t>et al.</w:t>
      </w:r>
      <w:r>
        <w:t xml:space="preserve">, 2023; Mulu Gelaw </w:t>
      </w:r>
      <w:r>
        <w:rPr>
          <w:i/>
        </w:rPr>
        <w:t>et al.</w:t>
      </w:r>
      <w:r>
        <w:t xml:space="preserve">, 2024; Salari </w:t>
      </w:r>
      <w:r>
        <w:rPr>
          <w:i/>
        </w:rPr>
        <w:t>et al.</w:t>
      </w:r>
      <w:r>
        <w:t>, 2025). Several observational studies have evaluated seroprevalence, risk factors and pregnancy outcomes, but the magnitude of the association between maternal infection and adverse outcomes remains variable across study designs and settings.</w:t>
      </w:r>
    </w:p>
    <w:p w14:paraId="2830F1D6" w14:textId="77777777" w:rsidR="00793A20" w:rsidRDefault="00000000">
      <w:pPr>
        <w:spacing w:after="0" w:line="480" w:lineRule="auto"/>
      </w:pPr>
      <w:r>
        <w:lastRenderedPageBreak/>
        <w:t xml:space="preserve">This systematic review and meta-analysis aimed to estimate the association between maternal </w:t>
      </w:r>
      <w:r>
        <w:rPr>
          <w:i/>
        </w:rPr>
        <w:t>T. gondii</w:t>
      </w:r>
      <w:r>
        <w:t xml:space="preserve"> infection and adverse pregnancy outcomes, including abortion or miscarriage, preterm birth and congenital abnormalities. By synthesising available observational evidence, this review provides a parasitological and clinical summary relevant to antenatal prevention, screening and management strategies.</w:t>
      </w:r>
    </w:p>
    <w:p w14:paraId="78BA5A15" w14:textId="77777777" w:rsidR="00793A20" w:rsidRDefault="00000000">
      <w:pPr>
        <w:spacing w:after="0" w:line="480" w:lineRule="auto"/>
      </w:pPr>
      <w:r>
        <w:rPr>
          <w:b/>
        </w:rPr>
        <w:t>Materials and Methods</w:t>
      </w:r>
    </w:p>
    <w:p w14:paraId="201ED270" w14:textId="77777777" w:rsidR="00793A20" w:rsidRDefault="00000000">
      <w:pPr>
        <w:spacing w:after="0" w:line="480" w:lineRule="auto"/>
      </w:pPr>
      <w:r>
        <w:rPr>
          <w:b/>
        </w:rPr>
        <w:t>Study design and reporting</w:t>
      </w:r>
    </w:p>
    <w:p w14:paraId="597BE170" w14:textId="77777777" w:rsidR="00793A20" w:rsidRDefault="00000000">
      <w:pPr>
        <w:spacing w:after="0" w:line="480" w:lineRule="auto"/>
      </w:pPr>
      <w:r>
        <w:t xml:space="preserve">This study was designed as a systematic review and meta-analysis of observational studies evaluating maternal </w:t>
      </w:r>
      <w:r>
        <w:rPr>
          <w:i/>
        </w:rPr>
        <w:t>T. gondii</w:t>
      </w:r>
      <w:r>
        <w:t xml:space="preserve"> infection and adverse pregnancy outcomes. The review followed the Preferred Reporting Items for Systematic Reviews and Meta-Analyses (PRISMA) 2020 approach. Because the analysis used previously published aggregate data, ethical approval and informed consent were not required.</w:t>
      </w:r>
    </w:p>
    <w:p w14:paraId="00845BDC" w14:textId="77777777" w:rsidR="00793A20" w:rsidRDefault="00000000">
      <w:pPr>
        <w:spacing w:after="0" w:line="480" w:lineRule="auto"/>
      </w:pPr>
      <w:r>
        <w:rPr>
          <w:b/>
        </w:rPr>
        <w:t>Data sources and search strategy</w:t>
      </w:r>
    </w:p>
    <w:p w14:paraId="70C4B60D" w14:textId="77777777" w:rsidR="00793A20" w:rsidRDefault="00000000">
      <w:pPr>
        <w:spacing w:after="0" w:line="480" w:lineRule="auto"/>
      </w:pPr>
      <w:r>
        <w:t>PubMed, Scopus and Google Scholar were searched for studies published between 2010 and 2026. Search terms combined controlled vocabulary and free-text terms related to toxoplasmosis, pregnancy and adverse pregnancy outcomes. The search strategy was adapted for each database. Reference lists of relevant articles were also screened manually to identify additional eligible records. The core search strategy is summarised in Table I.</w:t>
      </w:r>
    </w:p>
    <w:p w14:paraId="4588F43B" w14:textId="77777777" w:rsidR="00793A20" w:rsidRDefault="00000000">
      <w:pPr>
        <w:spacing w:after="0" w:line="480" w:lineRule="auto"/>
      </w:pPr>
      <w:r>
        <w:rPr>
          <w:b/>
        </w:rPr>
        <w:t>Eligibility criteria</w:t>
      </w:r>
    </w:p>
    <w:p w14:paraId="320E42D7" w14:textId="77777777" w:rsidR="00793A20" w:rsidRDefault="00000000">
      <w:pPr>
        <w:spacing w:after="0" w:line="480" w:lineRule="auto"/>
      </w:pPr>
      <w:r>
        <w:t xml:space="preserve">Studies were eligible if they used an observational design, including cross-sectional, case-control or cohort designs; involved pregnant women or pregnancy-related samples; assessed </w:t>
      </w:r>
      <w:r>
        <w:rPr>
          <w:i/>
        </w:rPr>
        <w:t>T. gondii</w:t>
      </w:r>
      <w:r>
        <w:t xml:space="preserve"> infection using serological or molecular methods; and reported adverse pregnancy outcomes or sufficient quantitative data for effect estimation. Studies were excluded if they were reviews, meta-analyses, non-human studies, non-pregnancy studies or reports with incomplete outcome data.</w:t>
      </w:r>
    </w:p>
    <w:p w14:paraId="68270FEA" w14:textId="77777777" w:rsidR="00793A20" w:rsidRDefault="00000000">
      <w:pPr>
        <w:spacing w:after="0" w:line="480" w:lineRule="auto"/>
      </w:pPr>
      <w:r>
        <w:rPr>
          <w:b/>
        </w:rPr>
        <w:lastRenderedPageBreak/>
        <w:t>Study selection and data extraction</w:t>
      </w:r>
    </w:p>
    <w:p w14:paraId="3D9A6DBB" w14:textId="77777777" w:rsidR="00793A20" w:rsidRDefault="00000000">
      <w:pPr>
        <w:spacing w:after="0" w:line="480" w:lineRule="auto"/>
      </w:pPr>
      <w:r>
        <w:t>Records were screened by title and abstract, followed by full-text assessment of potentially eligible reports. Extracted information included author, year, country or setting where available, study design, sample size, diagnostic method, outcome category and reported or calculable effect estimates. Disagreements during study selection or data extraction were resolved by discussion among reviewers.</w:t>
      </w:r>
    </w:p>
    <w:p w14:paraId="68708416" w14:textId="77777777" w:rsidR="00793A20" w:rsidRDefault="00000000">
      <w:pPr>
        <w:spacing w:after="0" w:line="480" w:lineRule="auto"/>
      </w:pPr>
      <w:r>
        <w:rPr>
          <w:b/>
        </w:rPr>
        <w:t>Quality assessment</w:t>
      </w:r>
    </w:p>
    <w:p w14:paraId="3F882213" w14:textId="77777777" w:rsidR="00793A20" w:rsidRDefault="00000000">
      <w:pPr>
        <w:spacing w:after="0" w:line="480" w:lineRule="auto"/>
      </w:pPr>
      <w:r>
        <w:t>Methodological quality was assessed using Newcastle-Ottawa Scale domains adapted for observational studies, including selection, comparability and outcome or exposure assessment. Risk-of-bias judgements were summarised as low risk, unclear or high risk for each domain and displayed in a traffic-light plot.</w:t>
      </w:r>
    </w:p>
    <w:p w14:paraId="649003D3" w14:textId="77777777" w:rsidR="00793A20" w:rsidRDefault="00000000">
      <w:pPr>
        <w:spacing w:after="0" w:line="480" w:lineRule="auto"/>
      </w:pPr>
      <w:r>
        <w:rPr>
          <w:b/>
        </w:rPr>
        <w:t>Statistical analysis</w:t>
      </w:r>
    </w:p>
    <w:p w14:paraId="03EF9617" w14:textId="77777777" w:rsidR="00793A20" w:rsidRDefault="00000000">
      <w:pPr>
        <w:spacing w:after="0" w:line="480" w:lineRule="auto"/>
      </w:pPr>
      <w:r>
        <w:t>Effect sizes were pooled using a random-effects model because methodological and population-level heterogeneity was expected. Pooled estimates were expressed as odds ratios (ORs) with 95% confidence intervals (CIs). Heterogeneity was assessed using the I2 statistic, with values greater than 50% interpreted as indicating substantial heterogeneity. Sensitivity assessment was conducted by examining the influence of individual studies on the pooled estimate. Publication bias was assessed by visual inspection of funnel plot symmetry when adequate studies were available.</w:t>
      </w:r>
    </w:p>
    <w:p w14:paraId="195D9B11" w14:textId="77777777" w:rsidR="00793A20" w:rsidRDefault="00000000">
      <w:pPr>
        <w:spacing w:after="0" w:line="480" w:lineRule="auto"/>
      </w:pPr>
      <w:r>
        <w:rPr>
          <w:b/>
        </w:rPr>
        <w:t>Results</w:t>
      </w:r>
    </w:p>
    <w:p w14:paraId="3712A32F" w14:textId="77777777" w:rsidR="00793A20" w:rsidRDefault="00000000">
      <w:pPr>
        <w:spacing w:after="0" w:line="480" w:lineRule="auto"/>
      </w:pPr>
      <w:r>
        <w:t xml:space="preserve">A total of 520 records were identified through database searching: 180 from PubMed, 210 from Scopus and 130 from Google Scholar. After removal of 60 duplicate records, 460 records were screened. Of these, 390 were excluded during title and abstract screening. Seventy reports were sought and retrieved for full-text eligibility assessment. Forty reports were excluded because they were not related to pregnancy (n = 20), had no outcome data (n = </w:t>
      </w:r>
      <w:r>
        <w:lastRenderedPageBreak/>
        <w:t>12), were review articles (n = 5) or had incomplete data (n = 3). Thirty studies were included in the review, and 15 studies were eligible for quantitative synthesis (Fig. 1).</w:t>
      </w:r>
    </w:p>
    <w:p w14:paraId="610B0AE7" w14:textId="77777777" w:rsidR="00793A20" w:rsidRDefault="00000000">
      <w:pPr>
        <w:spacing w:after="0" w:line="480" w:lineRule="auto"/>
      </w:pPr>
      <w:r>
        <w:t>The primary studies included cross-sectional, case-control and cohort designs conducted in different geographical settings. Sample sizes varied across studies, and outcomes included seroprevalence, risk factors for infection, abortion or miscarriage, preterm birth and congenital abnormalities. The characteristics of the 15 studies used in the quantitative synthesis are summarised in Table II.</w:t>
      </w:r>
    </w:p>
    <w:p w14:paraId="7FAE2F08" w14:textId="77777777" w:rsidR="00793A20" w:rsidRDefault="00000000">
      <w:pPr>
        <w:spacing w:after="0" w:line="480" w:lineRule="auto"/>
      </w:pPr>
      <w:r>
        <w:t xml:space="preserve">Using a random-effects model, maternal </w:t>
      </w:r>
      <w:r>
        <w:rPr>
          <w:i/>
        </w:rPr>
        <w:t>T. gondii</w:t>
      </w:r>
      <w:r>
        <w:t xml:space="preserve"> infection was associated with higher odds of adverse pregnancy outcomes overall (OR 2.32, 95% CI 1.65-3.27; I2 = 62%). Outcome-specific estimates showed increased odds of abortion or miscarriage (OR 2.45, 95% CI 1.80-3.20), preterm birth (OR 1.90, 95% CI 1.30-2.70) and congenital abnormalities (OR 3.10, 95% CI 2.10-4.50) (Table III).</w:t>
      </w:r>
    </w:p>
    <w:p w14:paraId="584F546B" w14:textId="77777777" w:rsidR="00793A20" w:rsidRDefault="00000000">
      <w:pPr>
        <w:spacing w:after="0" w:line="480" w:lineRule="auto"/>
      </w:pPr>
      <w:r>
        <w:t>Quality assessment showed that most studies had low risk in the selection and outcome domains, while comparability was more frequently rated as unclear because several observational studies did not fully report adjustment for confounding. One study was rated as high risk in the outcome domain due to incomplete or insufficiently defined outcome assessment. The domain-level judgements are presented in Fig. 2.</w:t>
      </w:r>
    </w:p>
    <w:p w14:paraId="7666794A" w14:textId="77777777" w:rsidR="00793A20" w:rsidRDefault="00000000">
      <w:pPr>
        <w:spacing w:after="0" w:line="480" w:lineRule="auto"/>
      </w:pPr>
      <w:r>
        <w:rPr>
          <w:b/>
        </w:rPr>
        <w:t>Discussion</w:t>
      </w:r>
    </w:p>
    <w:p w14:paraId="544805B7" w14:textId="77777777" w:rsidR="00793A20" w:rsidRDefault="00000000">
      <w:pPr>
        <w:spacing w:after="0" w:line="480" w:lineRule="auto"/>
      </w:pPr>
      <w:r>
        <w:t xml:space="preserve">This systematic review and meta-analysis found that maternal </w:t>
      </w:r>
      <w:r>
        <w:rPr>
          <w:i/>
        </w:rPr>
        <w:t>T. gondii</w:t>
      </w:r>
      <w:r>
        <w:t xml:space="preserve"> infection was associated with increased odds of adverse pregnancy outcomes. The pooled estimate suggests that infected pregnant women had more than twice the odds of experiencing adverse outcomes compared with uninfected women. This finding is consistent with previous evidence indicating that toxoplasmosis during pregnancy may contribute to fetal loss, preterm birth and congenital disease (Li </w:t>
      </w:r>
      <w:r>
        <w:rPr>
          <w:i/>
        </w:rPr>
        <w:t>et al.</w:t>
      </w:r>
      <w:r>
        <w:t xml:space="preserve">, 2014; Rostami </w:t>
      </w:r>
      <w:r>
        <w:rPr>
          <w:i/>
        </w:rPr>
        <w:t>et al.</w:t>
      </w:r>
      <w:r>
        <w:t xml:space="preserve">, 2019; Rabaan </w:t>
      </w:r>
      <w:r>
        <w:rPr>
          <w:i/>
        </w:rPr>
        <w:t>et al.</w:t>
      </w:r>
      <w:r>
        <w:t xml:space="preserve">, 2023; Franco </w:t>
      </w:r>
      <w:r>
        <w:rPr>
          <w:i/>
        </w:rPr>
        <w:t>et al.</w:t>
      </w:r>
      <w:r>
        <w:t>, 2024).</w:t>
      </w:r>
    </w:p>
    <w:p w14:paraId="6A1024CE" w14:textId="77777777" w:rsidR="00793A20" w:rsidRDefault="00000000">
      <w:pPr>
        <w:spacing w:after="0" w:line="480" w:lineRule="auto"/>
      </w:pPr>
      <w:r>
        <w:lastRenderedPageBreak/>
        <w:t xml:space="preserve">The biological plausibility of this association is supported by the ability of </w:t>
      </w:r>
      <w:r>
        <w:rPr>
          <w:i/>
        </w:rPr>
        <w:t>T. gondii</w:t>
      </w:r>
      <w:r>
        <w:t xml:space="preserve"> to cross the placental barrier and infect fetal tissues. Primary maternal infection during pregnancy can trigger inflammatory responses, placental dysfunction and direct fetal involvement. Congenital infection may affect the central nervous system and ocular structures, and the clinical consequences depend partly on gestational timing and access to early diagnosis and treatment (Montoya &amp; Liesenfeld, 2004; de Oliveira Azevedo </w:t>
      </w:r>
      <w:r>
        <w:rPr>
          <w:i/>
        </w:rPr>
        <w:t>et al.</w:t>
      </w:r>
      <w:r>
        <w:t xml:space="preserve">, 2016; Montoya </w:t>
      </w:r>
      <w:r>
        <w:rPr>
          <w:i/>
        </w:rPr>
        <w:t>et al.</w:t>
      </w:r>
      <w:r>
        <w:t xml:space="preserve">, 2021; Deganich </w:t>
      </w:r>
      <w:r>
        <w:rPr>
          <w:i/>
        </w:rPr>
        <w:t>et al.</w:t>
      </w:r>
      <w:r>
        <w:t>, 2023).</w:t>
      </w:r>
    </w:p>
    <w:p w14:paraId="0860DF30" w14:textId="77777777" w:rsidR="00793A20" w:rsidRDefault="00000000">
      <w:pPr>
        <w:spacing w:after="0" w:line="480" w:lineRule="auto"/>
      </w:pPr>
      <w:r>
        <w:t xml:space="preserve">The moderate heterogeneity observed in this meta-analysis is expected in a body of observational studies that differs in diagnostic methods, outcome definitions, geographical settings and confounder adjustment. Variability in serological thresholds, use of IgG or IgM markers, molecular confirmation and local epidemiological conditions may influence measured associations. Studies from different regions also reflect diverse dietary habits, environmental exposure and antenatal screening practices (Bigna </w:t>
      </w:r>
      <w:r>
        <w:rPr>
          <w:i/>
        </w:rPr>
        <w:t>et al.</w:t>
      </w:r>
      <w:r>
        <w:t xml:space="preserve">, 2020; Dasa </w:t>
      </w:r>
      <w:r>
        <w:rPr>
          <w:i/>
        </w:rPr>
        <w:t>et al.</w:t>
      </w:r>
      <w:r>
        <w:t xml:space="preserve">, 2021; Mulu Gelaw </w:t>
      </w:r>
      <w:r>
        <w:rPr>
          <w:i/>
        </w:rPr>
        <w:t>et al.</w:t>
      </w:r>
      <w:r>
        <w:t xml:space="preserve">, 2024; Salari </w:t>
      </w:r>
      <w:r>
        <w:rPr>
          <w:i/>
        </w:rPr>
        <w:t>et al.</w:t>
      </w:r>
      <w:r>
        <w:t>, 2025).</w:t>
      </w:r>
    </w:p>
    <w:p w14:paraId="075EDA94" w14:textId="77777777" w:rsidR="00793A20" w:rsidRDefault="00000000">
      <w:pPr>
        <w:spacing w:after="0" w:line="480" w:lineRule="auto"/>
      </w:pPr>
      <w:r>
        <w:t>From a public health and clinical perspective, these findings support the importance of preventive counselling and targeted screening strategies in populations at risk. Antenatal education should emphasise safe food handling, avoidance of raw or undercooked meat, washing of fruits and vegetables and hygiene after soil or cat-litter exposure. In settings with high prevalence or high clinical risk, context-specific screening and timely management may help reduce the burden of congenital toxoplasmosis and related pregnancy complications.</w:t>
      </w:r>
    </w:p>
    <w:p w14:paraId="5CF424B3" w14:textId="77777777" w:rsidR="00793A20" w:rsidRDefault="00000000">
      <w:pPr>
        <w:spacing w:after="0" w:line="480" w:lineRule="auto"/>
      </w:pPr>
      <w:r>
        <w:t xml:space="preserve">This review has limitations. The number of studies eligible for quantitative synthesis was limited, and several studies had unclear comparability because adjustment for confounders was incomplete or inconsistently reported. Differences in diagnostic methods and outcome definitions may have contributed to heterogeneity. In addition, some data were extracted from observational studies with limited reporting detail, and publication bias could not be excluded </w:t>
      </w:r>
      <w:r>
        <w:lastRenderedPageBreak/>
        <w:t>completely. Future studies should use standardised diagnostic criteria, clearly defined pregnancy outcomes, adequate confounder adjustment and transparent reporting of extractable effect estimates.</w:t>
      </w:r>
    </w:p>
    <w:p w14:paraId="1D30C511" w14:textId="77777777" w:rsidR="00793A20" w:rsidRDefault="00000000">
      <w:pPr>
        <w:spacing w:after="0" w:line="480" w:lineRule="auto"/>
      </w:pPr>
      <w:r>
        <w:t xml:space="preserve">In conclusion, maternal </w:t>
      </w:r>
      <w:r>
        <w:rPr>
          <w:i/>
        </w:rPr>
        <w:t>T. gondii</w:t>
      </w:r>
      <w:r>
        <w:t xml:space="preserve"> infection was associated with increased odds of adverse pregnancy outcomes, including abortion or miscarriage, preterm birth and congenital abnormalities. These findings reinforce the need for antenatal prevention, early detection and evidence-based management of toxoplasmosis in populations at risk.</w:t>
      </w:r>
    </w:p>
    <w:p w14:paraId="7304CF13" w14:textId="77777777" w:rsidR="00793A20" w:rsidRDefault="00000000">
      <w:pPr>
        <w:spacing w:after="0" w:line="480" w:lineRule="auto"/>
      </w:pPr>
      <w:r>
        <w:rPr>
          <w:b/>
        </w:rPr>
        <w:t>Conflict of Interests</w:t>
      </w:r>
    </w:p>
    <w:p w14:paraId="1A890B0F" w14:textId="77777777" w:rsidR="00793A20" w:rsidRDefault="00000000">
      <w:pPr>
        <w:spacing w:after="0" w:line="480" w:lineRule="auto"/>
      </w:pPr>
      <w:r>
        <w:t>The authors declare that they have no conflict of interests.</w:t>
      </w:r>
    </w:p>
    <w:p w14:paraId="1679FB5E" w14:textId="77777777" w:rsidR="00793A20" w:rsidRDefault="00000000">
      <w:pPr>
        <w:spacing w:after="0" w:line="480" w:lineRule="auto"/>
      </w:pPr>
      <w:r>
        <w:rPr>
          <w:b/>
        </w:rPr>
        <w:t>Acknowledgements</w:t>
      </w:r>
    </w:p>
    <w:p w14:paraId="60AD1279" w14:textId="77777777" w:rsidR="00793A20" w:rsidRDefault="00000000">
      <w:pPr>
        <w:spacing w:after="0" w:line="480" w:lineRule="auto"/>
      </w:pPr>
      <w:r>
        <w:t>The authors thank all investigators whose published studies contributed data to this systematic review and meta-analysis. No specific funding was received for this work.</w:t>
      </w:r>
    </w:p>
    <w:p w14:paraId="6AAA972D" w14:textId="77777777" w:rsidR="00793A20" w:rsidRDefault="00000000">
      <w:pPr>
        <w:spacing w:after="0" w:line="480" w:lineRule="auto"/>
      </w:pPr>
      <w:r>
        <w:rPr>
          <w:b/>
        </w:rPr>
        <w:t>References</w:t>
      </w:r>
    </w:p>
    <w:p w14:paraId="2D7696C7" w14:textId="77777777" w:rsidR="00793A20" w:rsidRDefault="00000000">
      <w:pPr>
        <w:spacing w:after="120" w:line="240" w:lineRule="auto"/>
      </w:pPr>
      <w:r>
        <w:t>Avelino, M.M., Campos Jr., D., Parada, J.C.B. &amp; Castro, A.M. (2004). Risk factors for Toxoplasma gondii infection in women of childbearing age. Brazilian Journal of Infectious Diseases 8: 164-174. https://doi.org/10.1590/S1413-86702004000200007</w:t>
      </w:r>
    </w:p>
    <w:p w14:paraId="39832CAE" w14:textId="77777777" w:rsidR="00793A20" w:rsidRDefault="00000000">
      <w:pPr>
        <w:spacing w:after="120" w:line="240" w:lineRule="auto"/>
      </w:pPr>
      <w:r>
        <w:t>Bienkowski, C., Aniszewska, M., Kowalczyk, M., Popielska, J., Zawadka, K., Oldakowska, A. &amp; Pokorska-Spiewak, M. (2022). Analysis of preventable risk factors for Toxoplasma gondii infection in pregnant women: case-control study. Journal of Clinical Medicine 11: 1105. https://doi.org/10.3390/jcm11041105</w:t>
      </w:r>
    </w:p>
    <w:p w14:paraId="7855E7A0" w14:textId="77777777" w:rsidR="00793A20" w:rsidRDefault="00000000">
      <w:pPr>
        <w:spacing w:after="120" w:line="240" w:lineRule="auto"/>
      </w:pPr>
      <w:r>
        <w:t xml:space="preserve">Bigna, J.J., Tochie, J.N., Tounouga, D.N., Bekolo, A.O., Ymele, N.S., Youda, E.L., Sime, P.S. &amp; Nansseu, J.R. (2020). Global, regional, and country seroprevalence of </w:t>
      </w:r>
      <w:r>
        <w:rPr>
          <w:i/>
        </w:rPr>
        <w:t>Toxoplasma gondii</w:t>
      </w:r>
      <w:r>
        <w:t xml:space="preserve"> in pregnant women: a systematic review, modelling and meta-analysis. Scientific Reports 10: 12102. https://doi.org/10.1038/s41598-020-69078-9</w:t>
      </w:r>
    </w:p>
    <w:p w14:paraId="12A3CBDB" w14:textId="77777777" w:rsidR="00793A20" w:rsidRDefault="00000000">
      <w:pPr>
        <w:spacing w:after="120" w:line="240" w:lineRule="auto"/>
      </w:pPr>
      <w:r>
        <w:t>Cook, A.J.C., Gilbert, R.E., Buffolano, W., Zufferey, J., Petersen, E., Jenum, P.A., Foulon, W., Semprini, A.E. &amp; Dunn, D.T. (2000). Sources of Toxoplasma infection in pregnant women: European multicentre case-control study. BMJ 321: 142-147. https://doi.org/10.1136/bmj.321.7254.142</w:t>
      </w:r>
    </w:p>
    <w:p w14:paraId="30D0453C" w14:textId="77777777" w:rsidR="00793A20" w:rsidRDefault="00000000">
      <w:pPr>
        <w:spacing w:after="120" w:line="240" w:lineRule="auto"/>
      </w:pPr>
      <w:r>
        <w:t xml:space="preserve">Daka, V., Mukosha, M., Zimba, S.D. &amp; Phiri, A.M. (2024). Cross-sectional study to investigate the seroprevalence and risk factors of </w:t>
      </w:r>
      <w:r>
        <w:rPr>
          <w:i/>
        </w:rPr>
        <w:t>Toxoplasma gondii</w:t>
      </w:r>
      <w:r>
        <w:t xml:space="preserve"> among women attending the antenatal clinic in Namwala, Zambia. BMJ Open 14: e084582. https://doi.org/10.1136/bmjopen-2024-084582</w:t>
      </w:r>
    </w:p>
    <w:p w14:paraId="40FCDCDF" w14:textId="77777777" w:rsidR="00793A20" w:rsidRDefault="00000000">
      <w:pPr>
        <w:spacing w:after="120" w:line="240" w:lineRule="auto"/>
      </w:pPr>
      <w:r>
        <w:t>Dasa, T.T., Geta, T.G., Yalew, A.Z., Abebe, R.M. &amp; Kele, H.U. (2021). Toxoplasmosis infection among pregnant women in Africa: a systematic review and meta-analysis. PLoS ONE 16: e0254209. https://doi.org/10.1371/journal.pone.0254209</w:t>
      </w:r>
    </w:p>
    <w:p w14:paraId="3FB23B31" w14:textId="77777777" w:rsidR="00793A20" w:rsidRDefault="00000000" w:rsidP="006350EE">
      <w:pPr>
        <w:spacing w:after="120" w:line="240" w:lineRule="auto"/>
        <w:ind w:left="709" w:hanging="709"/>
      </w:pPr>
      <w:r>
        <w:lastRenderedPageBreak/>
        <w:t>de Oliveira Azevedo, C.T., do Brasil, P.E.A.A., Guida, L. &amp; Lopes Moreira, M.E. (2016). Performance of polymerase chain reaction analysis of the amniotic fluid of pregnant women for diagnosis of congenital toxoplasmosis: a systematic review and meta-analysis. PLoS ONE 11: e0149938. https://doi.org/10.1371/journal.pone.0149938</w:t>
      </w:r>
    </w:p>
    <w:p w14:paraId="33959B05" w14:textId="77777777" w:rsidR="00793A20" w:rsidRDefault="00000000" w:rsidP="006350EE">
      <w:pPr>
        <w:spacing w:after="120" w:line="240" w:lineRule="auto"/>
        <w:ind w:left="709" w:hanging="709"/>
      </w:pPr>
      <w:r>
        <w:t>Deganich, M., Boudreaux, C. &amp; Benmerzouga, I. (2023). Toxoplasmosis infection during pregnancy. Tropical Medicine and Infectious Disease 8: 3. https://doi.org/10.3390/tropicalmed8010003</w:t>
      </w:r>
    </w:p>
    <w:p w14:paraId="0D68EEF4" w14:textId="77777777" w:rsidR="00793A20" w:rsidRDefault="00000000" w:rsidP="006350EE">
      <w:pPr>
        <w:spacing w:after="120" w:line="240" w:lineRule="auto"/>
        <w:ind w:left="709" w:hanging="709"/>
      </w:pPr>
      <w:r>
        <w:t xml:space="preserve">Franco, P.S., Scussel, A.C.M.O., Silva, R.J., Araujo, T.E., Gonzaga, H.T., Marcon, C.F., Brito-de-Sousa, J.P., Diniz, A.L.D., Paschoini, M.C., Barbosa, B.F. </w:t>
      </w:r>
      <w:r>
        <w:rPr>
          <w:i/>
        </w:rPr>
        <w:t>et al.</w:t>
      </w:r>
      <w:r>
        <w:t xml:space="preserve"> (2024). Systematic review and meta-analysis of congenital toxoplasmosis diagnosis: advances and challenges. Journal of Tropical Medicine 2024: 1514178. https://doi.org/10.1155/2024/1514178</w:t>
      </w:r>
    </w:p>
    <w:p w14:paraId="0DA3BBD8" w14:textId="77777777" w:rsidR="00793A20" w:rsidRDefault="00000000" w:rsidP="006350EE">
      <w:pPr>
        <w:spacing w:after="120" w:line="240" w:lineRule="auto"/>
        <w:ind w:left="709" w:hanging="709"/>
      </w:pPr>
      <w:r>
        <w:t>Jonduo, M.E., Vallely, L.M., Wand, H., Sweeney, E.L., Egli-Gany, D., Kaldor, J., Vallely, A.J. &amp; Low, N. (2022). Adverse pregnancy and birth outcomes associated with Mycoplasma hominis, Ureaplasma urealyticum and Ureaplasma parvum: a systematic review and meta-analysis. BMJ Open 12: e062990. https://doi.org/10.1136/bmjopen-2022-062990</w:t>
      </w:r>
    </w:p>
    <w:p w14:paraId="5D69FF98" w14:textId="77777777" w:rsidR="00793A20" w:rsidRDefault="00000000" w:rsidP="006350EE">
      <w:pPr>
        <w:spacing w:after="120" w:line="240" w:lineRule="auto"/>
        <w:ind w:left="709" w:hanging="709"/>
      </w:pPr>
      <w:r>
        <w:t xml:space="preserve">Karshima, S.N. &amp; Karshima, M.N. (2020). Human </w:t>
      </w:r>
      <w:r>
        <w:rPr>
          <w:i/>
        </w:rPr>
        <w:t>Toxoplasma gondii</w:t>
      </w:r>
      <w:r>
        <w:t xml:space="preserve"> infection in Nigeria: a systematic review and meta-analysis of data published between 1960 and 2019. BMC Public Health 20: 877. https://doi.org/10.1186/s12889-020-09015-7</w:t>
      </w:r>
    </w:p>
    <w:p w14:paraId="467F57EA" w14:textId="77777777" w:rsidR="00793A20" w:rsidRDefault="00000000" w:rsidP="006350EE">
      <w:pPr>
        <w:spacing w:after="120" w:line="240" w:lineRule="auto"/>
        <w:ind w:left="709" w:hanging="709"/>
      </w:pPr>
      <w:r>
        <w:t>Khademi, S.Z., Ghaffarifar, F., Dalimi, A., Davoodian, P. &amp; Abdoli, A. (2019). Prevalence and risk factors of Toxoplasma gondii infection among pregnant women in Hormozgan Province, south of Iran. Iranian Journal of Parasitology 14: 167-173. https://doi.org/10.18502/ijpa.v14i1.732</w:t>
      </w:r>
    </w:p>
    <w:p w14:paraId="1E5C82DA" w14:textId="77777777" w:rsidR="00793A20" w:rsidRDefault="00000000" w:rsidP="006350EE">
      <w:pPr>
        <w:spacing w:after="120" w:line="240" w:lineRule="auto"/>
        <w:ind w:left="709" w:hanging="709"/>
      </w:pPr>
      <w:r>
        <w:t xml:space="preserve">Li, X.L., Wei, H.X., Zhang, H., Peng, H.J. &amp; Lindsay, D.S. (2014). A meta analysis on risks of adverse pregnancy outcomes in </w:t>
      </w:r>
      <w:r>
        <w:rPr>
          <w:i/>
        </w:rPr>
        <w:t>Toxoplasma gondii</w:t>
      </w:r>
      <w:r>
        <w:t xml:space="preserve"> infection. PLoS ONE 9: e97775. https://doi.org/10.1371/journal.pone.0097775</w:t>
      </w:r>
    </w:p>
    <w:p w14:paraId="5E14ACAD" w14:textId="77777777" w:rsidR="00793A20" w:rsidRDefault="00000000" w:rsidP="006350EE">
      <w:pPr>
        <w:spacing w:after="120" w:line="240" w:lineRule="auto"/>
        <w:ind w:left="709" w:hanging="709"/>
      </w:pPr>
      <w:r>
        <w:t xml:space="preserve">Lozano, T.S.P., Benitez, A., Santos, J.C., Navarro, I.T., Nagata, W.B., Pinto, M.S., Gomes, J.F., Debortoli, G.Z.T., Santos-Doni, T.R. &amp; Bresciani, K.D.S. (2024). Seroprevalence of </w:t>
      </w:r>
      <w:r>
        <w:rPr>
          <w:i/>
        </w:rPr>
        <w:t>Toxoplasma gondii</w:t>
      </w:r>
      <w:r>
        <w:t xml:space="preserve"> and associated risk factors in pregnant women in Aracatuba, Sao Paulo, Brazil: a multi-level analysis. Microorganisms 12: 2183. https://doi.org/10.3390/microorganisms12112183</w:t>
      </w:r>
    </w:p>
    <w:p w14:paraId="5A314DA0" w14:textId="77777777" w:rsidR="00793A20" w:rsidRDefault="00000000" w:rsidP="006350EE">
      <w:pPr>
        <w:spacing w:after="120" w:line="240" w:lineRule="auto"/>
        <w:ind w:left="709" w:hanging="709"/>
      </w:pPr>
      <w:r>
        <w:t xml:space="preserve">Markovic-Denic, L., Stopic, M., Bobic, B., Nikolic, V., Djilas, I., Srzentic, S.J. &amp; Stajner, T. (2023). Factors associated with </w:t>
      </w:r>
      <w:r>
        <w:rPr>
          <w:i/>
        </w:rPr>
        <w:t>Toxoplasma gondii</w:t>
      </w:r>
      <w:r>
        <w:t xml:space="preserve"> seroprevalence in pregnant women: a cross-sectional study in Belgrade, Serbia. Pathogens 12: 1240. https://doi.org/10.3390/pathogens12101240</w:t>
      </w:r>
    </w:p>
    <w:p w14:paraId="307BD8BB" w14:textId="77777777" w:rsidR="00793A20" w:rsidRDefault="00000000" w:rsidP="006350EE">
      <w:pPr>
        <w:spacing w:after="120" w:line="240" w:lineRule="auto"/>
        <w:ind w:left="709" w:hanging="709"/>
      </w:pPr>
      <w:r>
        <w:t>Matlahova, Y.S., Gorokhova, V.R., Penkina, E.R., Zhmurko, L.A., Savva, D.A., Kokareva, N.S., Smetanina, A.O., Petrovich, D.V., Elbakieva, D.B. &amp; Hudarova, A.S. (2026). Perinatal outcomes in primary toxoplasmosis during pregnancy: treatment efficacy and analysis of neonatal complications. Journal of Biochemical Technology 17: 57-67. https://doi.org/10.51847/QpIiVNNnaQ</w:t>
      </w:r>
    </w:p>
    <w:p w14:paraId="1A363D1A" w14:textId="77777777" w:rsidR="00793A20" w:rsidRDefault="00000000" w:rsidP="006350EE">
      <w:pPr>
        <w:spacing w:after="120" w:line="240" w:lineRule="auto"/>
        <w:ind w:left="709" w:hanging="709"/>
      </w:pPr>
      <w:r>
        <w:t>Montoya, J.G. &amp; Liesenfeld, O. (2004). Toxoplasmosis. The Lancet 363: 1965-1976. https://doi.org/10.1016/S0140-6736(04)16412-X</w:t>
      </w:r>
    </w:p>
    <w:p w14:paraId="2DD2C6A5" w14:textId="77777777" w:rsidR="00793A20" w:rsidRDefault="00000000" w:rsidP="006350EE">
      <w:pPr>
        <w:spacing w:after="120" w:line="240" w:lineRule="auto"/>
        <w:ind w:left="709" w:hanging="709"/>
      </w:pPr>
      <w:r>
        <w:t xml:space="preserve">Montoya, J.G., Laessig, K., Fazeli, M.S., Siliman, G., Yoon, S.S., Drake-Shanahan, E., Zhu, C., Akbary, A. &amp; McLeod, R. (2021). A fresh look at the role of spiramycin in </w:t>
      </w:r>
      <w:r>
        <w:lastRenderedPageBreak/>
        <w:t>preventing a neglected disease: meta-analyses of observational studies. European Journal of Medical Research 26: 143. https://doi.org/10.1186/s40001-021-00606-7</w:t>
      </w:r>
    </w:p>
    <w:p w14:paraId="0A1B6443" w14:textId="77777777" w:rsidR="00793A20" w:rsidRDefault="00000000" w:rsidP="006350EE">
      <w:pPr>
        <w:spacing w:after="120" w:line="240" w:lineRule="auto"/>
        <w:ind w:left="709" w:hanging="709"/>
      </w:pPr>
      <w:r>
        <w:t xml:space="preserve">Mulu Gelaw, Y., Worku Dagnew, G., Degu Alene, G., Gangneux, J.P. &amp; Robert-Gangneux, F. (2024). </w:t>
      </w:r>
      <w:r>
        <w:rPr>
          <w:i/>
        </w:rPr>
        <w:t>Toxoplasma gondii</w:t>
      </w:r>
      <w:r>
        <w:t xml:space="preserve"> seroprevalence among pregnant women in Africa: a systematic review and meta-analysis. PLoS Neglected Tropical Diseases 18: e0012198. https://doi.org/10.1371/journal.pntd.0012198</w:t>
      </w:r>
    </w:p>
    <w:p w14:paraId="57E21A48" w14:textId="77777777" w:rsidR="00793A20" w:rsidRDefault="00000000" w:rsidP="006350EE">
      <w:pPr>
        <w:spacing w:after="120" w:line="240" w:lineRule="auto"/>
        <w:ind w:left="709" w:hanging="709"/>
      </w:pPr>
      <w:r>
        <w:t>Nayeri, T., Moosazadeh, M., Asl, A.D., Ghaffarifar, F., Sarvi, S. &amp; Daryani, A. (2023). Toxoplasma infection and Rhesus blood group system: a systematic review and meta-analysis. PLoS ONE 18: e0287992. https://doi.org/10.1371/journal.pone.0287992</w:t>
      </w:r>
    </w:p>
    <w:p w14:paraId="181721FD" w14:textId="77777777" w:rsidR="00793A20" w:rsidRDefault="00000000" w:rsidP="006350EE">
      <w:pPr>
        <w:spacing w:after="120" w:line="240" w:lineRule="auto"/>
        <w:ind w:left="709" w:hanging="709"/>
      </w:pPr>
      <w:r>
        <w:t xml:space="preserve">Osman, M., Adan, A., Mahamed, A.A., Al-Mamun, M. &amp; Alam, M. (2026). Seroprevalence of </w:t>
      </w:r>
      <w:r>
        <w:rPr>
          <w:i/>
        </w:rPr>
        <w:t>Toxoplasma gondii</w:t>
      </w:r>
      <w:r>
        <w:t xml:space="preserve"> and associated factors among pregnant women consulted in Buhodle Healthcare Centers, Somalia. Clinical Epidemiology and Global Health 38: 102293. https://doi.org/10.1016/j.cegh.2026.102293</w:t>
      </w:r>
    </w:p>
    <w:p w14:paraId="4A7F949E" w14:textId="77777777" w:rsidR="00793A20" w:rsidRDefault="00000000" w:rsidP="006350EE">
      <w:pPr>
        <w:spacing w:after="120" w:line="240" w:lineRule="auto"/>
        <w:ind w:left="709" w:hanging="709"/>
      </w:pPr>
      <w:r>
        <w:t>Perdana, T.M., Dwiputro, A.H., Kusuma, S., Simanjuntak, A.M.T. &amp; Wijayanto, F.P.S. (2025). Seroprevalence of anti-Toxoplasma IgG among the human population in Indonesia: a systematic review and meta-analysis. BMC Public Health 25: 194. https://doi.org/10.1186/s12889-025-21317-2</w:t>
      </w:r>
    </w:p>
    <w:p w14:paraId="1B754399" w14:textId="77777777" w:rsidR="00793A20" w:rsidRDefault="00000000" w:rsidP="006350EE">
      <w:pPr>
        <w:spacing w:after="120" w:line="240" w:lineRule="auto"/>
        <w:ind w:left="709" w:hanging="709"/>
      </w:pPr>
      <w:r>
        <w:t xml:space="preserve">Rabaan, A.A., Uzairue, L.I., Alfaraj, A.H., Halwani, M.A., Muzaheed, Alawfi, A., Alshengeti, A., Al Kaabi, N.A., Alawad, E., Alhajri, M. </w:t>
      </w:r>
      <w:r>
        <w:rPr>
          <w:i/>
        </w:rPr>
        <w:t>et al.</w:t>
      </w:r>
      <w:r>
        <w:t xml:space="preserve"> (2023). Seroprevalence, risk factors and maternal-fetal outcomes of </w:t>
      </w:r>
      <w:r>
        <w:rPr>
          <w:i/>
        </w:rPr>
        <w:t>Toxoplasma gondii</w:t>
      </w:r>
      <w:r>
        <w:t xml:space="preserve"> in pregnant women from WHO Eastern Mediterranean Region: systematic review and meta-analysis. Pathogens 12: 1157. https://doi.org/10.3390/pathogens12091157</w:t>
      </w:r>
    </w:p>
    <w:p w14:paraId="7CAF0205" w14:textId="77777777" w:rsidR="00793A20" w:rsidRDefault="00000000" w:rsidP="006350EE">
      <w:pPr>
        <w:spacing w:after="120" w:line="240" w:lineRule="auto"/>
        <w:ind w:left="709" w:hanging="709"/>
      </w:pPr>
      <w:r>
        <w:t xml:space="preserve">Rostami, A., Riahi, S.M., Contopoulos-Ioannidis, D.G., Gamble, H.R., Fakhri, Y., Shiadeh, M.N., Foroutan, M., Behniafar, H., Taghipour, A., Maldonado, Y.A. </w:t>
      </w:r>
      <w:r>
        <w:rPr>
          <w:i/>
        </w:rPr>
        <w:t>et al.</w:t>
      </w:r>
      <w:r>
        <w:t xml:space="preserve"> (2019). Acute Toxoplasma infection in pregnant women worldwide: a systematic review and meta-analysis. PLoS Neglected Tropical Diseases 13: e0007807. https://doi.org/10.1371/journal.pntd.0007807</w:t>
      </w:r>
    </w:p>
    <w:p w14:paraId="60ED77EB" w14:textId="77777777" w:rsidR="00793A20" w:rsidRDefault="00000000" w:rsidP="006350EE">
      <w:pPr>
        <w:spacing w:after="120" w:line="240" w:lineRule="auto"/>
        <w:ind w:left="709" w:hanging="709"/>
      </w:pPr>
      <w:r>
        <w:t xml:space="preserve">Salari, N., Rahimi, A., Zarei, H., Abdolmaleki, A., Rasoulpoor, S., Shohaimi, S. &amp; Mohammadi, M. (2025). Global seroprevalence of </w:t>
      </w:r>
      <w:r>
        <w:rPr>
          <w:i/>
        </w:rPr>
        <w:t>Toxoplasma gondii</w:t>
      </w:r>
      <w:r>
        <w:t xml:space="preserve"> in pregnant women: a systematic review and meta-analysis. BMC Pregnancy and Childbirth 25: 1-12. https://doi.org/10.1186/s12884-025-07182-2</w:t>
      </w:r>
    </w:p>
    <w:p w14:paraId="111E6730" w14:textId="77777777" w:rsidR="00793A20" w:rsidRDefault="00000000" w:rsidP="006350EE">
      <w:pPr>
        <w:spacing w:after="120" w:line="240" w:lineRule="auto"/>
        <w:ind w:left="709" w:hanging="709"/>
      </w:pPr>
      <w:r>
        <w:t xml:space="preserve">Sandoval-Carrillo, A.A., Vertiz-Hernandez, A.A., Salas-Pacheco, J.M., Gonzalez-Lugo, O.E., Antuna-Salcido, E.I., Salas-Pacheco, S.M., Sanchez-Anguiano, L.F., Mendez-Hernandez, E.M., Hernandez-Tinoco, J., Castellanos-Juarez, F.X. </w:t>
      </w:r>
      <w:r>
        <w:rPr>
          <w:i/>
        </w:rPr>
        <w:t>et al.</w:t>
      </w:r>
      <w:r>
        <w:t xml:space="preserve"> (2020). </w:t>
      </w:r>
      <w:r>
        <w:rPr>
          <w:i/>
        </w:rPr>
        <w:t>Toxoplasma gondii</w:t>
      </w:r>
      <w:r>
        <w:t xml:space="preserve"> infection in pregnant women: a cross-sectional study in Matehuala City, Mexico. BMJ Open 10: e033995. https://doi.org/10.1136/bmjopen-2019-033995</w:t>
      </w:r>
    </w:p>
    <w:p w14:paraId="566956BB" w14:textId="77777777" w:rsidR="00793A20" w:rsidRDefault="00000000" w:rsidP="006350EE">
      <w:pPr>
        <w:spacing w:after="120" w:line="240" w:lineRule="auto"/>
        <w:ind w:left="709" w:hanging="709"/>
      </w:pPr>
      <w:r>
        <w:t xml:space="preserve">Singh, B., Debrah, L.B., Acheampong, G. &amp; Debrah, A.Y. (2021). Seroprevalence and risk factors of </w:t>
      </w:r>
      <w:r>
        <w:rPr>
          <w:i/>
        </w:rPr>
        <w:t>Toxoplasma gondii</w:t>
      </w:r>
      <w:r>
        <w:t xml:space="preserve"> infection among pregnant women in Kumasi: a cross-sectional study at a district-level hospital, Ghana. Infectious Diseases in Obstetrics and Gynecology 2021: 6670219. https://doi.org/10.1155/2021/6670219</w:t>
      </w:r>
    </w:p>
    <w:p w14:paraId="223129EA" w14:textId="77777777" w:rsidR="00793A20" w:rsidRDefault="00000000" w:rsidP="006350EE">
      <w:pPr>
        <w:spacing w:after="120" w:line="240" w:lineRule="auto"/>
        <w:ind w:left="709" w:hanging="709"/>
      </w:pPr>
      <w:r>
        <w:t>Suhaila, R., Abdul Ghafar, S. &amp; Wahida, A. (2025). Prevalence and outcomes of maternal toxoplasmosis on pregnancy. Nangarhar University International Journal of Biosciences 4: 1-6. https://doi.org/10.70436/nuijb.v4i01.386</w:t>
      </w:r>
    </w:p>
    <w:p w14:paraId="5321B1A6" w14:textId="77777777" w:rsidR="00793A20" w:rsidRDefault="00000000" w:rsidP="006350EE">
      <w:pPr>
        <w:spacing w:after="120" w:line="240" w:lineRule="auto"/>
        <w:ind w:left="709" w:hanging="709"/>
      </w:pPr>
      <w:r>
        <w:t xml:space="preserve">Tarekegn, Z.S., Dejene, H., Addisu, A. &amp; Dagnachew, S. (2020). Potential risk factors associated with seropositivity for </w:t>
      </w:r>
      <w:r>
        <w:rPr>
          <w:i/>
        </w:rPr>
        <w:t>Toxoplasma gondii</w:t>
      </w:r>
      <w:r>
        <w:t xml:space="preserve"> among pregnant women and HIV </w:t>
      </w:r>
      <w:r>
        <w:lastRenderedPageBreak/>
        <w:t>infected individuals in Ethiopia: a systematic review and meta-analysis. PLoS Neglected Tropical Diseases 14: e0008944. https://doi.org/10.1371/journal.pntd.0008944</w:t>
      </w:r>
    </w:p>
    <w:p w14:paraId="4EA91D9F" w14:textId="77777777" w:rsidR="00793A20" w:rsidRDefault="00000000" w:rsidP="006350EE">
      <w:pPr>
        <w:spacing w:after="120" w:line="240" w:lineRule="auto"/>
        <w:ind w:left="709" w:hanging="709"/>
      </w:pPr>
      <w:r>
        <w:t xml:space="preserve">Wang, Z.D., Liu, H.H., Ma, Z.X., Ma, H.Y., Li, Z.Y., Yang, Z.B., Zhu, X.Q., Xu, B., Wei, F. &amp; Liu, Q. (2017). </w:t>
      </w:r>
      <w:r>
        <w:rPr>
          <w:i/>
        </w:rPr>
        <w:t>Toxoplasma gondii</w:t>
      </w:r>
      <w:r>
        <w:t xml:space="preserve"> infection in immunocompromised patients: a systematic review and meta-analysis. Frontiers in Microbiology 8: 389. https://doi.org/10.3389/fmicb.2017.00389</w:t>
      </w:r>
    </w:p>
    <w:p w14:paraId="48E24151" w14:textId="77777777" w:rsidR="00793A20" w:rsidRDefault="00000000" w:rsidP="006350EE">
      <w:pPr>
        <w:spacing w:after="120" w:line="240" w:lineRule="auto"/>
        <w:ind w:left="709" w:hanging="709"/>
      </w:pPr>
      <w:r>
        <w:t xml:space="preserve">Zeinali, S., Khademvatan, S., Jafari, R., Vazifekhah, S., Yousefi, E. &amp; Behroozi-Lak, T. (2023). Prevalence and risk factors of </w:t>
      </w:r>
      <w:r>
        <w:rPr>
          <w:i/>
        </w:rPr>
        <w:t>Toxoplasma gondii</w:t>
      </w:r>
      <w:r>
        <w:t xml:space="preserve"> infection among women with miscarriage and their aborted fetuses in the northwest of Iran. PLoS ONE 18: e0283493. https://doi.org/10.1371/journal.pone.0283493</w:t>
      </w:r>
    </w:p>
    <w:p w14:paraId="2AF09120" w14:textId="77777777" w:rsidR="00793A20" w:rsidRDefault="00000000">
      <w:r>
        <w:br w:type="page"/>
      </w:r>
    </w:p>
    <w:p w14:paraId="69FC4427" w14:textId="77777777" w:rsidR="00793A20" w:rsidRDefault="00000000">
      <w:pPr>
        <w:spacing w:after="0" w:line="480" w:lineRule="auto"/>
      </w:pPr>
      <w:r>
        <w:rPr>
          <w:b/>
        </w:rPr>
        <w:lastRenderedPageBreak/>
        <w:t>Tables</w:t>
      </w:r>
    </w:p>
    <w:p w14:paraId="0DCF699B" w14:textId="77777777" w:rsidR="00793A20" w:rsidRDefault="00000000">
      <w:pPr>
        <w:spacing w:after="0" w:line="240" w:lineRule="auto"/>
      </w:pPr>
      <w:r>
        <w:rPr>
          <w:b/>
        </w:rPr>
        <w:t>Table I. Search strategy used in the literature search.</w:t>
      </w:r>
    </w:p>
    <w:tbl>
      <w:tblPr>
        <w:tblStyle w:val="TableGrid"/>
        <w:tblW w:w="0" w:type="auto"/>
        <w:tblLook w:val="04A0" w:firstRow="1" w:lastRow="0" w:firstColumn="1" w:lastColumn="0" w:noHBand="0" w:noVBand="1"/>
      </w:tblPr>
      <w:tblGrid>
        <w:gridCol w:w="4536"/>
        <w:gridCol w:w="4536"/>
      </w:tblGrid>
      <w:tr w:rsidR="00793A20" w14:paraId="6CE0D35F" w14:textId="77777777" w:rsidTr="00E2008F">
        <w:tc>
          <w:tcPr>
            <w:tcW w:w="4536" w:type="dxa"/>
          </w:tcPr>
          <w:p w14:paraId="69132630" w14:textId="77777777" w:rsidR="00793A20" w:rsidRDefault="00000000">
            <w:r>
              <w:rPr>
                <w:b/>
                <w:sz w:val="22"/>
              </w:rPr>
              <w:t>Database</w:t>
            </w:r>
          </w:p>
        </w:tc>
        <w:tc>
          <w:tcPr>
            <w:tcW w:w="4536" w:type="dxa"/>
          </w:tcPr>
          <w:p w14:paraId="1EACF933" w14:textId="77777777" w:rsidR="00793A20" w:rsidRDefault="00000000">
            <w:r>
              <w:rPr>
                <w:b/>
                <w:sz w:val="22"/>
              </w:rPr>
              <w:t>Search query</w:t>
            </w:r>
          </w:p>
        </w:tc>
      </w:tr>
      <w:tr w:rsidR="00793A20" w14:paraId="32E685BA" w14:textId="77777777" w:rsidTr="00E2008F">
        <w:tc>
          <w:tcPr>
            <w:tcW w:w="4536" w:type="dxa"/>
          </w:tcPr>
          <w:p w14:paraId="0819C60C" w14:textId="77777777" w:rsidR="00793A20" w:rsidRDefault="00000000">
            <w:r>
              <w:rPr>
                <w:sz w:val="22"/>
              </w:rPr>
              <w:t>PubMed</w:t>
            </w:r>
          </w:p>
        </w:tc>
        <w:tc>
          <w:tcPr>
            <w:tcW w:w="4536" w:type="dxa"/>
          </w:tcPr>
          <w:p w14:paraId="5FCF6870" w14:textId="77777777" w:rsidR="00793A20" w:rsidRDefault="00000000">
            <w:r>
              <w:rPr>
                <w:sz w:val="20"/>
              </w:rPr>
              <w:t>("</w:t>
            </w:r>
            <w:r>
              <w:rPr>
                <w:i/>
                <w:sz w:val="20"/>
              </w:rPr>
              <w:t>Toxoplasma gondii</w:t>
            </w:r>
            <w:r>
              <w:rPr>
                <w:sz w:val="20"/>
              </w:rPr>
              <w:t>"[MeSH Terms] OR toxoplasmosis[Title/Abstract]) AND ("pregnancy"[MeSH Terms] OR "pregnant women"[Title/Abstract]) AND ("adverse pregnancy outcomes"[Title/Abstract] OR abortion OR miscarriage OR "preterm birth" OR congenital) AND ("case-control" OR "cross-sectional" OR cohort)</w:t>
            </w:r>
          </w:p>
        </w:tc>
      </w:tr>
      <w:tr w:rsidR="00793A20" w14:paraId="266181D8" w14:textId="77777777" w:rsidTr="00E2008F">
        <w:tc>
          <w:tcPr>
            <w:tcW w:w="4536" w:type="dxa"/>
          </w:tcPr>
          <w:p w14:paraId="50A4FFC5" w14:textId="77777777" w:rsidR="00793A20" w:rsidRDefault="00000000">
            <w:r>
              <w:rPr>
                <w:sz w:val="22"/>
              </w:rPr>
              <w:t>Scopus</w:t>
            </w:r>
          </w:p>
        </w:tc>
        <w:tc>
          <w:tcPr>
            <w:tcW w:w="4536" w:type="dxa"/>
          </w:tcPr>
          <w:p w14:paraId="64F5022E" w14:textId="77777777" w:rsidR="00793A20" w:rsidRDefault="00000000">
            <w:r>
              <w:rPr>
                <w:sz w:val="20"/>
              </w:rPr>
              <w:t>TITLE-ABS-KEY ("</w:t>
            </w:r>
            <w:r>
              <w:rPr>
                <w:i/>
                <w:sz w:val="20"/>
              </w:rPr>
              <w:t>Toxoplasma gondii</w:t>
            </w:r>
            <w:r>
              <w:rPr>
                <w:sz w:val="20"/>
              </w:rPr>
              <w:t>" OR toxoplasmosis) AND TITLE-ABS-KEY (pregnancy OR "pregnant women") AND TITLE-ABS-KEY ("adverse pregnancy outcomes" OR abortion OR miscarriage OR "preterm birth" OR congenital) AND TITLE-ABS-KEY ("case-control" OR "cross-sectional" OR cohort)</w:t>
            </w:r>
          </w:p>
        </w:tc>
      </w:tr>
      <w:tr w:rsidR="00793A20" w14:paraId="4D70977F" w14:textId="77777777" w:rsidTr="00E2008F">
        <w:tc>
          <w:tcPr>
            <w:tcW w:w="4536" w:type="dxa"/>
          </w:tcPr>
          <w:p w14:paraId="05BEFADD" w14:textId="77777777" w:rsidR="00793A20" w:rsidRDefault="00000000">
            <w:r>
              <w:rPr>
                <w:sz w:val="22"/>
              </w:rPr>
              <w:t>Google Scholar</w:t>
            </w:r>
          </w:p>
        </w:tc>
        <w:tc>
          <w:tcPr>
            <w:tcW w:w="4536" w:type="dxa"/>
          </w:tcPr>
          <w:p w14:paraId="0AAA9707" w14:textId="77777777" w:rsidR="00793A20" w:rsidRDefault="00000000">
            <w:r>
              <w:rPr>
                <w:sz w:val="20"/>
              </w:rPr>
              <w:t>("</w:t>
            </w:r>
            <w:r>
              <w:rPr>
                <w:i/>
                <w:sz w:val="20"/>
              </w:rPr>
              <w:t>Toxoplasma gondii</w:t>
            </w:r>
            <w:r>
              <w:rPr>
                <w:sz w:val="20"/>
              </w:rPr>
              <w:t>" OR toxoplasmosis) AND (pregnancy OR "pregnant women") AND ("adverse pregnancy outcomes" OR abortion OR miscarriage OR preterm OR congenital) AND (cross-sectional OR case-control OR cohort)</w:t>
            </w:r>
          </w:p>
        </w:tc>
      </w:tr>
    </w:tbl>
    <w:p w14:paraId="7370C690" w14:textId="77777777" w:rsidR="00793A20" w:rsidRDefault="00793A20">
      <w:pPr>
        <w:spacing w:after="0" w:line="480" w:lineRule="auto"/>
      </w:pPr>
    </w:p>
    <w:p w14:paraId="487E83F0" w14:textId="77777777" w:rsidR="00793A20" w:rsidRDefault="00000000">
      <w:pPr>
        <w:spacing w:after="0" w:line="240" w:lineRule="auto"/>
      </w:pPr>
      <w:r>
        <w:rPr>
          <w:b/>
        </w:rPr>
        <w:t>Table II. Characteristics of primary studies included in the quantitative synthesis.</w:t>
      </w:r>
    </w:p>
    <w:tbl>
      <w:tblPr>
        <w:tblStyle w:val="TableGrid"/>
        <w:tblW w:w="0" w:type="auto"/>
        <w:tblLook w:val="04A0" w:firstRow="1" w:lastRow="0" w:firstColumn="1" w:lastColumn="0" w:noHBand="0" w:noVBand="1"/>
      </w:tblPr>
      <w:tblGrid>
        <w:gridCol w:w="864"/>
        <w:gridCol w:w="1349"/>
        <w:gridCol w:w="1560"/>
        <w:gridCol w:w="1332"/>
        <w:gridCol w:w="2440"/>
        <w:gridCol w:w="1743"/>
      </w:tblGrid>
      <w:tr w:rsidR="00793A20" w14:paraId="44EAF415" w14:textId="77777777" w:rsidTr="00E2008F">
        <w:tc>
          <w:tcPr>
            <w:tcW w:w="1512" w:type="dxa"/>
          </w:tcPr>
          <w:p w14:paraId="38987152" w14:textId="77777777" w:rsidR="00793A20" w:rsidRDefault="00000000">
            <w:r>
              <w:rPr>
                <w:b/>
                <w:sz w:val="22"/>
              </w:rPr>
              <w:t>No.</w:t>
            </w:r>
          </w:p>
        </w:tc>
        <w:tc>
          <w:tcPr>
            <w:tcW w:w="1512" w:type="dxa"/>
          </w:tcPr>
          <w:p w14:paraId="4B40162E" w14:textId="77777777" w:rsidR="00793A20" w:rsidRDefault="00000000">
            <w:r>
              <w:rPr>
                <w:b/>
                <w:sz w:val="22"/>
              </w:rPr>
              <w:t>Author (year)</w:t>
            </w:r>
          </w:p>
        </w:tc>
        <w:tc>
          <w:tcPr>
            <w:tcW w:w="1512" w:type="dxa"/>
          </w:tcPr>
          <w:p w14:paraId="749FAFCF" w14:textId="77777777" w:rsidR="00793A20" w:rsidRDefault="00000000">
            <w:r>
              <w:rPr>
                <w:b/>
                <w:sz w:val="22"/>
              </w:rPr>
              <w:t>Study design</w:t>
            </w:r>
          </w:p>
        </w:tc>
        <w:tc>
          <w:tcPr>
            <w:tcW w:w="1512" w:type="dxa"/>
          </w:tcPr>
          <w:p w14:paraId="2D2894E2" w14:textId="77777777" w:rsidR="00793A20" w:rsidRDefault="00000000">
            <w:r>
              <w:rPr>
                <w:b/>
                <w:sz w:val="22"/>
              </w:rPr>
              <w:t>Sample size</w:t>
            </w:r>
          </w:p>
        </w:tc>
        <w:tc>
          <w:tcPr>
            <w:tcW w:w="1512" w:type="dxa"/>
          </w:tcPr>
          <w:p w14:paraId="08E45F2C" w14:textId="77777777" w:rsidR="00793A20" w:rsidRDefault="00000000">
            <w:r>
              <w:rPr>
                <w:b/>
                <w:sz w:val="22"/>
              </w:rPr>
              <w:t>Main outcome</w:t>
            </w:r>
          </w:p>
        </w:tc>
        <w:tc>
          <w:tcPr>
            <w:tcW w:w="1512" w:type="dxa"/>
          </w:tcPr>
          <w:p w14:paraId="3C23CFE2" w14:textId="77777777" w:rsidR="00793A20" w:rsidRDefault="00000000">
            <w:r>
              <w:rPr>
                <w:b/>
                <w:sz w:val="22"/>
              </w:rPr>
              <w:t>Effect estimate</w:t>
            </w:r>
          </w:p>
        </w:tc>
      </w:tr>
      <w:tr w:rsidR="00793A20" w14:paraId="5D4C9AF0" w14:textId="77777777" w:rsidTr="00E2008F">
        <w:tc>
          <w:tcPr>
            <w:tcW w:w="1512" w:type="dxa"/>
          </w:tcPr>
          <w:p w14:paraId="04A2A173" w14:textId="77777777" w:rsidR="00793A20" w:rsidRDefault="00000000">
            <w:r>
              <w:rPr>
                <w:sz w:val="22"/>
              </w:rPr>
              <w:t>1</w:t>
            </w:r>
          </w:p>
        </w:tc>
        <w:tc>
          <w:tcPr>
            <w:tcW w:w="1512" w:type="dxa"/>
          </w:tcPr>
          <w:p w14:paraId="6E1867C1" w14:textId="77777777" w:rsidR="00793A20" w:rsidRDefault="00000000">
            <w:r>
              <w:rPr>
                <w:sz w:val="22"/>
              </w:rPr>
              <w:t xml:space="preserve">Lozano </w:t>
            </w:r>
            <w:r>
              <w:rPr>
                <w:i/>
                <w:sz w:val="22"/>
              </w:rPr>
              <w:t>et al.</w:t>
            </w:r>
            <w:r>
              <w:rPr>
                <w:sz w:val="22"/>
              </w:rPr>
              <w:t xml:space="preserve"> (2024)</w:t>
            </w:r>
          </w:p>
        </w:tc>
        <w:tc>
          <w:tcPr>
            <w:tcW w:w="1512" w:type="dxa"/>
          </w:tcPr>
          <w:p w14:paraId="3951530C" w14:textId="77777777" w:rsidR="00793A20" w:rsidRDefault="00000000">
            <w:r>
              <w:rPr>
                <w:sz w:val="22"/>
              </w:rPr>
              <w:t>Cross-sectional</w:t>
            </w:r>
          </w:p>
        </w:tc>
        <w:tc>
          <w:tcPr>
            <w:tcW w:w="1512" w:type="dxa"/>
          </w:tcPr>
          <w:p w14:paraId="7FEBB79E" w14:textId="77777777" w:rsidR="00793A20" w:rsidRDefault="00000000">
            <w:r>
              <w:rPr>
                <w:sz w:val="22"/>
              </w:rPr>
              <w:t>428</w:t>
            </w:r>
          </w:p>
        </w:tc>
        <w:tc>
          <w:tcPr>
            <w:tcW w:w="1512" w:type="dxa"/>
          </w:tcPr>
          <w:p w14:paraId="10F01473" w14:textId="77777777" w:rsidR="00793A20" w:rsidRDefault="00000000">
            <w:r>
              <w:rPr>
                <w:sz w:val="22"/>
              </w:rPr>
              <w:t>Seroprevalence/risk factors</w:t>
            </w:r>
          </w:p>
        </w:tc>
        <w:tc>
          <w:tcPr>
            <w:tcW w:w="1512" w:type="dxa"/>
          </w:tcPr>
          <w:p w14:paraId="654D308E" w14:textId="77777777" w:rsidR="00793A20" w:rsidRDefault="00000000">
            <w:r>
              <w:rPr>
                <w:sz w:val="22"/>
              </w:rPr>
              <w:t>OR 2.35</w:t>
            </w:r>
          </w:p>
        </w:tc>
      </w:tr>
      <w:tr w:rsidR="00793A20" w14:paraId="0DABE62C" w14:textId="77777777" w:rsidTr="00E2008F">
        <w:tc>
          <w:tcPr>
            <w:tcW w:w="1512" w:type="dxa"/>
          </w:tcPr>
          <w:p w14:paraId="5EE0E3D8" w14:textId="77777777" w:rsidR="00793A20" w:rsidRDefault="00000000">
            <w:r>
              <w:rPr>
                <w:sz w:val="22"/>
              </w:rPr>
              <w:t>2</w:t>
            </w:r>
          </w:p>
        </w:tc>
        <w:tc>
          <w:tcPr>
            <w:tcW w:w="1512" w:type="dxa"/>
          </w:tcPr>
          <w:p w14:paraId="7491BC91" w14:textId="77777777" w:rsidR="00793A20" w:rsidRDefault="00000000">
            <w:r>
              <w:rPr>
                <w:sz w:val="22"/>
              </w:rPr>
              <w:t xml:space="preserve">Osman </w:t>
            </w:r>
            <w:r>
              <w:rPr>
                <w:i/>
                <w:sz w:val="22"/>
              </w:rPr>
              <w:t>et al.</w:t>
            </w:r>
            <w:r>
              <w:rPr>
                <w:sz w:val="22"/>
              </w:rPr>
              <w:t xml:space="preserve"> (2026)</w:t>
            </w:r>
          </w:p>
        </w:tc>
        <w:tc>
          <w:tcPr>
            <w:tcW w:w="1512" w:type="dxa"/>
          </w:tcPr>
          <w:p w14:paraId="15FC047C" w14:textId="77777777" w:rsidR="00793A20" w:rsidRDefault="00000000">
            <w:r>
              <w:rPr>
                <w:sz w:val="22"/>
              </w:rPr>
              <w:t>Cross-sectional</w:t>
            </w:r>
          </w:p>
        </w:tc>
        <w:tc>
          <w:tcPr>
            <w:tcW w:w="1512" w:type="dxa"/>
          </w:tcPr>
          <w:p w14:paraId="0044BBA1" w14:textId="77777777" w:rsidR="00793A20" w:rsidRDefault="00000000">
            <w:r>
              <w:rPr>
                <w:sz w:val="22"/>
              </w:rPr>
              <w:t>384</w:t>
            </w:r>
          </w:p>
        </w:tc>
        <w:tc>
          <w:tcPr>
            <w:tcW w:w="1512" w:type="dxa"/>
          </w:tcPr>
          <w:p w14:paraId="67DEB3E7" w14:textId="77777777" w:rsidR="00793A20" w:rsidRDefault="00000000">
            <w:r>
              <w:rPr>
                <w:sz w:val="22"/>
              </w:rPr>
              <w:t>Risk factors of infection</w:t>
            </w:r>
          </w:p>
        </w:tc>
        <w:tc>
          <w:tcPr>
            <w:tcW w:w="1512" w:type="dxa"/>
          </w:tcPr>
          <w:p w14:paraId="65A88965" w14:textId="77777777" w:rsidR="00793A20" w:rsidRDefault="00000000">
            <w:r>
              <w:rPr>
                <w:sz w:val="22"/>
              </w:rPr>
              <w:t>OR 4.03</w:t>
            </w:r>
          </w:p>
        </w:tc>
      </w:tr>
      <w:tr w:rsidR="00793A20" w14:paraId="66B154F5" w14:textId="77777777" w:rsidTr="00E2008F">
        <w:tc>
          <w:tcPr>
            <w:tcW w:w="1512" w:type="dxa"/>
          </w:tcPr>
          <w:p w14:paraId="16A9F0D7" w14:textId="77777777" w:rsidR="00793A20" w:rsidRDefault="00000000">
            <w:r>
              <w:rPr>
                <w:sz w:val="22"/>
              </w:rPr>
              <w:t>3</w:t>
            </w:r>
          </w:p>
        </w:tc>
        <w:tc>
          <w:tcPr>
            <w:tcW w:w="1512" w:type="dxa"/>
          </w:tcPr>
          <w:p w14:paraId="10892D31" w14:textId="77777777" w:rsidR="00793A20" w:rsidRDefault="00000000">
            <w:r>
              <w:rPr>
                <w:sz w:val="22"/>
              </w:rPr>
              <w:t xml:space="preserve">Matlahova </w:t>
            </w:r>
            <w:r>
              <w:rPr>
                <w:i/>
                <w:sz w:val="22"/>
              </w:rPr>
              <w:t>et al.</w:t>
            </w:r>
            <w:r>
              <w:rPr>
                <w:sz w:val="22"/>
              </w:rPr>
              <w:t xml:space="preserve"> (2026)</w:t>
            </w:r>
          </w:p>
        </w:tc>
        <w:tc>
          <w:tcPr>
            <w:tcW w:w="1512" w:type="dxa"/>
          </w:tcPr>
          <w:p w14:paraId="79977668" w14:textId="77777777" w:rsidR="00793A20" w:rsidRDefault="00000000">
            <w:r>
              <w:rPr>
                <w:sz w:val="22"/>
              </w:rPr>
              <w:t>Cohort</w:t>
            </w:r>
          </w:p>
        </w:tc>
        <w:tc>
          <w:tcPr>
            <w:tcW w:w="1512" w:type="dxa"/>
          </w:tcPr>
          <w:p w14:paraId="42A66A2B" w14:textId="77777777" w:rsidR="00793A20" w:rsidRDefault="00000000">
            <w:r>
              <w:rPr>
                <w:sz w:val="22"/>
              </w:rPr>
              <w:t>210</w:t>
            </w:r>
          </w:p>
        </w:tc>
        <w:tc>
          <w:tcPr>
            <w:tcW w:w="1512" w:type="dxa"/>
          </w:tcPr>
          <w:p w14:paraId="0543CD2A" w14:textId="77777777" w:rsidR="00793A20" w:rsidRDefault="00000000">
            <w:r>
              <w:rPr>
                <w:sz w:val="22"/>
              </w:rPr>
              <w:t>Adverse pregnancy outcomes</w:t>
            </w:r>
          </w:p>
        </w:tc>
        <w:tc>
          <w:tcPr>
            <w:tcW w:w="1512" w:type="dxa"/>
          </w:tcPr>
          <w:p w14:paraId="15227A0F" w14:textId="77777777" w:rsidR="00793A20" w:rsidRDefault="00000000">
            <w:r>
              <w:rPr>
                <w:sz w:val="22"/>
              </w:rPr>
              <w:t>OR 3.10</w:t>
            </w:r>
          </w:p>
        </w:tc>
      </w:tr>
      <w:tr w:rsidR="00793A20" w14:paraId="28CCFDB1" w14:textId="77777777" w:rsidTr="00E2008F">
        <w:tc>
          <w:tcPr>
            <w:tcW w:w="1512" w:type="dxa"/>
          </w:tcPr>
          <w:p w14:paraId="3C152E18" w14:textId="77777777" w:rsidR="00793A20" w:rsidRDefault="00000000">
            <w:r>
              <w:rPr>
                <w:sz w:val="22"/>
              </w:rPr>
              <w:t>4</w:t>
            </w:r>
          </w:p>
        </w:tc>
        <w:tc>
          <w:tcPr>
            <w:tcW w:w="1512" w:type="dxa"/>
          </w:tcPr>
          <w:p w14:paraId="13962890" w14:textId="77777777" w:rsidR="00793A20" w:rsidRDefault="00000000">
            <w:r>
              <w:rPr>
                <w:sz w:val="22"/>
              </w:rPr>
              <w:t xml:space="preserve">Markovic-Denic </w:t>
            </w:r>
            <w:r>
              <w:rPr>
                <w:i/>
                <w:sz w:val="22"/>
              </w:rPr>
              <w:t>et al.</w:t>
            </w:r>
            <w:r>
              <w:rPr>
                <w:sz w:val="22"/>
              </w:rPr>
              <w:t xml:space="preserve"> (2023)</w:t>
            </w:r>
          </w:p>
        </w:tc>
        <w:tc>
          <w:tcPr>
            <w:tcW w:w="1512" w:type="dxa"/>
          </w:tcPr>
          <w:p w14:paraId="029EC7A0" w14:textId="77777777" w:rsidR="00793A20" w:rsidRDefault="00000000">
            <w:r>
              <w:rPr>
                <w:sz w:val="22"/>
              </w:rPr>
              <w:t>Cross-sectional</w:t>
            </w:r>
          </w:p>
        </w:tc>
        <w:tc>
          <w:tcPr>
            <w:tcW w:w="1512" w:type="dxa"/>
          </w:tcPr>
          <w:p w14:paraId="205CF827" w14:textId="77777777" w:rsidR="00793A20" w:rsidRDefault="00000000">
            <w:r>
              <w:rPr>
                <w:sz w:val="22"/>
              </w:rPr>
              <w:t>300</w:t>
            </w:r>
          </w:p>
        </w:tc>
        <w:tc>
          <w:tcPr>
            <w:tcW w:w="1512" w:type="dxa"/>
          </w:tcPr>
          <w:p w14:paraId="29A8BE66" w14:textId="77777777" w:rsidR="00793A20" w:rsidRDefault="00000000">
            <w:r>
              <w:rPr>
                <w:sz w:val="22"/>
              </w:rPr>
              <w:t>Risk factors of infection</w:t>
            </w:r>
          </w:p>
        </w:tc>
        <w:tc>
          <w:tcPr>
            <w:tcW w:w="1512" w:type="dxa"/>
          </w:tcPr>
          <w:p w14:paraId="499D0B72" w14:textId="77777777" w:rsidR="00793A20" w:rsidRDefault="00000000">
            <w:r>
              <w:rPr>
                <w:sz w:val="22"/>
              </w:rPr>
              <w:t>OR 2.50</w:t>
            </w:r>
          </w:p>
        </w:tc>
      </w:tr>
      <w:tr w:rsidR="00793A20" w14:paraId="66FB8E4D" w14:textId="77777777" w:rsidTr="00E2008F">
        <w:tc>
          <w:tcPr>
            <w:tcW w:w="1512" w:type="dxa"/>
          </w:tcPr>
          <w:p w14:paraId="5B2D2AA5" w14:textId="77777777" w:rsidR="00793A20" w:rsidRDefault="00000000">
            <w:r>
              <w:rPr>
                <w:sz w:val="22"/>
              </w:rPr>
              <w:t>5</w:t>
            </w:r>
          </w:p>
        </w:tc>
        <w:tc>
          <w:tcPr>
            <w:tcW w:w="1512" w:type="dxa"/>
          </w:tcPr>
          <w:p w14:paraId="6EC9D062" w14:textId="77777777" w:rsidR="00793A20" w:rsidRDefault="00000000">
            <w:r>
              <w:rPr>
                <w:sz w:val="22"/>
              </w:rPr>
              <w:t xml:space="preserve">Sandoval-Carrillo </w:t>
            </w:r>
            <w:r>
              <w:rPr>
                <w:i/>
                <w:sz w:val="22"/>
              </w:rPr>
              <w:t>et al.</w:t>
            </w:r>
            <w:r>
              <w:rPr>
                <w:sz w:val="22"/>
              </w:rPr>
              <w:t xml:space="preserve"> (2020)</w:t>
            </w:r>
          </w:p>
        </w:tc>
        <w:tc>
          <w:tcPr>
            <w:tcW w:w="1512" w:type="dxa"/>
          </w:tcPr>
          <w:p w14:paraId="4F4C34A4" w14:textId="77777777" w:rsidR="00793A20" w:rsidRDefault="00000000">
            <w:r>
              <w:rPr>
                <w:sz w:val="22"/>
              </w:rPr>
              <w:t>Cross-sectional</w:t>
            </w:r>
          </w:p>
        </w:tc>
        <w:tc>
          <w:tcPr>
            <w:tcW w:w="1512" w:type="dxa"/>
          </w:tcPr>
          <w:p w14:paraId="398C46EE" w14:textId="77777777" w:rsidR="00793A20" w:rsidRDefault="00000000">
            <w:r>
              <w:rPr>
                <w:sz w:val="22"/>
              </w:rPr>
              <w:t>311</w:t>
            </w:r>
          </w:p>
        </w:tc>
        <w:tc>
          <w:tcPr>
            <w:tcW w:w="1512" w:type="dxa"/>
          </w:tcPr>
          <w:p w14:paraId="5589D9A6" w14:textId="77777777" w:rsidR="00793A20" w:rsidRDefault="00000000">
            <w:r>
              <w:rPr>
                <w:sz w:val="22"/>
              </w:rPr>
              <w:t>Risk factors of infection</w:t>
            </w:r>
          </w:p>
        </w:tc>
        <w:tc>
          <w:tcPr>
            <w:tcW w:w="1512" w:type="dxa"/>
          </w:tcPr>
          <w:p w14:paraId="246F9032" w14:textId="77777777" w:rsidR="00793A20" w:rsidRDefault="00000000">
            <w:r>
              <w:rPr>
                <w:sz w:val="22"/>
              </w:rPr>
              <w:t>OR 2.18</w:t>
            </w:r>
          </w:p>
        </w:tc>
      </w:tr>
      <w:tr w:rsidR="00793A20" w14:paraId="0CEC9404" w14:textId="77777777" w:rsidTr="00E2008F">
        <w:tc>
          <w:tcPr>
            <w:tcW w:w="1512" w:type="dxa"/>
          </w:tcPr>
          <w:p w14:paraId="5B8F0C64" w14:textId="77777777" w:rsidR="00793A20" w:rsidRDefault="00000000">
            <w:r>
              <w:rPr>
                <w:sz w:val="22"/>
              </w:rPr>
              <w:t>6</w:t>
            </w:r>
          </w:p>
        </w:tc>
        <w:tc>
          <w:tcPr>
            <w:tcW w:w="1512" w:type="dxa"/>
          </w:tcPr>
          <w:p w14:paraId="19DB522A" w14:textId="77777777" w:rsidR="00793A20" w:rsidRDefault="00000000">
            <w:r>
              <w:rPr>
                <w:sz w:val="22"/>
              </w:rPr>
              <w:t xml:space="preserve">Cook </w:t>
            </w:r>
            <w:r>
              <w:rPr>
                <w:i/>
                <w:sz w:val="22"/>
              </w:rPr>
              <w:t>et al.</w:t>
            </w:r>
            <w:r>
              <w:rPr>
                <w:sz w:val="22"/>
              </w:rPr>
              <w:t xml:space="preserve"> (2000)</w:t>
            </w:r>
          </w:p>
        </w:tc>
        <w:tc>
          <w:tcPr>
            <w:tcW w:w="1512" w:type="dxa"/>
          </w:tcPr>
          <w:p w14:paraId="0DEBD613" w14:textId="77777777" w:rsidR="00793A20" w:rsidRDefault="00000000">
            <w:r>
              <w:rPr>
                <w:sz w:val="22"/>
              </w:rPr>
              <w:t>Case-control</w:t>
            </w:r>
          </w:p>
        </w:tc>
        <w:tc>
          <w:tcPr>
            <w:tcW w:w="1512" w:type="dxa"/>
          </w:tcPr>
          <w:p w14:paraId="2B804EF3" w14:textId="77777777" w:rsidR="00793A20" w:rsidRDefault="00000000">
            <w:r>
              <w:rPr>
                <w:sz w:val="22"/>
              </w:rPr>
              <w:t>Multicentre</w:t>
            </w:r>
          </w:p>
        </w:tc>
        <w:tc>
          <w:tcPr>
            <w:tcW w:w="1512" w:type="dxa"/>
          </w:tcPr>
          <w:p w14:paraId="74619505" w14:textId="77777777" w:rsidR="00793A20" w:rsidRDefault="00000000">
            <w:r>
              <w:rPr>
                <w:sz w:val="22"/>
              </w:rPr>
              <w:t>Sources/risk factors of infection</w:t>
            </w:r>
          </w:p>
        </w:tc>
        <w:tc>
          <w:tcPr>
            <w:tcW w:w="1512" w:type="dxa"/>
          </w:tcPr>
          <w:p w14:paraId="5E9ECB5D" w14:textId="77777777" w:rsidR="00793A20" w:rsidRDefault="00000000">
            <w:r>
              <w:rPr>
                <w:sz w:val="22"/>
              </w:rPr>
              <w:t>OR approximately 2.0-3.0</w:t>
            </w:r>
          </w:p>
        </w:tc>
      </w:tr>
      <w:tr w:rsidR="00793A20" w14:paraId="6F70465C" w14:textId="77777777" w:rsidTr="00E2008F">
        <w:tc>
          <w:tcPr>
            <w:tcW w:w="1512" w:type="dxa"/>
          </w:tcPr>
          <w:p w14:paraId="6AF72023" w14:textId="77777777" w:rsidR="00793A20" w:rsidRDefault="00000000">
            <w:r>
              <w:rPr>
                <w:sz w:val="22"/>
              </w:rPr>
              <w:t>7</w:t>
            </w:r>
          </w:p>
        </w:tc>
        <w:tc>
          <w:tcPr>
            <w:tcW w:w="1512" w:type="dxa"/>
          </w:tcPr>
          <w:p w14:paraId="2598D1E2" w14:textId="77777777" w:rsidR="00793A20" w:rsidRDefault="00000000">
            <w:r>
              <w:rPr>
                <w:sz w:val="22"/>
              </w:rPr>
              <w:t xml:space="preserve">Singh </w:t>
            </w:r>
            <w:r>
              <w:rPr>
                <w:i/>
                <w:sz w:val="22"/>
              </w:rPr>
              <w:t>et al.</w:t>
            </w:r>
            <w:r>
              <w:rPr>
                <w:sz w:val="22"/>
              </w:rPr>
              <w:t xml:space="preserve"> (2021)</w:t>
            </w:r>
          </w:p>
        </w:tc>
        <w:tc>
          <w:tcPr>
            <w:tcW w:w="1512" w:type="dxa"/>
          </w:tcPr>
          <w:p w14:paraId="72B8859E" w14:textId="77777777" w:rsidR="00793A20" w:rsidRDefault="00000000">
            <w:r>
              <w:rPr>
                <w:sz w:val="22"/>
              </w:rPr>
              <w:t>Cross-sectional</w:t>
            </w:r>
          </w:p>
        </w:tc>
        <w:tc>
          <w:tcPr>
            <w:tcW w:w="1512" w:type="dxa"/>
          </w:tcPr>
          <w:p w14:paraId="2BEAF948" w14:textId="77777777" w:rsidR="00793A20" w:rsidRDefault="00000000">
            <w:r>
              <w:rPr>
                <w:sz w:val="22"/>
              </w:rPr>
              <w:t>400</w:t>
            </w:r>
          </w:p>
        </w:tc>
        <w:tc>
          <w:tcPr>
            <w:tcW w:w="1512" w:type="dxa"/>
          </w:tcPr>
          <w:p w14:paraId="706A14CC" w14:textId="77777777" w:rsidR="00793A20" w:rsidRDefault="00000000">
            <w:r>
              <w:rPr>
                <w:sz w:val="22"/>
              </w:rPr>
              <w:t>Risk factors of infection</w:t>
            </w:r>
          </w:p>
        </w:tc>
        <w:tc>
          <w:tcPr>
            <w:tcW w:w="1512" w:type="dxa"/>
          </w:tcPr>
          <w:p w14:paraId="30ACC78D" w14:textId="77777777" w:rsidR="00793A20" w:rsidRDefault="00000000">
            <w:r>
              <w:rPr>
                <w:sz w:val="22"/>
              </w:rPr>
              <w:t>OR 1.80</w:t>
            </w:r>
          </w:p>
        </w:tc>
      </w:tr>
      <w:tr w:rsidR="00793A20" w14:paraId="78D01638" w14:textId="77777777" w:rsidTr="00E2008F">
        <w:tc>
          <w:tcPr>
            <w:tcW w:w="1512" w:type="dxa"/>
          </w:tcPr>
          <w:p w14:paraId="414824F8" w14:textId="77777777" w:rsidR="00793A20" w:rsidRDefault="00000000">
            <w:r>
              <w:rPr>
                <w:sz w:val="22"/>
              </w:rPr>
              <w:t>8</w:t>
            </w:r>
          </w:p>
        </w:tc>
        <w:tc>
          <w:tcPr>
            <w:tcW w:w="1512" w:type="dxa"/>
          </w:tcPr>
          <w:p w14:paraId="07BF0727" w14:textId="77777777" w:rsidR="00793A20" w:rsidRDefault="00000000">
            <w:r>
              <w:rPr>
                <w:sz w:val="22"/>
              </w:rPr>
              <w:t xml:space="preserve">Bienkowski </w:t>
            </w:r>
            <w:r>
              <w:rPr>
                <w:i/>
                <w:sz w:val="22"/>
              </w:rPr>
              <w:t>et al.</w:t>
            </w:r>
            <w:r>
              <w:rPr>
                <w:sz w:val="22"/>
              </w:rPr>
              <w:t xml:space="preserve"> (2022)</w:t>
            </w:r>
          </w:p>
        </w:tc>
        <w:tc>
          <w:tcPr>
            <w:tcW w:w="1512" w:type="dxa"/>
          </w:tcPr>
          <w:p w14:paraId="46821A77" w14:textId="77777777" w:rsidR="00793A20" w:rsidRDefault="00000000">
            <w:r>
              <w:rPr>
                <w:sz w:val="22"/>
              </w:rPr>
              <w:t>Case-control</w:t>
            </w:r>
          </w:p>
        </w:tc>
        <w:tc>
          <w:tcPr>
            <w:tcW w:w="1512" w:type="dxa"/>
          </w:tcPr>
          <w:p w14:paraId="083E2305" w14:textId="77777777" w:rsidR="00793A20" w:rsidRDefault="00000000">
            <w:r>
              <w:rPr>
                <w:sz w:val="22"/>
              </w:rPr>
              <w:t>273</w:t>
            </w:r>
          </w:p>
        </w:tc>
        <w:tc>
          <w:tcPr>
            <w:tcW w:w="1512" w:type="dxa"/>
          </w:tcPr>
          <w:p w14:paraId="52D23DD9" w14:textId="77777777" w:rsidR="00793A20" w:rsidRDefault="00000000">
            <w:r>
              <w:rPr>
                <w:sz w:val="22"/>
              </w:rPr>
              <w:t>Risk factors of infection</w:t>
            </w:r>
          </w:p>
        </w:tc>
        <w:tc>
          <w:tcPr>
            <w:tcW w:w="1512" w:type="dxa"/>
          </w:tcPr>
          <w:p w14:paraId="669B8F29" w14:textId="77777777" w:rsidR="00793A20" w:rsidRDefault="00000000">
            <w:r>
              <w:rPr>
                <w:sz w:val="22"/>
              </w:rPr>
              <w:t>OR 2.89</w:t>
            </w:r>
          </w:p>
        </w:tc>
      </w:tr>
      <w:tr w:rsidR="00793A20" w14:paraId="6A16A82D" w14:textId="77777777" w:rsidTr="00E2008F">
        <w:tc>
          <w:tcPr>
            <w:tcW w:w="1512" w:type="dxa"/>
          </w:tcPr>
          <w:p w14:paraId="61F16BFC" w14:textId="77777777" w:rsidR="00793A20" w:rsidRDefault="00000000">
            <w:r>
              <w:rPr>
                <w:sz w:val="22"/>
              </w:rPr>
              <w:t>9</w:t>
            </w:r>
          </w:p>
        </w:tc>
        <w:tc>
          <w:tcPr>
            <w:tcW w:w="1512" w:type="dxa"/>
          </w:tcPr>
          <w:p w14:paraId="05C89651" w14:textId="77777777" w:rsidR="00793A20" w:rsidRDefault="00000000">
            <w:r>
              <w:rPr>
                <w:sz w:val="22"/>
              </w:rPr>
              <w:t xml:space="preserve">Daka </w:t>
            </w:r>
            <w:r>
              <w:rPr>
                <w:i/>
                <w:sz w:val="22"/>
              </w:rPr>
              <w:t>et al.</w:t>
            </w:r>
            <w:r>
              <w:rPr>
                <w:sz w:val="22"/>
              </w:rPr>
              <w:t xml:space="preserve"> (2024)</w:t>
            </w:r>
          </w:p>
        </w:tc>
        <w:tc>
          <w:tcPr>
            <w:tcW w:w="1512" w:type="dxa"/>
          </w:tcPr>
          <w:p w14:paraId="7B3B46E3" w14:textId="77777777" w:rsidR="00793A20" w:rsidRDefault="00000000">
            <w:r>
              <w:rPr>
                <w:sz w:val="22"/>
              </w:rPr>
              <w:t>Cross-sectional</w:t>
            </w:r>
          </w:p>
        </w:tc>
        <w:tc>
          <w:tcPr>
            <w:tcW w:w="1512" w:type="dxa"/>
          </w:tcPr>
          <w:p w14:paraId="2C1B6BC6" w14:textId="77777777" w:rsidR="00793A20" w:rsidRDefault="00000000">
            <w:r>
              <w:rPr>
                <w:sz w:val="22"/>
              </w:rPr>
              <w:t>&gt;1 000</w:t>
            </w:r>
          </w:p>
        </w:tc>
        <w:tc>
          <w:tcPr>
            <w:tcW w:w="1512" w:type="dxa"/>
          </w:tcPr>
          <w:p w14:paraId="330267C4" w14:textId="77777777" w:rsidR="00793A20" w:rsidRDefault="00000000">
            <w:r>
              <w:rPr>
                <w:sz w:val="22"/>
              </w:rPr>
              <w:t>Seroprevalence/risk factors</w:t>
            </w:r>
          </w:p>
        </w:tc>
        <w:tc>
          <w:tcPr>
            <w:tcW w:w="1512" w:type="dxa"/>
          </w:tcPr>
          <w:p w14:paraId="7E53A610" w14:textId="77777777" w:rsidR="00793A20" w:rsidRDefault="00000000">
            <w:r>
              <w:rPr>
                <w:sz w:val="22"/>
              </w:rPr>
              <w:t>OR approximately 1.70</w:t>
            </w:r>
          </w:p>
        </w:tc>
      </w:tr>
      <w:tr w:rsidR="00793A20" w14:paraId="5146625D" w14:textId="77777777" w:rsidTr="00E2008F">
        <w:tc>
          <w:tcPr>
            <w:tcW w:w="1512" w:type="dxa"/>
          </w:tcPr>
          <w:p w14:paraId="023EA3A3" w14:textId="77777777" w:rsidR="00793A20" w:rsidRDefault="00000000">
            <w:r>
              <w:rPr>
                <w:sz w:val="22"/>
              </w:rPr>
              <w:t>10</w:t>
            </w:r>
          </w:p>
        </w:tc>
        <w:tc>
          <w:tcPr>
            <w:tcW w:w="1512" w:type="dxa"/>
          </w:tcPr>
          <w:p w14:paraId="38185D29" w14:textId="77777777" w:rsidR="00793A20" w:rsidRDefault="00000000">
            <w:r>
              <w:rPr>
                <w:sz w:val="22"/>
              </w:rPr>
              <w:t xml:space="preserve">Zeinali </w:t>
            </w:r>
            <w:r>
              <w:rPr>
                <w:i/>
                <w:sz w:val="22"/>
              </w:rPr>
              <w:t>et al.</w:t>
            </w:r>
            <w:r>
              <w:rPr>
                <w:sz w:val="22"/>
              </w:rPr>
              <w:t xml:space="preserve"> (2023)</w:t>
            </w:r>
          </w:p>
        </w:tc>
        <w:tc>
          <w:tcPr>
            <w:tcW w:w="1512" w:type="dxa"/>
          </w:tcPr>
          <w:p w14:paraId="19BAC989" w14:textId="77777777" w:rsidR="00793A20" w:rsidRDefault="00000000">
            <w:r>
              <w:rPr>
                <w:sz w:val="22"/>
              </w:rPr>
              <w:t>Cross-sectional</w:t>
            </w:r>
          </w:p>
        </w:tc>
        <w:tc>
          <w:tcPr>
            <w:tcW w:w="1512" w:type="dxa"/>
          </w:tcPr>
          <w:p w14:paraId="2DD25CDF" w14:textId="77777777" w:rsidR="00793A20" w:rsidRDefault="00000000">
            <w:r>
              <w:rPr>
                <w:sz w:val="22"/>
              </w:rPr>
              <w:t>215</w:t>
            </w:r>
          </w:p>
        </w:tc>
        <w:tc>
          <w:tcPr>
            <w:tcW w:w="1512" w:type="dxa"/>
          </w:tcPr>
          <w:p w14:paraId="7A419127" w14:textId="77777777" w:rsidR="00793A20" w:rsidRDefault="00000000">
            <w:r>
              <w:rPr>
                <w:sz w:val="22"/>
              </w:rPr>
              <w:t>Miscarriage-related detection</w:t>
            </w:r>
          </w:p>
        </w:tc>
        <w:tc>
          <w:tcPr>
            <w:tcW w:w="1512" w:type="dxa"/>
          </w:tcPr>
          <w:p w14:paraId="406A8393" w14:textId="77777777" w:rsidR="00793A20" w:rsidRDefault="00000000">
            <w:r>
              <w:rPr>
                <w:sz w:val="22"/>
              </w:rPr>
              <w:t>Prevalence/effect data reported</w:t>
            </w:r>
          </w:p>
        </w:tc>
      </w:tr>
      <w:tr w:rsidR="00793A20" w14:paraId="32F1EEF2" w14:textId="77777777" w:rsidTr="00E2008F">
        <w:tc>
          <w:tcPr>
            <w:tcW w:w="1512" w:type="dxa"/>
          </w:tcPr>
          <w:p w14:paraId="143859F6" w14:textId="77777777" w:rsidR="00793A20" w:rsidRDefault="00000000">
            <w:r>
              <w:rPr>
                <w:sz w:val="22"/>
              </w:rPr>
              <w:t>11</w:t>
            </w:r>
          </w:p>
        </w:tc>
        <w:tc>
          <w:tcPr>
            <w:tcW w:w="1512" w:type="dxa"/>
          </w:tcPr>
          <w:p w14:paraId="50DFF37B" w14:textId="77777777" w:rsidR="00793A20" w:rsidRDefault="00000000">
            <w:r>
              <w:rPr>
                <w:sz w:val="22"/>
              </w:rPr>
              <w:t xml:space="preserve">Avelino </w:t>
            </w:r>
            <w:r>
              <w:rPr>
                <w:i/>
                <w:sz w:val="22"/>
              </w:rPr>
              <w:t>et al.</w:t>
            </w:r>
            <w:r>
              <w:rPr>
                <w:sz w:val="22"/>
              </w:rPr>
              <w:t xml:space="preserve"> (2004)</w:t>
            </w:r>
          </w:p>
        </w:tc>
        <w:tc>
          <w:tcPr>
            <w:tcW w:w="1512" w:type="dxa"/>
          </w:tcPr>
          <w:p w14:paraId="3A8C899B" w14:textId="77777777" w:rsidR="00793A20" w:rsidRDefault="00000000">
            <w:r>
              <w:rPr>
                <w:sz w:val="22"/>
              </w:rPr>
              <w:t>Cross-sectional</w:t>
            </w:r>
          </w:p>
        </w:tc>
        <w:tc>
          <w:tcPr>
            <w:tcW w:w="1512" w:type="dxa"/>
          </w:tcPr>
          <w:p w14:paraId="3C87C392" w14:textId="77777777" w:rsidR="00793A20" w:rsidRDefault="00000000">
            <w:r>
              <w:rPr>
                <w:sz w:val="22"/>
              </w:rPr>
              <w:t>&gt;300</w:t>
            </w:r>
          </w:p>
        </w:tc>
        <w:tc>
          <w:tcPr>
            <w:tcW w:w="1512" w:type="dxa"/>
          </w:tcPr>
          <w:p w14:paraId="3F667DB9" w14:textId="77777777" w:rsidR="00793A20" w:rsidRDefault="00000000">
            <w:r>
              <w:rPr>
                <w:sz w:val="22"/>
              </w:rPr>
              <w:t>Risk factors of infection</w:t>
            </w:r>
          </w:p>
        </w:tc>
        <w:tc>
          <w:tcPr>
            <w:tcW w:w="1512" w:type="dxa"/>
          </w:tcPr>
          <w:p w14:paraId="59F1F933" w14:textId="77777777" w:rsidR="00793A20" w:rsidRDefault="00000000">
            <w:r>
              <w:rPr>
                <w:sz w:val="22"/>
              </w:rPr>
              <w:t>OR reported</w:t>
            </w:r>
          </w:p>
        </w:tc>
      </w:tr>
      <w:tr w:rsidR="00793A20" w14:paraId="25929BDC" w14:textId="77777777" w:rsidTr="00E2008F">
        <w:tc>
          <w:tcPr>
            <w:tcW w:w="1512" w:type="dxa"/>
          </w:tcPr>
          <w:p w14:paraId="06689674" w14:textId="77777777" w:rsidR="00793A20" w:rsidRDefault="00000000">
            <w:r>
              <w:t>12</w:t>
            </w:r>
          </w:p>
        </w:tc>
        <w:tc>
          <w:tcPr>
            <w:tcW w:w="1512" w:type="dxa"/>
          </w:tcPr>
          <w:p w14:paraId="7560A020" w14:textId="77777777" w:rsidR="00793A20" w:rsidRDefault="00000000">
            <w:r>
              <w:t xml:space="preserve">Suhaila et </w:t>
            </w:r>
            <w:r>
              <w:lastRenderedPageBreak/>
              <w:t>al. (2025)</w:t>
            </w:r>
          </w:p>
        </w:tc>
        <w:tc>
          <w:tcPr>
            <w:tcW w:w="1512" w:type="dxa"/>
          </w:tcPr>
          <w:p w14:paraId="16EBF07A" w14:textId="77777777" w:rsidR="00793A20" w:rsidRDefault="00000000">
            <w:r>
              <w:lastRenderedPageBreak/>
              <w:t>Cross-</w:t>
            </w:r>
            <w:r>
              <w:lastRenderedPageBreak/>
              <w:t>sectional</w:t>
            </w:r>
          </w:p>
        </w:tc>
        <w:tc>
          <w:tcPr>
            <w:tcW w:w="1512" w:type="dxa"/>
          </w:tcPr>
          <w:p w14:paraId="74752DBE" w14:textId="77777777" w:rsidR="00793A20" w:rsidRDefault="00000000">
            <w:r>
              <w:lastRenderedPageBreak/>
              <w:t>NR</w:t>
            </w:r>
          </w:p>
        </w:tc>
        <w:tc>
          <w:tcPr>
            <w:tcW w:w="1512" w:type="dxa"/>
          </w:tcPr>
          <w:p w14:paraId="4E68BF6B" w14:textId="77777777" w:rsidR="00793A20" w:rsidRDefault="00000000">
            <w:r>
              <w:t>Pregnancy outcomes</w:t>
            </w:r>
          </w:p>
        </w:tc>
        <w:tc>
          <w:tcPr>
            <w:tcW w:w="1512" w:type="dxa"/>
          </w:tcPr>
          <w:p w14:paraId="23844D34" w14:textId="77777777" w:rsidR="00793A20" w:rsidRDefault="00000000">
            <w:r>
              <w:t xml:space="preserve">Outcome data </w:t>
            </w:r>
            <w:r>
              <w:lastRenderedPageBreak/>
              <w:t>reported</w:t>
            </w:r>
          </w:p>
        </w:tc>
      </w:tr>
      <w:tr w:rsidR="00793A20" w14:paraId="299BEFAB" w14:textId="77777777" w:rsidTr="00E2008F">
        <w:tc>
          <w:tcPr>
            <w:tcW w:w="1512" w:type="dxa"/>
          </w:tcPr>
          <w:p w14:paraId="047203D8" w14:textId="77777777" w:rsidR="00793A20" w:rsidRDefault="00000000">
            <w:r>
              <w:rPr>
                <w:sz w:val="22"/>
              </w:rPr>
              <w:lastRenderedPageBreak/>
              <w:t>13</w:t>
            </w:r>
          </w:p>
        </w:tc>
        <w:tc>
          <w:tcPr>
            <w:tcW w:w="1512" w:type="dxa"/>
          </w:tcPr>
          <w:p w14:paraId="250A1C6F" w14:textId="77777777" w:rsidR="00793A20" w:rsidRDefault="00000000">
            <w:r>
              <w:rPr>
                <w:sz w:val="22"/>
              </w:rPr>
              <w:t xml:space="preserve">Salari </w:t>
            </w:r>
            <w:r>
              <w:rPr>
                <w:i/>
                <w:sz w:val="22"/>
              </w:rPr>
              <w:t>et al.</w:t>
            </w:r>
            <w:r>
              <w:rPr>
                <w:sz w:val="22"/>
              </w:rPr>
              <w:t xml:space="preserve"> (2025)</w:t>
            </w:r>
          </w:p>
        </w:tc>
        <w:tc>
          <w:tcPr>
            <w:tcW w:w="1512" w:type="dxa"/>
          </w:tcPr>
          <w:p w14:paraId="0FF19330" w14:textId="77777777" w:rsidR="00793A20" w:rsidRDefault="00000000">
            <w:r>
              <w:rPr>
                <w:sz w:val="22"/>
              </w:rPr>
              <w:t>Cross-sectional/meta-derived context</w:t>
            </w:r>
          </w:p>
        </w:tc>
        <w:tc>
          <w:tcPr>
            <w:tcW w:w="1512" w:type="dxa"/>
          </w:tcPr>
          <w:p w14:paraId="41A84924" w14:textId="77777777" w:rsidR="00793A20" w:rsidRDefault="00000000">
            <w:r>
              <w:rPr>
                <w:sz w:val="22"/>
              </w:rPr>
              <w:t>&gt;250</w:t>
            </w:r>
          </w:p>
        </w:tc>
        <w:tc>
          <w:tcPr>
            <w:tcW w:w="1512" w:type="dxa"/>
          </w:tcPr>
          <w:p w14:paraId="700AC676" w14:textId="77777777" w:rsidR="00793A20" w:rsidRDefault="00000000">
            <w:r>
              <w:rPr>
                <w:sz w:val="22"/>
              </w:rPr>
              <w:t>Pregnancy outcomes/seroprevalence</w:t>
            </w:r>
          </w:p>
        </w:tc>
        <w:tc>
          <w:tcPr>
            <w:tcW w:w="1512" w:type="dxa"/>
          </w:tcPr>
          <w:p w14:paraId="686C9BA5" w14:textId="77777777" w:rsidR="00793A20" w:rsidRDefault="00000000">
            <w:r>
              <w:rPr>
                <w:sz w:val="22"/>
              </w:rPr>
              <w:t>OR reported</w:t>
            </w:r>
          </w:p>
        </w:tc>
      </w:tr>
      <w:tr w:rsidR="00793A20" w14:paraId="278418A1" w14:textId="77777777" w:rsidTr="00E2008F">
        <w:tc>
          <w:tcPr>
            <w:tcW w:w="1512" w:type="dxa"/>
          </w:tcPr>
          <w:p w14:paraId="5E464E15" w14:textId="77777777" w:rsidR="00793A20" w:rsidRDefault="00000000">
            <w:r>
              <w:rPr>
                <w:sz w:val="22"/>
              </w:rPr>
              <w:t>14</w:t>
            </w:r>
          </w:p>
        </w:tc>
        <w:tc>
          <w:tcPr>
            <w:tcW w:w="1512" w:type="dxa"/>
          </w:tcPr>
          <w:p w14:paraId="4A2E6919" w14:textId="77777777" w:rsidR="00793A20" w:rsidRDefault="00000000">
            <w:r>
              <w:rPr>
                <w:sz w:val="22"/>
              </w:rPr>
              <w:t>Karshima &amp; Karshima (2020)</w:t>
            </w:r>
          </w:p>
        </w:tc>
        <w:tc>
          <w:tcPr>
            <w:tcW w:w="1512" w:type="dxa"/>
          </w:tcPr>
          <w:p w14:paraId="7182CC61" w14:textId="77777777" w:rsidR="00793A20" w:rsidRDefault="00000000">
            <w:r>
              <w:rPr>
                <w:sz w:val="22"/>
              </w:rPr>
              <w:t>Meta-derived contextual data</w:t>
            </w:r>
          </w:p>
        </w:tc>
        <w:tc>
          <w:tcPr>
            <w:tcW w:w="1512" w:type="dxa"/>
          </w:tcPr>
          <w:p w14:paraId="41E79F72" w14:textId="77777777" w:rsidR="00793A20" w:rsidRDefault="00000000">
            <w:r>
              <w:rPr>
                <w:sz w:val="22"/>
              </w:rPr>
              <w:t>Multiple</w:t>
            </w:r>
          </w:p>
        </w:tc>
        <w:tc>
          <w:tcPr>
            <w:tcW w:w="1512" w:type="dxa"/>
          </w:tcPr>
          <w:p w14:paraId="6DDCBC24" w14:textId="77777777" w:rsidR="00793A20" w:rsidRDefault="00000000">
            <w:r>
              <w:rPr>
                <w:sz w:val="22"/>
              </w:rPr>
              <w:t>Seroprevalence</w:t>
            </w:r>
          </w:p>
        </w:tc>
        <w:tc>
          <w:tcPr>
            <w:tcW w:w="1512" w:type="dxa"/>
          </w:tcPr>
          <w:p w14:paraId="482AA837" w14:textId="77777777" w:rsidR="00793A20" w:rsidRDefault="00000000">
            <w:r>
              <w:rPr>
                <w:sz w:val="22"/>
              </w:rPr>
              <w:t>OR estimated</w:t>
            </w:r>
          </w:p>
        </w:tc>
      </w:tr>
      <w:tr w:rsidR="00793A20" w14:paraId="42B7BF04" w14:textId="77777777" w:rsidTr="00E2008F">
        <w:tc>
          <w:tcPr>
            <w:tcW w:w="1512" w:type="dxa"/>
          </w:tcPr>
          <w:p w14:paraId="11B19961" w14:textId="77777777" w:rsidR="00793A20" w:rsidRDefault="00000000">
            <w:r>
              <w:rPr>
                <w:sz w:val="22"/>
              </w:rPr>
              <w:t>15</w:t>
            </w:r>
          </w:p>
        </w:tc>
        <w:tc>
          <w:tcPr>
            <w:tcW w:w="1512" w:type="dxa"/>
          </w:tcPr>
          <w:p w14:paraId="6555DD40" w14:textId="77777777" w:rsidR="00793A20" w:rsidRDefault="00000000">
            <w:r>
              <w:rPr>
                <w:sz w:val="22"/>
              </w:rPr>
              <w:t xml:space="preserve">Tarekegn </w:t>
            </w:r>
            <w:r>
              <w:rPr>
                <w:i/>
                <w:sz w:val="22"/>
              </w:rPr>
              <w:t>et al.</w:t>
            </w:r>
            <w:r>
              <w:rPr>
                <w:sz w:val="22"/>
              </w:rPr>
              <w:t xml:space="preserve"> (2020)</w:t>
            </w:r>
          </w:p>
        </w:tc>
        <w:tc>
          <w:tcPr>
            <w:tcW w:w="1512" w:type="dxa"/>
          </w:tcPr>
          <w:p w14:paraId="2A15D73D" w14:textId="77777777" w:rsidR="00793A20" w:rsidRDefault="00000000">
            <w:r>
              <w:rPr>
                <w:sz w:val="22"/>
              </w:rPr>
              <w:t>Cross-sectional/meta-analysis context</w:t>
            </w:r>
          </w:p>
        </w:tc>
        <w:tc>
          <w:tcPr>
            <w:tcW w:w="1512" w:type="dxa"/>
          </w:tcPr>
          <w:p w14:paraId="22EF03B9" w14:textId="77777777" w:rsidR="00793A20" w:rsidRDefault="00000000">
            <w:r>
              <w:rPr>
                <w:sz w:val="22"/>
              </w:rPr>
              <w:t>&gt;350</w:t>
            </w:r>
          </w:p>
        </w:tc>
        <w:tc>
          <w:tcPr>
            <w:tcW w:w="1512" w:type="dxa"/>
          </w:tcPr>
          <w:p w14:paraId="466E8B66" w14:textId="77777777" w:rsidR="00793A20" w:rsidRDefault="00000000">
            <w:r>
              <w:rPr>
                <w:sz w:val="22"/>
              </w:rPr>
              <w:t>Risk factors</w:t>
            </w:r>
          </w:p>
        </w:tc>
        <w:tc>
          <w:tcPr>
            <w:tcW w:w="1512" w:type="dxa"/>
          </w:tcPr>
          <w:p w14:paraId="19E6B4EE" w14:textId="77777777" w:rsidR="00793A20" w:rsidRDefault="00000000">
            <w:r>
              <w:rPr>
                <w:sz w:val="22"/>
              </w:rPr>
              <w:t>OR reported</w:t>
            </w:r>
          </w:p>
        </w:tc>
      </w:tr>
    </w:tbl>
    <w:p w14:paraId="1E27CAE8" w14:textId="77777777" w:rsidR="00793A20" w:rsidRDefault="00793A20">
      <w:pPr>
        <w:spacing w:after="0" w:line="480" w:lineRule="auto"/>
      </w:pPr>
    </w:p>
    <w:p w14:paraId="779FE093" w14:textId="77777777" w:rsidR="00793A20" w:rsidRDefault="00000000">
      <w:pPr>
        <w:spacing w:after="0" w:line="240" w:lineRule="auto"/>
      </w:pPr>
      <w:r>
        <w:rPr>
          <w:b/>
        </w:rPr>
        <w:t>Table III. Summary of pooled effect estimates for adverse pregnancy outcomes.</w:t>
      </w:r>
    </w:p>
    <w:tbl>
      <w:tblPr>
        <w:tblStyle w:val="TableGrid"/>
        <w:tblW w:w="0" w:type="auto"/>
        <w:tblLook w:val="04A0" w:firstRow="1" w:lastRow="0" w:firstColumn="1" w:lastColumn="0" w:noHBand="0" w:noVBand="1"/>
      </w:tblPr>
      <w:tblGrid>
        <w:gridCol w:w="2268"/>
        <w:gridCol w:w="2268"/>
        <w:gridCol w:w="2268"/>
        <w:gridCol w:w="2268"/>
      </w:tblGrid>
      <w:tr w:rsidR="00793A20" w14:paraId="03C51E4D" w14:textId="77777777" w:rsidTr="00E2008F">
        <w:tc>
          <w:tcPr>
            <w:tcW w:w="2268" w:type="dxa"/>
          </w:tcPr>
          <w:p w14:paraId="4B774D61" w14:textId="77777777" w:rsidR="00793A20" w:rsidRDefault="00000000">
            <w:r>
              <w:rPr>
                <w:b/>
                <w:sz w:val="22"/>
              </w:rPr>
              <w:t>Outcome</w:t>
            </w:r>
          </w:p>
        </w:tc>
        <w:tc>
          <w:tcPr>
            <w:tcW w:w="2268" w:type="dxa"/>
          </w:tcPr>
          <w:p w14:paraId="3AE06452" w14:textId="77777777" w:rsidR="00793A20" w:rsidRDefault="00000000">
            <w:r>
              <w:rPr>
                <w:b/>
                <w:sz w:val="22"/>
              </w:rPr>
              <w:t>Pooled OR</w:t>
            </w:r>
          </w:p>
        </w:tc>
        <w:tc>
          <w:tcPr>
            <w:tcW w:w="2268" w:type="dxa"/>
          </w:tcPr>
          <w:p w14:paraId="4D756EB6" w14:textId="77777777" w:rsidR="00793A20" w:rsidRDefault="00000000">
            <w:r>
              <w:rPr>
                <w:b/>
                <w:sz w:val="22"/>
              </w:rPr>
              <w:t>95% CI</w:t>
            </w:r>
          </w:p>
        </w:tc>
        <w:tc>
          <w:tcPr>
            <w:tcW w:w="2268" w:type="dxa"/>
          </w:tcPr>
          <w:p w14:paraId="2D251C8D" w14:textId="77777777" w:rsidR="00793A20" w:rsidRDefault="00000000">
            <w:r>
              <w:rPr>
                <w:b/>
                <w:sz w:val="22"/>
              </w:rPr>
              <w:t>Interpretation</w:t>
            </w:r>
          </w:p>
        </w:tc>
      </w:tr>
      <w:tr w:rsidR="00793A20" w14:paraId="29B44AC4" w14:textId="77777777" w:rsidTr="00E2008F">
        <w:tc>
          <w:tcPr>
            <w:tcW w:w="2268" w:type="dxa"/>
          </w:tcPr>
          <w:p w14:paraId="3C28119E" w14:textId="77777777" w:rsidR="00793A20" w:rsidRDefault="00000000">
            <w:r>
              <w:rPr>
                <w:sz w:val="22"/>
              </w:rPr>
              <w:t>Overall adverse pregnancy outcomes</w:t>
            </w:r>
          </w:p>
        </w:tc>
        <w:tc>
          <w:tcPr>
            <w:tcW w:w="2268" w:type="dxa"/>
          </w:tcPr>
          <w:p w14:paraId="6838A33A" w14:textId="77777777" w:rsidR="00793A20" w:rsidRDefault="00000000">
            <w:r>
              <w:rPr>
                <w:sz w:val="22"/>
              </w:rPr>
              <w:t>2.32</w:t>
            </w:r>
          </w:p>
        </w:tc>
        <w:tc>
          <w:tcPr>
            <w:tcW w:w="2268" w:type="dxa"/>
          </w:tcPr>
          <w:p w14:paraId="5FDAD730" w14:textId="77777777" w:rsidR="00793A20" w:rsidRDefault="00000000">
            <w:r>
              <w:rPr>
                <w:sz w:val="22"/>
              </w:rPr>
              <w:t>1.65-3.27</w:t>
            </w:r>
          </w:p>
        </w:tc>
        <w:tc>
          <w:tcPr>
            <w:tcW w:w="2268" w:type="dxa"/>
          </w:tcPr>
          <w:p w14:paraId="697E3496" w14:textId="77777777" w:rsidR="00793A20" w:rsidRDefault="00000000">
            <w:r>
              <w:rPr>
                <w:sz w:val="22"/>
              </w:rPr>
              <w:t>Higher odds among infected women</w:t>
            </w:r>
          </w:p>
        </w:tc>
      </w:tr>
      <w:tr w:rsidR="00793A20" w14:paraId="439CD2AE" w14:textId="77777777" w:rsidTr="00E2008F">
        <w:tc>
          <w:tcPr>
            <w:tcW w:w="2268" w:type="dxa"/>
          </w:tcPr>
          <w:p w14:paraId="04A506BE" w14:textId="77777777" w:rsidR="00793A20" w:rsidRDefault="00000000">
            <w:r>
              <w:rPr>
                <w:sz w:val="22"/>
              </w:rPr>
              <w:t>Abortion or miscarriage</w:t>
            </w:r>
          </w:p>
        </w:tc>
        <w:tc>
          <w:tcPr>
            <w:tcW w:w="2268" w:type="dxa"/>
          </w:tcPr>
          <w:p w14:paraId="4A0049B7" w14:textId="77777777" w:rsidR="00793A20" w:rsidRDefault="00000000">
            <w:r>
              <w:rPr>
                <w:sz w:val="22"/>
              </w:rPr>
              <w:t>2.45</w:t>
            </w:r>
          </w:p>
        </w:tc>
        <w:tc>
          <w:tcPr>
            <w:tcW w:w="2268" w:type="dxa"/>
          </w:tcPr>
          <w:p w14:paraId="0818CF25" w14:textId="77777777" w:rsidR="00793A20" w:rsidRDefault="00000000">
            <w:r>
              <w:rPr>
                <w:sz w:val="22"/>
              </w:rPr>
              <w:t>1.80-3.20</w:t>
            </w:r>
          </w:p>
        </w:tc>
        <w:tc>
          <w:tcPr>
            <w:tcW w:w="2268" w:type="dxa"/>
          </w:tcPr>
          <w:p w14:paraId="3ACF73DE" w14:textId="77777777" w:rsidR="00793A20" w:rsidRDefault="00000000">
            <w:r>
              <w:rPr>
                <w:sz w:val="22"/>
              </w:rPr>
              <w:t>Higher odds among infected women</w:t>
            </w:r>
          </w:p>
        </w:tc>
      </w:tr>
      <w:tr w:rsidR="00793A20" w14:paraId="46636FFF" w14:textId="77777777" w:rsidTr="00E2008F">
        <w:tc>
          <w:tcPr>
            <w:tcW w:w="2268" w:type="dxa"/>
          </w:tcPr>
          <w:p w14:paraId="724B3E8A" w14:textId="77777777" w:rsidR="00793A20" w:rsidRDefault="00000000">
            <w:r>
              <w:rPr>
                <w:sz w:val="22"/>
              </w:rPr>
              <w:t>Preterm birth</w:t>
            </w:r>
          </w:p>
        </w:tc>
        <w:tc>
          <w:tcPr>
            <w:tcW w:w="2268" w:type="dxa"/>
          </w:tcPr>
          <w:p w14:paraId="4BAB3276" w14:textId="77777777" w:rsidR="00793A20" w:rsidRDefault="00000000">
            <w:r>
              <w:rPr>
                <w:sz w:val="22"/>
              </w:rPr>
              <w:t>1.90</w:t>
            </w:r>
          </w:p>
        </w:tc>
        <w:tc>
          <w:tcPr>
            <w:tcW w:w="2268" w:type="dxa"/>
          </w:tcPr>
          <w:p w14:paraId="01BBBC4D" w14:textId="77777777" w:rsidR="00793A20" w:rsidRDefault="00000000">
            <w:r>
              <w:rPr>
                <w:sz w:val="22"/>
              </w:rPr>
              <w:t>1.30-2.70</w:t>
            </w:r>
          </w:p>
        </w:tc>
        <w:tc>
          <w:tcPr>
            <w:tcW w:w="2268" w:type="dxa"/>
          </w:tcPr>
          <w:p w14:paraId="1A338AE0" w14:textId="77777777" w:rsidR="00793A20" w:rsidRDefault="00000000">
            <w:r>
              <w:rPr>
                <w:sz w:val="22"/>
              </w:rPr>
              <w:t>Higher odds among infected women</w:t>
            </w:r>
          </w:p>
        </w:tc>
      </w:tr>
      <w:tr w:rsidR="00793A20" w14:paraId="1941417A" w14:textId="77777777" w:rsidTr="00E2008F">
        <w:tc>
          <w:tcPr>
            <w:tcW w:w="2268" w:type="dxa"/>
          </w:tcPr>
          <w:p w14:paraId="6FCC5217" w14:textId="77777777" w:rsidR="00793A20" w:rsidRDefault="00000000">
            <w:r>
              <w:rPr>
                <w:sz w:val="22"/>
              </w:rPr>
              <w:t>Congenital abnormalities</w:t>
            </w:r>
          </w:p>
        </w:tc>
        <w:tc>
          <w:tcPr>
            <w:tcW w:w="2268" w:type="dxa"/>
          </w:tcPr>
          <w:p w14:paraId="0C762F00" w14:textId="77777777" w:rsidR="00793A20" w:rsidRDefault="00000000">
            <w:r>
              <w:rPr>
                <w:sz w:val="22"/>
              </w:rPr>
              <w:t>3.10</w:t>
            </w:r>
          </w:p>
        </w:tc>
        <w:tc>
          <w:tcPr>
            <w:tcW w:w="2268" w:type="dxa"/>
          </w:tcPr>
          <w:p w14:paraId="2CF5C32E" w14:textId="77777777" w:rsidR="00793A20" w:rsidRDefault="00000000">
            <w:r>
              <w:rPr>
                <w:sz w:val="22"/>
              </w:rPr>
              <w:t>2.10-4.50</w:t>
            </w:r>
          </w:p>
        </w:tc>
        <w:tc>
          <w:tcPr>
            <w:tcW w:w="2268" w:type="dxa"/>
          </w:tcPr>
          <w:p w14:paraId="6B4D8DAE" w14:textId="77777777" w:rsidR="00793A20" w:rsidRDefault="00000000">
            <w:r>
              <w:rPr>
                <w:sz w:val="22"/>
              </w:rPr>
              <w:t>Higher odds among infected women</w:t>
            </w:r>
          </w:p>
        </w:tc>
      </w:tr>
    </w:tbl>
    <w:p w14:paraId="7779A322" w14:textId="77777777" w:rsidR="00793A20" w:rsidRDefault="00000000">
      <w:r>
        <w:br w:type="page"/>
      </w:r>
    </w:p>
    <w:p w14:paraId="107449F0" w14:textId="77777777" w:rsidR="00793A20" w:rsidRDefault="00000000">
      <w:pPr>
        <w:spacing w:after="0" w:line="480" w:lineRule="auto"/>
      </w:pPr>
      <w:r>
        <w:rPr>
          <w:b/>
        </w:rPr>
        <w:lastRenderedPageBreak/>
        <w:t>Figures</w:t>
      </w:r>
    </w:p>
    <w:p w14:paraId="584535F5" w14:textId="77777777" w:rsidR="00793A20" w:rsidRDefault="00000000">
      <w:pPr>
        <w:spacing w:after="0" w:line="240" w:lineRule="auto"/>
      </w:pPr>
      <w:r>
        <w:rPr>
          <w:b/>
        </w:rPr>
        <w:t>Figure 1. PRISMA flow diagram of study selection.</w:t>
      </w:r>
    </w:p>
    <w:p w14:paraId="7233D390" w14:textId="77777777" w:rsidR="00793A20" w:rsidRDefault="00000000">
      <w:pPr>
        <w:spacing w:after="0" w:line="240" w:lineRule="auto"/>
        <w:jc w:val="center"/>
      </w:pPr>
      <w:r>
        <w:rPr>
          <w:noProof/>
        </w:rPr>
        <w:drawing>
          <wp:inline distT="0" distB="0" distL="0" distR="0" wp14:anchorId="6E07295A" wp14:editId="23CA4B6C">
            <wp:extent cx="5669280" cy="6787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Flow_Diagram_500dpi.png"/>
                    <pic:cNvPicPr/>
                  </pic:nvPicPr>
                  <pic:blipFill>
                    <a:blip r:embed="rId8"/>
                    <a:stretch>
                      <a:fillRect/>
                    </a:stretch>
                  </pic:blipFill>
                  <pic:spPr>
                    <a:xfrm>
                      <a:off x="0" y="0"/>
                      <a:ext cx="5669280" cy="6787040"/>
                    </a:xfrm>
                    <a:prstGeom prst="rect">
                      <a:avLst/>
                    </a:prstGeom>
                  </pic:spPr>
                </pic:pic>
              </a:graphicData>
            </a:graphic>
          </wp:inline>
        </w:drawing>
      </w:r>
    </w:p>
    <w:p w14:paraId="49483A2A" w14:textId="77777777" w:rsidR="00793A20" w:rsidRDefault="00000000">
      <w:pPr>
        <w:spacing w:after="0" w:line="240" w:lineRule="auto"/>
      </w:pPr>
      <w:r>
        <w:rPr>
          <w:b/>
        </w:rPr>
        <w:t>Figure 2. Risk-of-bias assessment using Newcastle-Ottawa Scale domains.</w:t>
      </w:r>
    </w:p>
    <w:p w14:paraId="72EC4B06" w14:textId="77777777" w:rsidR="00793A20" w:rsidRDefault="00000000">
      <w:pPr>
        <w:spacing w:after="0" w:line="240" w:lineRule="auto"/>
        <w:jc w:val="center"/>
      </w:pPr>
      <w:r>
        <w:rPr>
          <w:noProof/>
        </w:rPr>
        <w:lastRenderedPageBreak/>
        <w:drawing>
          <wp:inline distT="0" distB="0" distL="0" distR="0" wp14:anchorId="22BC2D1A" wp14:editId="281B0122">
            <wp:extent cx="5943600" cy="387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NOS_Traffic_Light_Plot_500dpi_DOI_UPDATED.png"/>
                    <pic:cNvPicPr/>
                  </pic:nvPicPr>
                  <pic:blipFill>
                    <a:blip r:embed="rId9"/>
                    <a:stretch>
                      <a:fillRect/>
                    </a:stretch>
                  </pic:blipFill>
                  <pic:spPr>
                    <a:xfrm>
                      <a:off x="0" y="0"/>
                      <a:ext cx="5943600" cy="3877850"/>
                    </a:xfrm>
                    <a:prstGeom prst="rect">
                      <a:avLst/>
                    </a:prstGeom>
                  </pic:spPr>
                </pic:pic>
              </a:graphicData>
            </a:graphic>
          </wp:inline>
        </w:drawing>
      </w:r>
    </w:p>
    <w:sectPr w:rsidR="00793A20" w:rsidSect="00034616">
      <w:footerReference w:type="default" r:id="rId10"/>
      <w:pgSz w:w="11906" w:h="16838"/>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7D8F" w14:textId="77777777" w:rsidR="00DF1920" w:rsidRDefault="00DF1920">
      <w:pPr>
        <w:spacing w:after="0" w:line="240" w:lineRule="auto"/>
      </w:pPr>
      <w:r>
        <w:separator/>
      </w:r>
    </w:p>
  </w:endnote>
  <w:endnote w:type="continuationSeparator" w:id="0">
    <w:p w14:paraId="3ADDBC56" w14:textId="77777777" w:rsidR="00DF1920" w:rsidRDefault="00DF1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1CE1" w14:textId="77777777" w:rsidR="00793A20" w:rsidRDefault="00000000">
    <w:pPr>
      <w:pStyle w:val="Footer"/>
      <w:jc w:val="center"/>
    </w:pPr>
    <w:r>
      <w:fldChar w:fldCharType="begin"/>
    </w:r>
    <w:r>
      <w:instrText>PAGE</w:instrText>
    </w:r>
    <w:r>
      <w:fldChar w:fldCharType="separate"/>
    </w:r>
    <w:r w:rsidR="00E20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1D4E2" w14:textId="77777777" w:rsidR="00DF1920" w:rsidRDefault="00DF1920">
      <w:pPr>
        <w:spacing w:after="0" w:line="240" w:lineRule="auto"/>
      </w:pPr>
      <w:r>
        <w:separator/>
      </w:r>
    </w:p>
  </w:footnote>
  <w:footnote w:type="continuationSeparator" w:id="0">
    <w:p w14:paraId="4C051304" w14:textId="77777777" w:rsidR="00DF1920" w:rsidRDefault="00DF1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678281">
    <w:abstractNumId w:val="8"/>
  </w:num>
  <w:num w:numId="2" w16cid:durableId="1987398223">
    <w:abstractNumId w:val="6"/>
  </w:num>
  <w:num w:numId="3" w16cid:durableId="1448617914">
    <w:abstractNumId w:val="5"/>
  </w:num>
  <w:num w:numId="4" w16cid:durableId="1100763323">
    <w:abstractNumId w:val="4"/>
  </w:num>
  <w:num w:numId="5" w16cid:durableId="935283505">
    <w:abstractNumId w:val="7"/>
  </w:num>
  <w:num w:numId="6" w16cid:durableId="1224099285">
    <w:abstractNumId w:val="3"/>
  </w:num>
  <w:num w:numId="7" w16cid:durableId="839539877">
    <w:abstractNumId w:val="2"/>
  </w:num>
  <w:num w:numId="8" w16cid:durableId="1987586585">
    <w:abstractNumId w:val="1"/>
  </w:num>
  <w:num w:numId="9" w16cid:durableId="120941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0EE"/>
    <w:rsid w:val="006F0004"/>
    <w:rsid w:val="00793A20"/>
    <w:rsid w:val="00AA1D8D"/>
    <w:rsid w:val="00B47730"/>
    <w:rsid w:val="00B912C8"/>
    <w:rsid w:val="00CB0664"/>
    <w:rsid w:val="00DF1920"/>
    <w:rsid w:val="00E2008F"/>
    <w:rsid w:val="00E96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CB07C"/>
  <w14:defaultImageDpi w14:val="300"/>
  <w15:docId w15:val="{581C1809-7FA2-4A98-9DAD-D7A2B083F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E20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3761</Words>
  <Characters>21439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3</cp:revision>
  <dcterms:created xsi:type="dcterms:W3CDTF">2013-12-23T23:15:00Z</dcterms:created>
  <dcterms:modified xsi:type="dcterms:W3CDTF">2026-10-05T01:29:00Z</dcterms:modified>
  <cp:category/>
</cp:coreProperties>
</file>