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Response to Pre-submission Comments</w:t>
      </w:r>
    </w:p>
    <w:p>
      <w:pPr>
        <w:jc w:val="center"/>
      </w:pPr>
      <w:r>
        <w:rPr>
          <w:b/>
        </w:rPr>
        <w:t>Reference: MPS-TONURSJ-2026-49</w:t>
      </w:r>
    </w:p>
    <w:p>
      <w:pPr>
        <w:jc w:val="center"/>
      </w:pPr>
      <w:r>
        <w:rPr>
          <w:i/>
        </w:rPr>
        <w:t>Women’s Reproductive Health and Agency After the 2006 Bantul Earthquake: A Retrospective Phenomenological Study</w:t>
      </w:r>
    </w:p>
    <w:p>
      <w:r>
        <w:t>Dear Ms. Anoosha Khan and Editorial Office,</w:t>
      </w:r>
    </w:p>
    <w:p>
      <w:r>
        <w:t>Thank you for the careful pre-submission review of our manuscript. We have revised the manuscript extensively and highlighted the changes in the revised file. We have also prepared the COREQ checklist, a supplementary file containing representative interview questions, and updated author CVs for separate upload. Our point-by-point responses are provided below.</w:t>
      </w:r>
    </w:p>
    <w:p>
      <w:r>
        <w:rPr>
          <w:b/>
        </w:rPr>
        <w:t>Initial Scrutiny – Updated CVs of all authors</w:t>
      </w:r>
    </w:p>
    <w:p>
      <w:r>
        <w:rPr>
          <w:b/>
        </w:rPr>
        <w:t xml:space="preserve">Response: </w:t>
      </w:r>
      <w:r>
        <w:t>Updated CVs have been prepared for all four authors using the journal specimen. They include qualifications, affiliations/employment history, and publication information and will be uploaded separately.</w:t>
      </w:r>
    </w:p>
    <w:p>
      <w:r>
        <w:rPr>
          <w:b/>
        </w:rPr>
        <w:t>Language Editing</w:t>
      </w:r>
    </w:p>
    <w:p>
      <w:r>
        <w:rPr>
          <w:b/>
        </w:rPr>
        <w:t xml:space="preserve">Response: </w:t>
      </w:r>
      <w:r>
        <w:t>The manuscript has undergone comprehensive English-language editing for grammar, clarity, consistency, and typographical accuracy. Terminology and formatting were standardized throughout.</w:t>
      </w:r>
    </w:p>
    <w:p>
      <w:r>
        <w:rPr>
          <w:b/>
        </w:rPr>
        <w:t>Abstract heading is missing</w:t>
      </w:r>
    </w:p>
    <w:p>
      <w:r>
        <w:rPr>
          <w:b/>
        </w:rPr>
        <w:t xml:space="preserve">Response: </w:t>
      </w:r>
      <w:r>
        <w:t>An explicit “ABSTRACT” heading has been added before the structured abstract. The abstract was also rechecked for consistency with the manuscript.</w:t>
      </w:r>
    </w:p>
    <w:p>
      <w:r>
        <w:rPr>
          <w:b/>
        </w:rPr>
        <w:t>COREQ checklist</w:t>
      </w:r>
    </w:p>
    <w:p>
      <w:r>
        <w:rPr>
          <w:b/>
        </w:rPr>
        <w:t xml:space="preserve">Response: </w:t>
      </w:r>
      <w:r>
        <w:t>A completed COREQ 32-item checklist has been prepared as a separate submission file. The manuscript was revised to report previously missing COREQ elements where data were available; items not recorded in the study are reported transparently rather than inferred.</w:t>
      </w:r>
    </w:p>
    <w:p>
      <w:r>
        <w:rPr>
          <w:b/>
        </w:rPr>
        <w:t>1. Participant Recruitment</w:t>
      </w:r>
    </w:p>
    <w:p>
      <w:r>
        <w:rPr>
          <w:b/>
        </w:rPr>
        <w:t xml:space="preserve">Response: </w:t>
      </w:r>
      <w:r>
        <w:t>The Methods section now explains that participants were purposively recruited using predefined eligibility criteria and approached directly by the research team, with local assistants supporting logistics where needed. Ten eligible women were approached; all 10 agreed to participate and completed the interviews. No eligible participant declined participation and there were no dropouts.</w:t>
      </w:r>
    </w:p>
    <w:p>
      <w:r>
        <w:rPr>
          <w:b/>
        </w:rPr>
        <w:t>2. Participant Characteristics</w:t>
      </w:r>
    </w:p>
    <w:p>
      <w:r>
        <w:rPr>
          <w:b/>
        </w:rPr>
        <w:t xml:space="preserve">Response: </w:t>
      </w:r>
      <w:r>
        <w:t>Table 1 and the Methods section now report participants’ current ages at the 2026 interviews and their residential location as Gadungan Kepuh Hamlet, Canden Village, Jetis District, Bantul Regency. Educational attainment was available for one participant only; for I2–I10 it was not recorded and is explicitly reported as “Not recorded” rather than inferred.</w:t>
      </w:r>
    </w:p>
    <w:p>
      <w:r>
        <w:rPr>
          <w:b/>
        </w:rPr>
        <w:t>3. Interview Guide</w:t>
      </w:r>
    </w:p>
    <w:p>
      <w:r>
        <w:rPr>
          <w:b/>
        </w:rPr>
        <w:t xml:space="preserve">Response: </w:t>
      </w:r>
      <w:r>
        <w:t>Representative questions from the semi-structured interview guide have been provided in Supplementary File 1. The manuscript now directs readers to this supplementary file.</w:t>
      </w:r>
    </w:p>
    <w:p>
      <w:r>
        <w:rPr>
          <w:b/>
        </w:rPr>
        <w:t>4. Qualitative Analysis</w:t>
      </w:r>
    </w:p>
    <w:p>
      <w:r>
        <w:rPr>
          <w:b/>
        </w:rPr>
        <w:t xml:space="preserve">Response: </w:t>
      </w:r>
      <w:r>
        <w:t>The Data Analysis section has been expanded to describe two main coding cycles followed by iterative theme review. First-cycle manual semantic coding remained close to participants’ language. Second-cycle focused coding grouped related codes into categories in NVivo. Candidate themes were reviewed against coded extracts and full transcripts, refined for coherence and distinctiveness, and consolidated into the three final themes. The manuscript also clarifies that NVivo was used for data organization rather than automated interpretation.</w:t>
      </w:r>
    </w:p>
    <w:p>
      <w:r>
        <w:rPr>
          <w:b/>
        </w:rPr>
        <w:t>6. Ethics and Consent</w:t>
      </w:r>
    </w:p>
    <w:p>
      <w:r>
        <w:rPr>
          <w:b/>
        </w:rPr>
        <w:t xml:space="preserve">Response: </w:t>
      </w:r>
      <w:r>
        <w:t>The revised manuscript explicitly states that the study was conducted in accordance with the Declaration of Helsinki. Ethical approval was granted on 5 December 2025 by the Research Ethics Committee of Universitas ‘Aisyiyah Yogyakarta (No. 4965/KEP-UNISA/XII/2025), before recruitment and data collection. The approved protocol included a two-stage verbal informed-consent procedure. The rationale, sequence, audio documentation, and ethics approval of this procedure are now described in detail.</w:t>
      </w:r>
    </w:p>
    <w:p>
      <w:r>
        <w:rPr>
          <w:b/>
        </w:rPr>
        <w:t>7. Ethics References</w:t>
      </w:r>
    </w:p>
    <w:p>
      <w:r>
        <w:rPr>
          <w:b/>
        </w:rPr>
        <w:t xml:space="preserve">Response: </w:t>
      </w:r>
      <w:r>
        <w:t>Complete references have been added for the WHO 2011 Standards and Operational Guidance for Ethics Review of Health-related Research with Human Participants and the 2016 CIOMS International Ethical Guidelines for Health-related Research Involving Humans.</w:t>
      </w:r>
    </w:p>
    <w:p>
      <w:r>
        <w:rPr>
          <w:b/>
        </w:rPr>
        <w:t>8. Researcher–Participant Interaction</w:t>
      </w:r>
    </w:p>
    <w:p>
      <w:r>
        <w:rPr>
          <w:b/>
        </w:rPr>
        <w:t xml:space="preserve">Response: </w:t>
      </w:r>
      <w:r>
        <w:t>The Methods and Limitations sections now acknowledge the potential for social-desirability influence arising from local field assistants. The manuscript clarifies that assistants were present only for device setup/technical support, left before the substantive interview, and did not hear the interview. Voluntariness and confidentiality were reiterated to participants. Residual potential influence is explicitly acknowledged as a limitation.</w:t>
      </w:r>
    </w:p>
    <w:p>
      <w:r>
        <w:rPr>
          <w:b/>
        </w:rPr>
        <w:t>9. Literature Review</w:t>
      </w:r>
    </w:p>
    <w:p>
      <w:r>
        <w:rPr>
          <w:b/>
        </w:rPr>
        <w:t xml:space="preserve">Response: </w:t>
      </w:r>
      <w:r>
        <w:t>The Introduction and Discussion have been strengthened with midwifery-specific evidence from systematic reviews on the role and enabling environment of midwives in humanitarian settings. The discussion of post-disaster contraception now explicitly addresses MISP/PPAM priorities for preventing unintended pregnancies, contraceptive commodity continuity, mobile family-planning services, and referral pathways. Indonesian grey literature has also been strengthened through the 2006 damage/loss assessment, Java Reconstruction Fund materials, gender-sensitive disaster-risk-reduction guidance, and the 2026 Indonesian PPAM/MISP textbook. PKK, Yasinan, and Asmaul Husna are now briefly explained for international readers.</w:t>
      </w:r>
    </w:p>
    <w:p>
      <w:r>
        <w:rPr>
          <w:b/>
        </w:rPr>
        <w:t>11. Abstract and Formatting</w:t>
      </w:r>
    </w:p>
    <w:p>
      <w:r>
        <w:rPr>
          <w:b/>
        </w:rPr>
        <w:t xml:space="preserve">Response: </w:t>
      </w:r>
      <w:r>
        <w:t>The title uses the correct apostrophe in “Women’s.” The abstract now uses “45–60-minute” / “45–60 minutes” correctly. The manuscript was reviewed for similar typographical and formatting errors, including terminology and punctuation consistency.</w:t>
      </w:r>
    </w:p>
    <w:p>
      <w:r>
        <w:rPr>
          <w:b/>
        </w:rPr>
        <w:t>12. Manuscript Terminology</w:t>
      </w:r>
    </w:p>
    <w:p>
      <w:r>
        <w:rPr>
          <w:b/>
        </w:rPr>
        <w:t xml:space="preserve">Response: </w:t>
      </w:r>
      <w:r>
        <w:t>The term “spatial adaptation” has been replaced/clarified as household-space adaptation, referring to changes in sleeping location, exit access, or home layout adopted in response to earthquake experience. “Aid advocacy” is used consistently and is defined as efforts to seek, clarify, negotiate, or communicate about access to assistance for participants, their households, or neighbors. Culturally specific terms are now explained.</w:t>
      </w:r>
    </w:p>
    <w:p>
      <w:r>
        <w:rPr>
          <w:b/>
        </w:rPr>
        <w:t>13. Implications and Practice Recommendations</w:t>
      </w:r>
    </w:p>
    <w:p>
      <w:r>
        <w:rPr>
          <w:b/>
        </w:rPr>
        <w:t xml:space="preserve">Response: </w:t>
      </w:r>
      <w:r>
        <w:t>Section 4.1 has been substantially condensed and reframed. Recommendations are now explicitly described as context-informed practice considerations rather than interventions shown to be effective by this study. The revised section distinguishes participant-derived findings from broader recommendations supported by humanitarian and midwifery guidance and repeatedly notes the limits of a small, single-district qualitative study.</w:t>
      </w:r>
    </w:p>
    <w:p>
      <w:r>
        <w:rPr>
          <w:b/>
        </w:rPr>
        <w:t>Alignment of Research Design and Analysis</w:t>
      </w:r>
    </w:p>
    <w:p>
      <w:r>
        <w:rPr>
          <w:b/>
        </w:rPr>
        <w:t xml:space="preserve">Response: </w:t>
      </w:r>
      <w:r>
        <w:t>The Study Design and Data Analysis sections now explain the rationale for combining a retrospective phenomenological orientation with Braun and Clarke’s reflexive thematic analysis. Phenomenology guided attention to lived meaning and first-person accounts; RTA provided a flexible method for identifying patterned meaning across accounts. Verbatim transcripts, contextual details, participant language, quotations, and review against complete transcripts were used to preserve the experiential basis of interpretation.</w:t>
      </w:r>
    </w:p>
    <w:p>
      <w:r>
        <w:rPr>
          <w:b/>
        </w:rPr>
        <w:t>Temporal Consistency of Data Collection</w:t>
      </w:r>
    </w:p>
    <w:p>
      <w:r>
        <w:rPr>
          <w:b/>
        </w:rPr>
        <w:t xml:space="preserve">Response: </w:t>
      </w:r>
      <w:r>
        <w:t>The manuscript now confirms that interviews were conducted from January to March 2026 and that all interviews were completed by March 2026, before manuscript submission. The ethics approval date (5 December 2025) is explicitly reported and preceded all recruitment and data collection.</w:t>
      </w:r>
    </w:p>
    <w:p>
      <w:r>
        <w:rPr>
          <w:b/>
        </w:rPr>
        <w:t>Interpretation of Retrospective Accounts</w:t>
      </w:r>
    </w:p>
    <w:p>
      <w:r>
        <w:rPr>
          <w:b/>
        </w:rPr>
        <w:t xml:space="preserve">Response: </w:t>
      </w:r>
      <w:r>
        <w:t>The revised Methods and Limitations sections explicitly address the approximately 20-year interval. Event-focused recollections were distinguished from present-day reflections during interpretation; statements with uncertain temporal attribution were treated as retrospective interpretation rather than contemporaneous fact. Recall bias, memory reconstruction, and the influence of later experience are now emphasized as major limitations that cannot be eliminated by member feedback.</w:t>
      </w:r>
    </w:p>
    <w:p>
      <w:r>
        <w:rPr>
          <w:b/>
        </w:rPr>
        <w:t>Researcher Positionality and Reflexivity</w:t>
      </w:r>
    </w:p>
    <w:p>
      <w:r>
        <w:rPr>
          <w:b/>
        </w:rPr>
        <w:t xml:space="preserve">Response: </w:t>
      </w:r>
      <w:r>
        <w:t>The revised Methods section identifies the interviewers as three female members of the research team (first, third, and fourth authors), describes their women’s-health backgrounds and qualitative-research training, and states that they had no prior personal relationship with participants. The manuscript also transparently states that no formal reflexive journals/memos were maintained. Reflexivity relied on brief field notes and team discussions about contextual observations, emotional responses, assumptions, and interpretive choices.</w:t>
      </w:r>
    </w:p>
    <w:p>
      <w:r>
        <w:rPr>
          <w:b/>
        </w:rPr>
        <w:t>Interpretation of Reproductive Health Experiences</w:t>
      </w:r>
    </w:p>
    <w:p>
      <w:r>
        <w:rPr>
          <w:b/>
        </w:rPr>
        <w:t xml:space="preserve">Response: </w:t>
      </w:r>
      <w:r>
        <w:t>The revised manuscript explicitly distinguishes self-reported symptoms and perceived reproductive-health needs from clinically verified conditions. No diagnostic instruments or contemporaneous clinical records were used. The Discussion and Limitations sections therefore avoid diagnostic or causal claims and limit practice implications to service accessibility, assessment, referral, privacy, communication, and continuity of care.</w:t>
      </w:r>
    </w:p>
    <w:p>
      <w:r>
        <w:rPr>
          <w:b/>
        </w:rPr>
        <w:t>Reference Issues: 4, 12–18, 52–54, 56</w:t>
      </w:r>
    </w:p>
    <w:p>
      <w:r>
        <w:rPr>
          <w:b/>
        </w:rPr>
        <w:t xml:space="preserve">Response: </w:t>
      </w:r>
      <w:r>
        <w:t>All references identified by the Editorial Office were audited. Reference 4 was corrected to the traceable 2009 SAGE edited volume by Enarson and Chakrabarti. References 12–18 were corrected/replaced with traceable government, World Bank, GNS Science, IAWG/Women’s Refugee Commission, UNFPA Indonesia/Ministry of Health, and Sphere sources. Reference 52 now includes the correct Indonesian title and DOI (10.9744/dimensi.35.1.1-12). References 53, 54, and 56 were corrected with complete bibliographic details. Additional traceable WHO, CIOMS, and midwifery systematic-review references were also added.</w:t>
      </w:r>
    </w:p>
    <w:p>
      <w:r>
        <w:t>We appreciate the Editorial Office’s detailed comments, which have helped improve the transparency, methodological reporting, and clinical relevance of the manuscript. All changes are highlighted in the revised manuscript.</w:t>
      </w:r>
    </w:p>
    <w:p>
      <w:r>
        <w:t>Sincerely,</w:t>
        <w:br/>
        <w:t>Dr. Dhesi Ari Astuti</w:t>
        <w:br/>
        <w:t>Corresponding Author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