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B957" w14:textId="77777777" w:rsidR="0027146C" w:rsidRDefault="00000000">
      <w:pPr>
        <w:pStyle w:val="Header"/>
        <w:shd w:val="clear" w:color="auto" w:fill="D9D9D9"/>
      </w:pPr>
      <w:r>
        <w:t>RESEARCH ARTICLE</w:t>
      </w:r>
    </w:p>
    <w:p w14:paraId="62E4FEE4" w14:textId="77777777" w:rsidR="0027146C" w:rsidRDefault="00000000">
      <w:pPr>
        <w:pStyle w:val="01-MainHeading"/>
      </w:pPr>
      <w:r>
        <w:t>Title: Women’s Reproductive Health and Agency After the 2006 Bantul Earthquake: A Retrospective Phenomenological Study</w:t>
      </w:r>
    </w:p>
    <w:p w14:paraId="06136B31" w14:textId="77777777" w:rsidR="0027146C" w:rsidRDefault="00000000">
      <w:pPr>
        <w:pStyle w:val="02-Author"/>
      </w:pPr>
      <w:r>
        <w:rPr>
          <w:i/>
        </w:rPr>
        <w:t>Author details removed for double-blind peer review</w:t>
      </w:r>
    </w:p>
    <w:p w14:paraId="3203DBAB" w14:textId="77777777" w:rsidR="0027146C" w:rsidRDefault="00000000">
      <w:pPr>
        <w:pStyle w:val="05-ArticleText"/>
        <w:pBdr>
          <w:top w:val="single" w:sz="8" w:space="1" w:color="000000"/>
        </w:pBdr>
      </w:pPr>
      <w:r>
        <w:rPr>
          <w:i/>
        </w:rPr>
        <w:t>*Corresponding author information is provided in a separate title page and removed here for double-blind review.</w:t>
      </w:r>
    </w:p>
    <w:p w14:paraId="590EF0AF" w14:textId="77777777" w:rsidR="0027146C" w:rsidRDefault="00000000">
      <w:r>
        <w:rPr>
          <w:b/>
          <w:highlight w:val="yellow"/>
        </w:rPr>
        <w:t>ABSTRACT</w:t>
      </w:r>
    </w:p>
    <w:tbl>
      <w:tblPr>
        <w:tblW w:w="10940" w:type="dxa"/>
        <w:tblLayout w:type="fixed"/>
        <w:tblLook w:val="0000" w:firstRow="0" w:lastRow="0" w:firstColumn="0" w:lastColumn="0" w:noHBand="0" w:noVBand="0"/>
      </w:tblPr>
      <w:tblGrid>
        <w:gridCol w:w="2632"/>
        <w:gridCol w:w="8308"/>
      </w:tblGrid>
      <w:tr w:rsidR="0027146C" w14:paraId="10A516B6" w14:textId="77777777" w:rsidTr="00437B21">
        <w:trPr>
          <w:trHeight w:val="1032"/>
        </w:trPr>
        <w:tc>
          <w:tcPr>
            <w:tcW w:w="2632" w:type="dxa"/>
            <w:tcBorders>
              <w:bottom w:val="single" w:sz="4" w:space="0" w:color="000000"/>
            </w:tcBorders>
            <w:tcMar>
              <w:top w:w="60" w:type="dxa"/>
              <w:left w:w="80" w:type="dxa"/>
              <w:bottom w:w="60" w:type="dxa"/>
              <w:right w:w="80" w:type="dxa"/>
            </w:tcMar>
          </w:tcPr>
          <w:p w14:paraId="2D3440F1" w14:textId="77777777" w:rsidR="0027146C" w:rsidRDefault="0027146C">
            <w:pPr>
              <w:pStyle w:val="04-abstract"/>
            </w:pPr>
          </w:p>
        </w:tc>
        <w:tc>
          <w:tcPr>
            <w:tcW w:w="8308" w:type="dxa"/>
            <w:vMerge w:val="restart"/>
            <w:tcMar>
              <w:top w:w="50" w:type="dxa"/>
              <w:left w:w="100" w:type="dxa"/>
              <w:bottom w:w="50" w:type="dxa"/>
              <w:right w:w="100" w:type="dxa"/>
            </w:tcMar>
            <w:vAlign w:val="center"/>
          </w:tcPr>
          <w:p w14:paraId="48AC2F72" w14:textId="77777777" w:rsidR="0027146C" w:rsidRDefault="00000000" w:rsidP="00B720E1">
            <w:pPr>
              <w:jc w:val="both"/>
            </w:pPr>
            <w:r>
              <w:rPr>
                <w:sz w:val="17"/>
                <w:highlight w:val="yellow"/>
              </w:rPr>
              <w:t>Background: Women's reproductive health needs and caregiving responsibilities may become harder to meet when disasters disrupt services, shelter, transport, water, sanitation, and household resources.</w:t>
            </w:r>
            <w:r>
              <w:rPr>
                <w:sz w:val="17"/>
                <w:highlight w:val="yellow"/>
              </w:rPr>
              <w:br/>
              <w:t>Objective: To explore how gendered social roles and structural conditions shaped reproductive health vulnerabilities among women who survived the 2006 Bantul earthquake and how women exercised agency during emergency and recovery periods.</w:t>
            </w:r>
            <w:r>
              <w:rPr>
                <w:sz w:val="17"/>
                <w:highlight w:val="yellow"/>
              </w:rPr>
              <w:br/>
              <w:t>Materials and Methods: A qualitative retrospective-phenomenological study involved 10 adult women from earthquake-affected areas of Bantul, Yogyakarta, Indonesia. All 10 eligible women approached agreed to participate. Semi-structured online interviews were completed from January to March 2026 and lasted 45–60 minutes. Verbatim transcripts were examined using reflexive thematic analysis with a hybrid inductive-deductive approach supported by NVivo. Participant feedback on transcripts and preliminary interpretations was used to strengthen credibility.</w:t>
            </w:r>
            <w:r>
              <w:rPr>
                <w:sz w:val="17"/>
                <w:highlight w:val="yellow"/>
              </w:rPr>
              <w:br/>
              <w:t>Results: Three overarching themes were identified: layered reproductive health vulnerabilities; gendered roles and structural barriers; and women's agency and community-based self-reliance. Participants described menstrual hygiene difficulties, disrupted maternal and reproductive health access, reduced privacy, caregiving while injured or postpartum, misinformation, and administrative or logistical barriers. They also described family and community support, livelihood recovery, reproductive decision-making, household-space adaptation, aid advocacy, and social or spiritual coping.</w:t>
            </w:r>
            <w:r>
              <w:rPr>
                <w:sz w:val="17"/>
                <w:highlight w:val="yellow"/>
              </w:rPr>
              <w:br/>
              <w:t>Discussion: Vulnerability and agency coexisted within the same accounts. Reproductive-health disruption was intertwined with caregiving demands and structural barriers, while women developed practical household and community responses. Because the accounts were collected almost 20 years after the earthquake and were not clinically verified, the findings are interpreted as retrospective lived-experience narratives rather than contemporaneous clinical evidence.</w:t>
            </w:r>
            <w:r>
              <w:rPr>
                <w:sz w:val="17"/>
                <w:highlight w:val="yellow"/>
              </w:rPr>
              <w:br/>
              <w:t>Conclusion: Disaster nursing and midwifery planning should recognize reproductive-health continuity, privacy, caregiving burdens, reliable risk communication, and women's participation in local response and recovery while maintaining institutional responsibility for essential services.</w:t>
            </w:r>
          </w:p>
        </w:tc>
      </w:tr>
      <w:tr w:rsidR="0027146C" w14:paraId="7F1D9639" w14:textId="77777777" w:rsidTr="00437B21">
        <w:tc>
          <w:tcPr>
            <w:tcW w:w="2632" w:type="dxa"/>
            <w:tcBorders>
              <w:top w:val="single" w:sz="4" w:space="0" w:color="000000"/>
              <w:bottom w:val="single" w:sz="4" w:space="0" w:color="000000"/>
            </w:tcBorders>
            <w:tcMar>
              <w:top w:w="60" w:type="dxa"/>
              <w:left w:w="80" w:type="dxa"/>
              <w:bottom w:w="60" w:type="dxa"/>
              <w:right w:w="80" w:type="dxa"/>
            </w:tcMar>
          </w:tcPr>
          <w:p w14:paraId="286505FB" w14:textId="77777777" w:rsidR="0027146C" w:rsidRPr="00437B21" w:rsidRDefault="00000000" w:rsidP="00437B21">
            <w:pPr>
              <w:pStyle w:val="04-abstract"/>
              <w:spacing w:after="0"/>
              <w:ind w:left="0" w:right="0"/>
              <w:jc w:val="center"/>
              <w:rPr>
                <w:sz w:val="14"/>
                <w:szCs w:val="14"/>
              </w:rPr>
            </w:pPr>
            <w:r w:rsidRPr="00437B21">
              <w:rPr>
                <w:b/>
                <w:sz w:val="14"/>
                <w:szCs w:val="14"/>
              </w:rPr>
              <w:t xml:space="preserve">A R T I C L </w:t>
            </w:r>
            <w:proofErr w:type="gramStart"/>
            <w:r w:rsidRPr="00437B21">
              <w:rPr>
                <w:b/>
                <w:sz w:val="14"/>
                <w:szCs w:val="14"/>
              </w:rPr>
              <w:t>E  H</w:t>
            </w:r>
            <w:proofErr w:type="gramEnd"/>
            <w:r w:rsidRPr="00437B21">
              <w:rPr>
                <w:b/>
                <w:sz w:val="14"/>
                <w:szCs w:val="14"/>
              </w:rPr>
              <w:t xml:space="preserve"> I S T O R Y</w:t>
            </w:r>
          </w:p>
        </w:tc>
        <w:tc>
          <w:tcPr>
            <w:tcW w:w="8308" w:type="dxa"/>
            <w:vMerge/>
          </w:tcPr>
          <w:p w14:paraId="46A33B0F" w14:textId="77777777" w:rsidR="0027146C" w:rsidRDefault="0027146C">
            <w:pPr>
              <w:pStyle w:val="04-abstract"/>
              <w:widowControl w:val="0"/>
              <w:snapToGrid w:val="0"/>
              <w:ind w:left="0"/>
              <w:rPr>
                <w:rFonts w:eastAsia="Batang"/>
                <w:b/>
                <w:iCs/>
                <w:sz w:val="14"/>
                <w:lang w:eastAsia="en-US" w:bidi="x-none"/>
              </w:rPr>
            </w:pPr>
          </w:p>
        </w:tc>
      </w:tr>
      <w:tr w:rsidR="0027146C" w14:paraId="16AAFAC3" w14:textId="77777777" w:rsidTr="00437B21">
        <w:tc>
          <w:tcPr>
            <w:tcW w:w="2632" w:type="dxa"/>
            <w:tcBorders>
              <w:top w:val="single" w:sz="4" w:space="0" w:color="000000"/>
            </w:tcBorders>
            <w:tcMar>
              <w:top w:w="60" w:type="dxa"/>
              <w:left w:w="80" w:type="dxa"/>
              <w:bottom w:w="60" w:type="dxa"/>
              <w:right w:w="80" w:type="dxa"/>
            </w:tcMar>
          </w:tcPr>
          <w:p w14:paraId="2D18F880" w14:textId="77777777" w:rsidR="0027146C" w:rsidRDefault="00000000" w:rsidP="00437B21">
            <w:pPr>
              <w:pStyle w:val="04-abstract"/>
              <w:ind w:left="0"/>
            </w:pPr>
            <w:r w:rsidRPr="00437B21">
              <w:rPr>
                <w:sz w:val="12"/>
                <w:szCs w:val="12"/>
              </w:rPr>
              <w:t>Received:</w:t>
            </w:r>
            <w:r w:rsidRPr="00437B21">
              <w:rPr>
                <w:sz w:val="12"/>
                <w:szCs w:val="12"/>
              </w:rPr>
              <w:br/>
              <w:t>Revised:</w:t>
            </w:r>
            <w:r w:rsidRPr="00437B21">
              <w:rPr>
                <w:sz w:val="12"/>
                <w:szCs w:val="12"/>
              </w:rPr>
              <w:br/>
              <w:t>Accepted:</w:t>
            </w:r>
            <w:r>
              <w:br/>
            </w:r>
            <w:r>
              <w:br/>
            </w:r>
            <w:r w:rsidRPr="00437B21">
              <w:rPr>
                <w:i/>
                <w:iCs/>
                <w:sz w:val="12"/>
                <w:szCs w:val="12"/>
              </w:rPr>
              <w:t>DOI:</w:t>
            </w:r>
          </w:p>
        </w:tc>
        <w:tc>
          <w:tcPr>
            <w:tcW w:w="8308" w:type="dxa"/>
            <w:vMerge/>
          </w:tcPr>
          <w:p w14:paraId="320220A4" w14:textId="77777777" w:rsidR="0027146C" w:rsidRDefault="0027146C">
            <w:pPr>
              <w:pStyle w:val="04-abstract"/>
              <w:widowControl w:val="0"/>
              <w:snapToGrid w:val="0"/>
              <w:ind w:left="0"/>
              <w:rPr>
                <w:rFonts w:eastAsia="Batang"/>
                <w:b/>
                <w:i/>
                <w:lang w:eastAsia="en-US" w:bidi="x-none"/>
              </w:rPr>
            </w:pPr>
          </w:p>
        </w:tc>
      </w:tr>
    </w:tbl>
    <w:p w14:paraId="3862D3BF" w14:textId="77777777" w:rsidR="0027146C" w:rsidRDefault="00000000" w:rsidP="00437B21">
      <w:pPr>
        <w:pStyle w:val="04-abstract"/>
        <w:ind w:left="0"/>
      </w:pPr>
      <w:r>
        <w:rPr>
          <w:b/>
        </w:rPr>
        <w:t xml:space="preserve">Keywords: </w:t>
      </w:r>
      <w:r>
        <w:t>Disaster Nursing; Earthquakes; Women's Health; Reproductive Health; Midwifery; Qualitative Research; Disasters; Community Resilience</w:t>
      </w:r>
    </w:p>
    <w:p w14:paraId="4262161C" w14:textId="77777777" w:rsidR="0027146C" w:rsidRDefault="00000000" w:rsidP="00437B21">
      <w:pPr>
        <w:pStyle w:val="04-abstract"/>
        <w:ind w:left="0"/>
      </w:pPr>
      <w:r>
        <w:rPr>
          <w:b/>
        </w:rPr>
        <w:t xml:space="preserve">Running Title: </w:t>
      </w:r>
      <w:r>
        <w:t>Reproductive Health and Agency After Earthquake</w:t>
      </w:r>
    </w:p>
    <w:p w14:paraId="47F71433" w14:textId="77777777" w:rsidR="0027146C" w:rsidRDefault="0027146C">
      <w:pPr>
        <w:sectPr w:rsidR="0027146C">
          <w:headerReference w:type="even" r:id="rId8"/>
          <w:headerReference w:type="default" r:id="rId9"/>
          <w:footerReference w:type="even" r:id="rId10"/>
          <w:footerReference w:type="default" r:id="rId11"/>
          <w:headerReference w:type="first" r:id="rId12"/>
          <w:footerReference w:type="first" r:id="rId13"/>
          <w:type w:val="continuous"/>
          <w:pgSz w:w="12240" w:h="15840"/>
          <w:pgMar w:top="1134" w:right="709" w:bottom="1134" w:left="1276" w:header="720" w:footer="964" w:gutter="0"/>
          <w:cols w:space="426"/>
          <w:formProt w:val="0"/>
          <w:titlePg/>
          <w:docGrid w:linePitch="600" w:charSpace="32768"/>
        </w:sectPr>
      </w:pPr>
    </w:p>
    <w:p w14:paraId="6CCED52C" w14:textId="77777777" w:rsidR="0027146C" w:rsidRDefault="00000000">
      <w:pPr>
        <w:pStyle w:val="06-Heading-1"/>
        <w:keepNext/>
      </w:pPr>
      <w:r>
        <w:t>1. INTRODUCTION</w:t>
      </w:r>
    </w:p>
    <w:p w14:paraId="55D4E15C" w14:textId="77777777" w:rsidR="0027146C" w:rsidRDefault="00000000">
      <w:pPr>
        <w:pStyle w:val="05-ArticleText"/>
      </w:pPr>
      <w:r>
        <w:t>Disasters do not affect populations uniformly. Although an earthquake is a biophysical event, its health and social consequences are shaped by pre-existing inequalities, social roles, economic resources, and access to services. Women may face disproportionate health consequences because reproductive needs and unpaid caregiving responsibilities continue during disruption, while opportunities to seek care, privacy, sanitation, and protection may become constrained [1-6]. Menstrual hygiene, pregnancy, postpartum care, breastfeeding, contraception, and personal safety can therefore become difficult to maintain when health infrastructure and household resources are disrupted [6-10].</w:t>
      </w:r>
    </w:p>
    <w:p w14:paraId="62D6614F" w14:textId="77777777" w:rsidR="0027146C" w:rsidRDefault="00000000">
      <w:pPr>
        <w:pStyle w:val="05-ArticleText"/>
      </w:pPr>
      <w:r>
        <w:t xml:space="preserve">The 27 May 2006 Yogyakarta earthquake caused extensive mortality, injury, and infrastructure damage, with Bantul </w:t>
      </w:r>
      <w:r>
        <w:t>Regency among the most severely affected areas [11,12]. The event disrupted health services, housing, transport, water and sanitation, and local livelihoods. Subsequent work on gender-sensitive disaster risk reduction in Indonesia has emphasized that preparedness and response systems should recognize the different social positions and responsibilities of women and men and should involve women directly in planning and decision-making [13-15].</w:t>
      </w:r>
    </w:p>
    <w:p w14:paraId="555FFA33" w14:textId="77777777" w:rsidR="0027146C" w:rsidRDefault="00000000">
      <w:pPr>
        <w:pStyle w:val="05-ArticleText"/>
      </w:pPr>
      <w:r>
        <w:t xml:space="preserve">International humanitarian guidance similarly identifies sexual and reproductive health as an essential component of emergency response. The Minimum Initial Service Package for sexual and reproductive health prioritizes life-saving reproductive health actions at the onset of a crisis, while Indonesian guidance on the minimum reproductive health service package in emergencies emphasizes continuity of maternal, newborn, family-planning, and protection services </w:t>
      </w:r>
      <w:r>
        <w:lastRenderedPageBreak/>
        <w:t>[16,17]. The Sphere standards and the Sendai Framework-related guidance also stress safe water, sanitation, shelter, health services, community participation, and protection of dignity during emergencies [18,19].</w:t>
      </w:r>
    </w:p>
    <w:p w14:paraId="5E0E62F2" w14:textId="77777777" w:rsidR="0027146C" w:rsidRDefault="00000000">
      <w:pPr>
        <w:pStyle w:val="05-ArticleText"/>
      </w:pPr>
      <w:r>
        <w:t>For nursing and midwifery, these disruptions are clinically and operationally important because women may seek help across community, primary-care, emergency, referral, and shelter-linked services. Disaster-nursing literature consistently identifies preparedness, communication, ethical practice, psychosocial readiness, coordination, and continuity of care as core capabilities during emergencies [20-24]. In reproductive health, evidence from humanitarian settings also shows that service use and intervention effectiveness depend not only on the availability of clinical services but also on access, referral pathways, communication, and the organization of care during crisis conditions [25-28]. These considerations make survivors' accounts relevant to nurses and midwives who participate in emergency assessment, maternal and reproductive health care, community outreach, risk communication, and recovery planning.</w:t>
      </w:r>
    </w:p>
    <w:p w14:paraId="68F6D7BF" w14:textId="77777777" w:rsidR="0027146C" w:rsidRDefault="00000000">
      <w:pPr>
        <w:pStyle w:val="05-ArticleText"/>
      </w:pPr>
      <w:r>
        <w:t>However, women’s experiences in disasters cannot be understood only through a vulnerability lens. Research on gender and disasters increasingly shows that women also act as planners, caregivers, economic actors, organizers, and local risk managers. Their responses may include mobilizing social capital, reorganizing domestic space, sustaining food systems, negotiating services, and creating informal networks of psychosocial support [4,5,11]. Recognizing this agency is important, but it should not be used to transfer responsibility for essential services from institutions to affected communities.</w:t>
      </w:r>
    </w:p>
    <w:p w14:paraId="60BFA190" w14:textId="77777777" w:rsidR="0027146C" w:rsidRDefault="00000000">
      <w:pPr>
        <w:pStyle w:val="05-ArticleText"/>
      </w:pPr>
      <w:r>
        <w:t>Most published disaster-health literature describes immediate needs, service disruptions, or population-level outcomes. Less attention has been given to how women retrospectively connect reproductive health needs with domestic responsibilities, institutional barriers, and practical forms of agency within a specific Indonesian earthquake context. A survivor-centered qualitative account can therefore complement epidemiological and service data by showing how needs were experienced, negotiated, and remembered at household and community levels. Such evidence is not intended to establish prevalence or causal effects; rather, it can identify issues that disaster-nursing, midwifery, and community-health planning may need to anticipate.</w:t>
      </w:r>
    </w:p>
    <w:p w14:paraId="32A5EFB9" w14:textId="77777777" w:rsidR="0027146C" w:rsidRDefault="00000000">
      <w:pPr>
        <w:pStyle w:val="05-ArticleText"/>
      </w:pPr>
      <w:r>
        <w:t xml:space="preserve">Nearly two decades after the 2006 earthquake, survivors’ retrospective accounts offer an opportunity to examine how reproductive health needs, gendered responsibilities, institutional barriers, and self-directed recovery strategies were remembered and interpreted over time. This study therefore explored how gendered social roles and structural conditions shaped layered reproductive health vulnerabilities among women survivors of the Bantul earthquake and how </w:t>
      </w:r>
      <w:r>
        <w:t>women exercised agency to manage health, caregiving, household, and community needs during emergency and recovery periods.</w:t>
      </w:r>
    </w:p>
    <w:p w14:paraId="22EA60F4" w14:textId="77777777" w:rsidR="0027146C" w:rsidRDefault="00000000">
      <w:pPr>
        <w:pStyle w:val="06-Heading-1"/>
        <w:keepNext/>
      </w:pPr>
      <w:r>
        <w:t>2. MATERIALS AND METHODS</w:t>
      </w:r>
    </w:p>
    <w:p w14:paraId="149634D4" w14:textId="77777777" w:rsidR="0027146C" w:rsidRDefault="00000000">
      <w:r>
        <w:rPr>
          <w:b/>
          <w:highlight w:val="yellow"/>
        </w:rPr>
        <w:t>2.1. Study Design and Methodological Rationale</w:t>
      </w:r>
    </w:p>
    <w:p w14:paraId="617567BB" w14:textId="77777777" w:rsidR="0027146C" w:rsidRPr="00146C58" w:rsidRDefault="00000000">
      <w:pPr>
        <w:pStyle w:val="07-Heading-2"/>
        <w:keepNext/>
        <w:rPr>
          <w:b w:val="0"/>
          <w:bCs/>
          <w:i w:val="0"/>
          <w:iCs/>
        </w:rPr>
      </w:pPr>
      <w:r w:rsidRPr="00146C58">
        <w:rPr>
          <w:b w:val="0"/>
          <w:bCs/>
          <w:i w:val="0"/>
          <w:iCs/>
          <w:highlight w:val="yellow"/>
        </w:rPr>
        <w:t>This study used a qualitative retrospective-phenomenological design to explore how women survivors interpreted and reconstructed their lived experiences of reproductive health, caregiving, and recovery after the 2006 Bantul earthquake. The study was conducted in Bantul Regency, Special Region of Yogyakarta, Indonesia. The phenomenological orientation was used to foreground participants' meanings and first-person accounts of the disaster and recovery experience. Braun and Clarke's reflexive thematic analysis (RTA) was selected as a flexible analytic method for developing patterned meanings across those accounts rather than as a separate phenomenological philosophy. This combination allowed the study to retain attention to lived experience while also examining recurring patterns across participants. Verbatim narratives, contextual details, and participant quotations were retained throughout theme development to preserve the experiential basis of interpretation. The retrospective design explicitly acknowledges that the interviews represent present-day reconstructions of events that occurred approximately two decades earlier.</w:t>
      </w:r>
    </w:p>
    <w:p w14:paraId="70194C0B" w14:textId="77777777" w:rsidR="0027146C" w:rsidRDefault="00000000">
      <w:r>
        <w:rPr>
          <w:b/>
          <w:highlight w:val="yellow"/>
        </w:rPr>
        <w:t>2.2. Participants and Recruitment</w:t>
      </w:r>
    </w:p>
    <w:p w14:paraId="15873D68" w14:textId="77777777" w:rsidR="0027146C" w:rsidRPr="00146C58" w:rsidRDefault="00000000">
      <w:pPr>
        <w:pStyle w:val="07-Heading-2"/>
        <w:keepNext/>
        <w:rPr>
          <w:b w:val="0"/>
          <w:bCs/>
          <w:i w:val="0"/>
          <w:iCs/>
        </w:rPr>
      </w:pPr>
      <w:r w:rsidRPr="00146C58">
        <w:rPr>
          <w:b w:val="0"/>
          <w:bCs/>
          <w:i w:val="0"/>
          <w:iCs/>
          <w:highlight w:val="yellow"/>
        </w:rPr>
        <w:t xml:space="preserve">Participants were recruited purposively using predefined eligibility criteria: adult women who had experienced the 2006 Bantul earthquake and were residing in an earthquake-affected area of Bantul. Potential participants were approached directly by the research team, with local assistants supporting field logistics where needed. The study was explained before consent was obtained. Ten eligible women were approached; all 10 agreed to participate and completed the interview. No eligible participant declined participation and there were no dropouts. At the time of the 2026 interviews, participants were 48–63 years old. All participants resided in </w:t>
      </w:r>
      <w:proofErr w:type="spellStart"/>
      <w:r w:rsidRPr="00146C58">
        <w:rPr>
          <w:b w:val="0"/>
          <w:bCs/>
          <w:i w:val="0"/>
          <w:iCs/>
          <w:highlight w:val="yellow"/>
        </w:rPr>
        <w:t>Gadungan</w:t>
      </w:r>
      <w:proofErr w:type="spellEnd"/>
      <w:r w:rsidRPr="00146C58">
        <w:rPr>
          <w:b w:val="0"/>
          <w:bCs/>
          <w:i w:val="0"/>
          <w:iCs/>
          <w:highlight w:val="yellow"/>
        </w:rPr>
        <w:t xml:space="preserve"> </w:t>
      </w:r>
      <w:proofErr w:type="spellStart"/>
      <w:r w:rsidRPr="00146C58">
        <w:rPr>
          <w:b w:val="0"/>
          <w:bCs/>
          <w:i w:val="0"/>
          <w:iCs/>
          <w:highlight w:val="yellow"/>
        </w:rPr>
        <w:t>Kepuh</w:t>
      </w:r>
      <w:proofErr w:type="spellEnd"/>
      <w:r w:rsidRPr="00146C58">
        <w:rPr>
          <w:b w:val="0"/>
          <w:bCs/>
          <w:i w:val="0"/>
          <w:iCs/>
          <w:highlight w:val="yellow"/>
        </w:rPr>
        <w:t xml:space="preserve"> Hamlet, Canden Village, Jetis District, Bantul Regency. Educational attainment was recorded for one participant (Bachelor's degree); educational data for the remaining participants were not recorded and were not inferred. Participant characteristics are summarized in Table 1. The study sought detailed, information-rich accounts across varied reproductive and caregiving circumstances rather than statistical representativeness. No quantitative sample-size calculation was used, and no formal saturation threshold was claimed. Sample adequacy was considered in relation to the focused study aim, specificity of the participant group, and depth of the 45-60-minute interviews, consistent with qualitative-method guidance on information power and saturation [29,30].</w:t>
      </w:r>
    </w:p>
    <w:p w14:paraId="004B788E" w14:textId="77777777" w:rsidR="0027146C" w:rsidRDefault="0027146C">
      <w:pPr>
        <w:sectPr w:rsidR="0027146C">
          <w:type w:val="continuous"/>
          <w:pgSz w:w="12240" w:h="15840"/>
          <w:pgMar w:top="1134" w:right="709" w:bottom="1134" w:left="1276" w:header="720" w:footer="964" w:gutter="0"/>
          <w:cols w:num="2" w:space="426"/>
          <w:formProt w:val="0"/>
          <w:docGrid w:linePitch="600" w:charSpace="32768"/>
        </w:sectPr>
      </w:pPr>
    </w:p>
    <w:p w14:paraId="34CD2E61" w14:textId="77777777" w:rsidR="00DB091D" w:rsidRDefault="00DB091D">
      <w:pPr>
        <w:rPr>
          <w:b/>
          <w:highlight w:val="yellow"/>
        </w:rPr>
      </w:pPr>
    </w:p>
    <w:p w14:paraId="44684119" w14:textId="77777777" w:rsidR="00DB091D" w:rsidRDefault="00DB091D">
      <w:pPr>
        <w:rPr>
          <w:b/>
          <w:highlight w:val="yellow"/>
        </w:rPr>
      </w:pPr>
    </w:p>
    <w:p w14:paraId="11048E6A" w14:textId="77777777" w:rsidR="00DB091D" w:rsidRDefault="00DB091D">
      <w:pPr>
        <w:rPr>
          <w:b/>
          <w:highlight w:val="yellow"/>
        </w:rPr>
      </w:pPr>
    </w:p>
    <w:p w14:paraId="5D9DB9E8" w14:textId="77777777" w:rsidR="00DB091D" w:rsidRDefault="00DB091D">
      <w:pPr>
        <w:rPr>
          <w:b/>
          <w:highlight w:val="yellow"/>
        </w:rPr>
      </w:pPr>
    </w:p>
    <w:p w14:paraId="0A5EEE58" w14:textId="77777777" w:rsidR="00DB091D" w:rsidRDefault="00DB091D">
      <w:pPr>
        <w:rPr>
          <w:b/>
          <w:highlight w:val="yellow"/>
        </w:rPr>
      </w:pPr>
    </w:p>
    <w:p w14:paraId="6A5C94C8" w14:textId="06F1EEB3" w:rsidR="0027146C" w:rsidRDefault="00000000">
      <w:r>
        <w:rPr>
          <w:b/>
          <w:highlight w:val="yellow"/>
        </w:rPr>
        <w:t>Table 1. Participant characteristics at the time of the 2006 earthquake and at the 2026 interviews.</w:t>
      </w:r>
    </w:p>
    <w:p w14:paraId="7CC4BB82" w14:textId="77777777" w:rsidR="0027146C" w:rsidRDefault="00000000">
      <w:r>
        <w:rPr>
          <w:b/>
          <w:highlight w:val="yellow"/>
        </w:rPr>
        <w:t>Panel A. Demographic and residential characteristics</w:t>
      </w:r>
    </w:p>
    <w:tbl>
      <w:tblPr>
        <w:tblStyle w:val="TableGrid"/>
        <w:tblW w:w="0" w:type="auto"/>
        <w:tblInd w:w="108" w:type="dxa"/>
        <w:tblLook w:val="04A0" w:firstRow="1" w:lastRow="0" w:firstColumn="1" w:lastColumn="0" w:noHBand="0" w:noVBand="1"/>
      </w:tblPr>
      <w:tblGrid>
        <w:gridCol w:w="1943"/>
        <w:gridCol w:w="2051"/>
        <w:gridCol w:w="2051"/>
        <w:gridCol w:w="2051"/>
        <w:gridCol w:w="2051"/>
      </w:tblGrid>
      <w:tr w:rsidR="0027146C" w14:paraId="49C270F1" w14:textId="77777777" w:rsidTr="00C34CD3">
        <w:tc>
          <w:tcPr>
            <w:tcW w:w="1943" w:type="dxa"/>
            <w:shd w:val="clear" w:color="auto" w:fill="BFBFBF"/>
          </w:tcPr>
          <w:p w14:paraId="225A664F" w14:textId="77777777" w:rsidR="0027146C" w:rsidRDefault="00000000">
            <w:r>
              <w:rPr>
                <w:b/>
                <w:sz w:val="16"/>
                <w:highlight w:val="yellow"/>
              </w:rPr>
              <w:t>Participant</w:t>
            </w:r>
          </w:p>
        </w:tc>
        <w:tc>
          <w:tcPr>
            <w:tcW w:w="2051" w:type="dxa"/>
            <w:shd w:val="clear" w:color="auto" w:fill="BFBFBF"/>
          </w:tcPr>
          <w:p w14:paraId="0113B6C0" w14:textId="77777777" w:rsidR="0027146C" w:rsidRDefault="00000000">
            <w:r>
              <w:rPr>
                <w:b/>
                <w:sz w:val="16"/>
                <w:highlight w:val="yellow"/>
              </w:rPr>
              <w:t>Age in 2006</w:t>
            </w:r>
          </w:p>
        </w:tc>
        <w:tc>
          <w:tcPr>
            <w:tcW w:w="2051" w:type="dxa"/>
            <w:shd w:val="clear" w:color="auto" w:fill="BFBFBF"/>
          </w:tcPr>
          <w:p w14:paraId="6C569341" w14:textId="77777777" w:rsidR="0027146C" w:rsidRDefault="00000000">
            <w:r>
              <w:rPr>
                <w:b/>
                <w:sz w:val="16"/>
                <w:highlight w:val="yellow"/>
              </w:rPr>
              <w:t>Age in 2026</w:t>
            </w:r>
          </w:p>
        </w:tc>
        <w:tc>
          <w:tcPr>
            <w:tcW w:w="2051" w:type="dxa"/>
            <w:shd w:val="clear" w:color="auto" w:fill="BFBFBF"/>
          </w:tcPr>
          <w:p w14:paraId="505C0499" w14:textId="77777777" w:rsidR="0027146C" w:rsidRDefault="00000000">
            <w:r>
              <w:rPr>
                <w:b/>
                <w:sz w:val="16"/>
                <w:highlight w:val="yellow"/>
              </w:rPr>
              <w:t>Residence</w:t>
            </w:r>
          </w:p>
        </w:tc>
        <w:tc>
          <w:tcPr>
            <w:tcW w:w="2051" w:type="dxa"/>
            <w:shd w:val="clear" w:color="auto" w:fill="BFBFBF"/>
          </w:tcPr>
          <w:p w14:paraId="75293AD2" w14:textId="77777777" w:rsidR="0027146C" w:rsidRDefault="00000000">
            <w:r>
              <w:rPr>
                <w:b/>
                <w:sz w:val="16"/>
                <w:highlight w:val="yellow"/>
              </w:rPr>
              <w:t>Education</w:t>
            </w:r>
          </w:p>
        </w:tc>
      </w:tr>
      <w:tr w:rsidR="0027146C" w14:paraId="69F77FB1" w14:textId="77777777" w:rsidTr="00C34CD3">
        <w:tc>
          <w:tcPr>
            <w:tcW w:w="1943" w:type="dxa"/>
          </w:tcPr>
          <w:p w14:paraId="4373A1B2" w14:textId="77777777" w:rsidR="0027146C" w:rsidRDefault="00000000">
            <w:r>
              <w:rPr>
                <w:sz w:val="16"/>
                <w:highlight w:val="yellow"/>
              </w:rPr>
              <w:t>I1</w:t>
            </w:r>
          </w:p>
        </w:tc>
        <w:tc>
          <w:tcPr>
            <w:tcW w:w="2051" w:type="dxa"/>
          </w:tcPr>
          <w:p w14:paraId="460F02D4" w14:textId="77777777" w:rsidR="0027146C" w:rsidRDefault="00000000">
            <w:r>
              <w:rPr>
                <w:sz w:val="16"/>
                <w:highlight w:val="yellow"/>
              </w:rPr>
              <w:t>44</w:t>
            </w:r>
          </w:p>
        </w:tc>
        <w:tc>
          <w:tcPr>
            <w:tcW w:w="2051" w:type="dxa"/>
          </w:tcPr>
          <w:p w14:paraId="48EC5EB3" w14:textId="77777777" w:rsidR="0027146C" w:rsidRDefault="00000000">
            <w:r>
              <w:rPr>
                <w:sz w:val="16"/>
                <w:highlight w:val="yellow"/>
              </w:rPr>
              <w:t>63</w:t>
            </w:r>
          </w:p>
        </w:tc>
        <w:tc>
          <w:tcPr>
            <w:tcW w:w="2051" w:type="dxa"/>
          </w:tcPr>
          <w:p w14:paraId="2EF9D125"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40D9434C" w14:textId="77777777" w:rsidR="0027146C" w:rsidRDefault="00000000">
            <w:r>
              <w:rPr>
                <w:sz w:val="16"/>
                <w:highlight w:val="yellow"/>
              </w:rPr>
              <w:t>Bachelor</w:t>
            </w:r>
          </w:p>
        </w:tc>
      </w:tr>
      <w:tr w:rsidR="0027146C" w14:paraId="45A231D6" w14:textId="77777777" w:rsidTr="00C34CD3">
        <w:tc>
          <w:tcPr>
            <w:tcW w:w="1943" w:type="dxa"/>
          </w:tcPr>
          <w:p w14:paraId="56EA9545" w14:textId="77777777" w:rsidR="0027146C" w:rsidRDefault="00000000">
            <w:r>
              <w:rPr>
                <w:sz w:val="16"/>
                <w:highlight w:val="yellow"/>
              </w:rPr>
              <w:t>I2</w:t>
            </w:r>
          </w:p>
        </w:tc>
        <w:tc>
          <w:tcPr>
            <w:tcW w:w="2051" w:type="dxa"/>
          </w:tcPr>
          <w:p w14:paraId="006D6E75" w14:textId="77777777" w:rsidR="0027146C" w:rsidRDefault="00000000">
            <w:r>
              <w:rPr>
                <w:sz w:val="16"/>
                <w:highlight w:val="yellow"/>
              </w:rPr>
              <w:t>40</w:t>
            </w:r>
          </w:p>
        </w:tc>
        <w:tc>
          <w:tcPr>
            <w:tcW w:w="2051" w:type="dxa"/>
          </w:tcPr>
          <w:p w14:paraId="013331AF" w14:textId="77777777" w:rsidR="0027146C" w:rsidRDefault="00000000">
            <w:r>
              <w:rPr>
                <w:sz w:val="16"/>
                <w:highlight w:val="yellow"/>
              </w:rPr>
              <w:t>60</w:t>
            </w:r>
          </w:p>
        </w:tc>
        <w:tc>
          <w:tcPr>
            <w:tcW w:w="2051" w:type="dxa"/>
          </w:tcPr>
          <w:p w14:paraId="2405BC60"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0B187DE3" w14:textId="77777777" w:rsidR="0027146C" w:rsidRDefault="00000000">
            <w:r>
              <w:rPr>
                <w:sz w:val="16"/>
                <w:highlight w:val="yellow"/>
              </w:rPr>
              <w:t>Not recorded</w:t>
            </w:r>
          </w:p>
        </w:tc>
      </w:tr>
      <w:tr w:rsidR="0027146C" w14:paraId="4AB64713" w14:textId="77777777" w:rsidTr="00C34CD3">
        <w:tc>
          <w:tcPr>
            <w:tcW w:w="1943" w:type="dxa"/>
          </w:tcPr>
          <w:p w14:paraId="7A5EC20E" w14:textId="77777777" w:rsidR="0027146C" w:rsidRDefault="00000000">
            <w:r>
              <w:rPr>
                <w:sz w:val="16"/>
                <w:highlight w:val="yellow"/>
              </w:rPr>
              <w:t>I3</w:t>
            </w:r>
          </w:p>
        </w:tc>
        <w:tc>
          <w:tcPr>
            <w:tcW w:w="2051" w:type="dxa"/>
          </w:tcPr>
          <w:p w14:paraId="20479D68" w14:textId="77777777" w:rsidR="0027146C" w:rsidRDefault="00000000">
            <w:r>
              <w:rPr>
                <w:sz w:val="16"/>
                <w:highlight w:val="yellow"/>
              </w:rPr>
              <w:t>41</w:t>
            </w:r>
          </w:p>
        </w:tc>
        <w:tc>
          <w:tcPr>
            <w:tcW w:w="2051" w:type="dxa"/>
          </w:tcPr>
          <w:p w14:paraId="766E5E3E" w14:textId="77777777" w:rsidR="0027146C" w:rsidRDefault="00000000">
            <w:r>
              <w:rPr>
                <w:sz w:val="16"/>
                <w:highlight w:val="yellow"/>
              </w:rPr>
              <w:t>61</w:t>
            </w:r>
          </w:p>
        </w:tc>
        <w:tc>
          <w:tcPr>
            <w:tcW w:w="2051" w:type="dxa"/>
          </w:tcPr>
          <w:p w14:paraId="03226AF6"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5A6E0B59" w14:textId="77777777" w:rsidR="0027146C" w:rsidRDefault="00000000">
            <w:r>
              <w:rPr>
                <w:sz w:val="16"/>
                <w:highlight w:val="yellow"/>
              </w:rPr>
              <w:t>Not recorded</w:t>
            </w:r>
          </w:p>
        </w:tc>
      </w:tr>
      <w:tr w:rsidR="0027146C" w14:paraId="1DDAC4BF" w14:textId="77777777" w:rsidTr="00C34CD3">
        <w:tc>
          <w:tcPr>
            <w:tcW w:w="1943" w:type="dxa"/>
          </w:tcPr>
          <w:p w14:paraId="4DD18A67" w14:textId="77777777" w:rsidR="0027146C" w:rsidRDefault="00000000">
            <w:r>
              <w:rPr>
                <w:sz w:val="16"/>
                <w:highlight w:val="yellow"/>
              </w:rPr>
              <w:t>I4</w:t>
            </w:r>
          </w:p>
        </w:tc>
        <w:tc>
          <w:tcPr>
            <w:tcW w:w="2051" w:type="dxa"/>
          </w:tcPr>
          <w:p w14:paraId="7AB77DD6" w14:textId="77777777" w:rsidR="0027146C" w:rsidRDefault="00000000">
            <w:r>
              <w:rPr>
                <w:sz w:val="16"/>
                <w:highlight w:val="yellow"/>
              </w:rPr>
              <w:t>29</w:t>
            </w:r>
          </w:p>
        </w:tc>
        <w:tc>
          <w:tcPr>
            <w:tcW w:w="2051" w:type="dxa"/>
          </w:tcPr>
          <w:p w14:paraId="6C637493" w14:textId="77777777" w:rsidR="0027146C" w:rsidRDefault="00000000">
            <w:r>
              <w:rPr>
                <w:sz w:val="16"/>
                <w:highlight w:val="yellow"/>
              </w:rPr>
              <w:t>48</w:t>
            </w:r>
          </w:p>
        </w:tc>
        <w:tc>
          <w:tcPr>
            <w:tcW w:w="2051" w:type="dxa"/>
          </w:tcPr>
          <w:p w14:paraId="3E7C12BB"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38E755FE" w14:textId="77777777" w:rsidR="0027146C" w:rsidRDefault="00000000">
            <w:r>
              <w:rPr>
                <w:sz w:val="16"/>
                <w:highlight w:val="yellow"/>
              </w:rPr>
              <w:t>Not recorded</w:t>
            </w:r>
          </w:p>
        </w:tc>
      </w:tr>
      <w:tr w:rsidR="0027146C" w14:paraId="1F65A107" w14:textId="77777777" w:rsidTr="00C34CD3">
        <w:tc>
          <w:tcPr>
            <w:tcW w:w="1943" w:type="dxa"/>
          </w:tcPr>
          <w:p w14:paraId="6CBA9433" w14:textId="77777777" w:rsidR="0027146C" w:rsidRDefault="00000000">
            <w:r>
              <w:rPr>
                <w:sz w:val="16"/>
                <w:highlight w:val="yellow"/>
              </w:rPr>
              <w:t>I5</w:t>
            </w:r>
          </w:p>
        </w:tc>
        <w:tc>
          <w:tcPr>
            <w:tcW w:w="2051" w:type="dxa"/>
          </w:tcPr>
          <w:p w14:paraId="4CD446F0" w14:textId="77777777" w:rsidR="0027146C" w:rsidRDefault="00000000">
            <w:r>
              <w:rPr>
                <w:sz w:val="16"/>
                <w:highlight w:val="yellow"/>
              </w:rPr>
              <w:t>33</w:t>
            </w:r>
          </w:p>
        </w:tc>
        <w:tc>
          <w:tcPr>
            <w:tcW w:w="2051" w:type="dxa"/>
          </w:tcPr>
          <w:p w14:paraId="06B239EF" w14:textId="77777777" w:rsidR="0027146C" w:rsidRDefault="00000000">
            <w:r>
              <w:rPr>
                <w:sz w:val="16"/>
                <w:highlight w:val="yellow"/>
              </w:rPr>
              <w:t>53</w:t>
            </w:r>
          </w:p>
        </w:tc>
        <w:tc>
          <w:tcPr>
            <w:tcW w:w="2051" w:type="dxa"/>
          </w:tcPr>
          <w:p w14:paraId="7E654A01"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0ED513CF" w14:textId="77777777" w:rsidR="0027146C" w:rsidRDefault="00000000">
            <w:r>
              <w:rPr>
                <w:sz w:val="16"/>
                <w:highlight w:val="yellow"/>
              </w:rPr>
              <w:t>Not recorded</w:t>
            </w:r>
          </w:p>
        </w:tc>
      </w:tr>
      <w:tr w:rsidR="0027146C" w14:paraId="46D2B2EC" w14:textId="77777777" w:rsidTr="00C34CD3">
        <w:tc>
          <w:tcPr>
            <w:tcW w:w="1943" w:type="dxa"/>
          </w:tcPr>
          <w:p w14:paraId="18DF3F32" w14:textId="77777777" w:rsidR="0027146C" w:rsidRDefault="00000000">
            <w:r>
              <w:rPr>
                <w:sz w:val="16"/>
                <w:highlight w:val="yellow"/>
              </w:rPr>
              <w:t>I6</w:t>
            </w:r>
          </w:p>
        </w:tc>
        <w:tc>
          <w:tcPr>
            <w:tcW w:w="2051" w:type="dxa"/>
          </w:tcPr>
          <w:p w14:paraId="478816BD" w14:textId="77777777" w:rsidR="0027146C" w:rsidRDefault="00000000">
            <w:r>
              <w:rPr>
                <w:sz w:val="16"/>
                <w:highlight w:val="yellow"/>
              </w:rPr>
              <w:t>43</w:t>
            </w:r>
          </w:p>
        </w:tc>
        <w:tc>
          <w:tcPr>
            <w:tcW w:w="2051" w:type="dxa"/>
          </w:tcPr>
          <w:p w14:paraId="4ADD25A1" w14:textId="77777777" w:rsidR="0027146C" w:rsidRDefault="00000000">
            <w:r>
              <w:rPr>
                <w:sz w:val="16"/>
                <w:highlight w:val="yellow"/>
              </w:rPr>
              <w:t>63</w:t>
            </w:r>
          </w:p>
        </w:tc>
        <w:tc>
          <w:tcPr>
            <w:tcW w:w="2051" w:type="dxa"/>
          </w:tcPr>
          <w:p w14:paraId="20F96A95"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1B7A887C" w14:textId="77777777" w:rsidR="0027146C" w:rsidRDefault="00000000">
            <w:r>
              <w:rPr>
                <w:sz w:val="16"/>
                <w:highlight w:val="yellow"/>
              </w:rPr>
              <w:t>Not recorded</w:t>
            </w:r>
          </w:p>
        </w:tc>
      </w:tr>
      <w:tr w:rsidR="0027146C" w14:paraId="2609415B" w14:textId="77777777" w:rsidTr="00C34CD3">
        <w:tc>
          <w:tcPr>
            <w:tcW w:w="1943" w:type="dxa"/>
          </w:tcPr>
          <w:p w14:paraId="1C26D237" w14:textId="77777777" w:rsidR="0027146C" w:rsidRDefault="00000000">
            <w:r>
              <w:rPr>
                <w:sz w:val="16"/>
                <w:highlight w:val="yellow"/>
              </w:rPr>
              <w:t>I7</w:t>
            </w:r>
          </w:p>
        </w:tc>
        <w:tc>
          <w:tcPr>
            <w:tcW w:w="2051" w:type="dxa"/>
          </w:tcPr>
          <w:p w14:paraId="185B5097" w14:textId="77777777" w:rsidR="0027146C" w:rsidRDefault="00000000">
            <w:r>
              <w:rPr>
                <w:sz w:val="16"/>
                <w:highlight w:val="yellow"/>
              </w:rPr>
              <w:t>38</w:t>
            </w:r>
          </w:p>
        </w:tc>
        <w:tc>
          <w:tcPr>
            <w:tcW w:w="2051" w:type="dxa"/>
          </w:tcPr>
          <w:p w14:paraId="022F64B6" w14:textId="77777777" w:rsidR="0027146C" w:rsidRDefault="00000000">
            <w:r>
              <w:rPr>
                <w:sz w:val="16"/>
                <w:highlight w:val="yellow"/>
              </w:rPr>
              <w:t>58</w:t>
            </w:r>
          </w:p>
        </w:tc>
        <w:tc>
          <w:tcPr>
            <w:tcW w:w="2051" w:type="dxa"/>
          </w:tcPr>
          <w:p w14:paraId="6F3741E7"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35E82612" w14:textId="77777777" w:rsidR="0027146C" w:rsidRDefault="00000000">
            <w:r>
              <w:rPr>
                <w:sz w:val="16"/>
                <w:highlight w:val="yellow"/>
              </w:rPr>
              <w:t>Not recorded</w:t>
            </w:r>
          </w:p>
        </w:tc>
      </w:tr>
      <w:tr w:rsidR="0027146C" w14:paraId="277DF822" w14:textId="77777777" w:rsidTr="00C34CD3">
        <w:tc>
          <w:tcPr>
            <w:tcW w:w="1943" w:type="dxa"/>
          </w:tcPr>
          <w:p w14:paraId="4C1CF81B" w14:textId="77777777" w:rsidR="0027146C" w:rsidRDefault="00000000">
            <w:r>
              <w:rPr>
                <w:sz w:val="16"/>
                <w:highlight w:val="yellow"/>
              </w:rPr>
              <w:t>I8</w:t>
            </w:r>
          </w:p>
        </w:tc>
        <w:tc>
          <w:tcPr>
            <w:tcW w:w="2051" w:type="dxa"/>
          </w:tcPr>
          <w:p w14:paraId="0E66F88E" w14:textId="77777777" w:rsidR="0027146C" w:rsidRDefault="00000000">
            <w:r>
              <w:rPr>
                <w:sz w:val="16"/>
                <w:highlight w:val="yellow"/>
              </w:rPr>
              <w:t>38</w:t>
            </w:r>
          </w:p>
        </w:tc>
        <w:tc>
          <w:tcPr>
            <w:tcW w:w="2051" w:type="dxa"/>
          </w:tcPr>
          <w:p w14:paraId="1F5A23C6" w14:textId="77777777" w:rsidR="0027146C" w:rsidRDefault="00000000">
            <w:r>
              <w:rPr>
                <w:sz w:val="16"/>
                <w:highlight w:val="yellow"/>
              </w:rPr>
              <w:t>56</w:t>
            </w:r>
          </w:p>
        </w:tc>
        <w:tc>
          <w:tcPr>
            <w:tcW w:w="2051" w:type="dxa"/>
          </w:tcPr>
          <w:p w14:paraId="601B21A5"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0BE6920F" w14:textId="77777777" w:rsidR="0027146C" w:rsidRDefault="00000000">
            <w:r>
              <w:rPr>
                <w:sz w:val="16"/>
                <w:highlight w:val="yellow"/>
              </w:rPr>
              <w:t>Not recorded</w:t>
            </w:r>
          </w:p>
        </w:tc>
      </w:tr>
      <w:tr w:rsidR="0027146C" w14:paraId="62924181" w14:textId="77777777" w:rsidTr="00C34CD3">
        <w:tc>
          <w:tcPr>
            <w:tcW w:w="1943" w:type="dxa"/>
          </w:tcPr>
          <w:p w14:paraId="26A4EA0C" w14:textId="77777777" w:rsidR="0027146C" w:rsidRDefault="00000000">
            <w:r>
              <w:rPr>
                <w:sz w:val="16"/>
                <w:highlight w:val="yellow"/>
              </w:rPr>
              <w:t>I9</w:t>
            </w:r>
          </w:p>
        </w:tc>
        <w:tc>
          <w:tcPr>
            <w:tcW w:w="2051" w:type="dxa"/>
          </w:tcPr>
          <w:p w14:paraId="1FB3A2F5" w14:textId="77777777" w:rsidR="0027146C" w:rsidRDefault="00000000">
            <w:r>
              <w:rPr>
                <w:sz w:val="16"/>
                <w:highlight w:val="yellow"/>
              </w:rPr>
              <w:t>33</w:t>
            </w:r>
          </w:p>
        </w:tc>
        <w:tc>
          <w:tcPr>
            <w:tcW w:w="2051" w:type="dxa"/>
          </w:tcPr>
          <w:p w14:paraId="497F4740" w14:textId="77777777" w:rsidR="0027146C" w:rsidRDefault="00000000">
            <w:r>
              <w:rPr>
                <w:sz w:val="16"/>
                <w:highlight w:val="yellow"/>
              </w:rPr>
              <w:t>52</w:t>
            </w:r>
          </w:p>
        </w:tc>
        <w:tc>
          <w:tcPr>
            <w:tcW w:w="2051" w:type="dxa"/>
          </w:tcPr>
          <w:p w14:paraId="32DD4F92"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6F426E66" w14:textId="77777777" w:rsidR="0027146C" w:rsidRDefault="00000000">
            <w:r>
              <w:rPr>
                <w:sz w:val="16"/>
                <w:highlight w:val="yellow"/>
              </w:rPr>
              <w:t>Not recorded</w:t>
            </w:r>
          </w:p>
        </w:tc>
      </w:tr>
      <w:tr w:rsidR="0027146C" w14:paraId="499F9D4E" w14:textId="77777777" w:rsidTr="00C34CD3">
        <w:tc>
          <w:tcPr>
            <w:tcW w:w="1943" w:type="dxa"/>
          </w:tcPr>
          <w:p w14:paraId="1FE7D4D9" w14:textId="77777777" w:rsidR="0027146C" w:rsidRDefault="00000000">
            <w:r>
              <w:rPr>
                <w:sz w:val="16"/>
                <w:highlight w:val="yellow"/>
              </w:rPr>
              <w:t>I10</w:t>
            </w:r>
          </w:p>
        </w:tc>
        <w:tc>
          <w:tcPr>
            <w:tcW w:w="2051" w:type="dxa"/>
          </w:tcPr>
          <w:p w14:paraId="1BDD3A4A" w14:textId="77777777" w:rsidR="0027146C" w:rsidRDefault="00000000">
            <w:r>
              <w:rPr>
                <w:sz w:val="16"/>
                <w:highlight w:val="yellow"/>
              </w:rPr>
              <w:t>43</w:t>
            </w:r>
          </w:p>
        </w:tc>
        <w:tc>
          <w:tcPr>
            <w:tcW w:w="2051" w:type="dxa"/>
          </w:tcPr>
          <w:p w14:paraId="1111D7DE" w14:textId="77777777" w:rsidR="0027146C" w:rsidRDefault="00000000">
            <w:r>
              <w:rPr>
                <w:sz w:val="16"/>
                <w:highlight w:val="yellow"/>
              </w:rPr>
              <w:t>63</w:t>
            </w:r>
          </w:p>
        </w:tc>
        <w:tc>
          <w:tcPr>
            <w:tcW w:w="2051" w:type="dxa"/>
          </w:tcPr>
          <w:p w14:paraId="74930EDA" w14:textId="77777777" w:rsidR="0027146C" w:rsidRDefault="00000000">
            <w:proofErr w:type="spellStart"/>
            <w:r>
              <w:rPr>
                <w:sz w:val="16"/>
                <w:highlight w:val="yellow"/>
              </w:rPr>
              <w:t>Gadungan</w:t>
            </w:r>
            <w:proofErr w:type="spellEnd"/>
            <w:r>
              <w:rPr>
                <w:sz w:val="16"/>
                <w:highlight w:val="yellow"/>
              </w:rPr>
              <w:t xml:space="preserve"> </w:t>
            </w:r>
            <w:proofErr w:type="spellStart"/>
            <w:r>
              <w:rPr>
                <w:sz w:val="16"/>
                <w:highlight w:val="yellow"/>
              </w:rPr>
              <w:t>Kepuh</w:t>
            </w:r>
            <w:proofErr w:type="spellEnd"/>
            <w:r>
              <w:rPr>
                <w:sz w:val="16"/>
                <w:highlight w:val="yellow"/>
              </w:rPr>
              <w:t>, Canden, Jetis, Bantul</w:t>
            </w:r>
          </w:p>
        </w:tc>
        <w:tc>
          <w:tcPr>
            <w:tcW w:w="2051" w:type="dxa"/>
          </w:tcPr>
          <w:p w14:paraId="48ADABAB" w14:textId="77777777" w:rsidR="0027146C" w:rsidRDefault="00000000">
            <w:r>
              <w:rPr>
                <w:sz w:val="16"/>
                <w:highlight w:val="yellow"/>
              </w:rPr>
              <w:t>Not recorded</w:t>
            </w:r>
          </w:p>
        </w:tc>
      </w:tr>
    </w:tbl>
    <w:p w14:paraId="43B25920" w14:textId="77777777" w:rsidR="00E2092A" w:rsidRDefault="00E2092A">
      <w:pPr>
        <w:rPr>
          <w:b/>
          <w:highlight w:val="yellow"/>
        </w:rPr>
      </w:pPr>
    </w:p>
    <w:p w14:paraId="0B629F8B" w14:textId="606CA993" w:rsidR="0027146C" w:rsidRDefault="00000000">
      <w:r>
        <w:rPr>
          <w:b/>
          <w:highlight w:val="yellow"/>
        </w:rPr>
        <w:t>Panel B. Reproductive, caregiving, and contraceptive characteristics</w:t>
      </w:r>
    </w:p>
    <w:tbl>
      <w:tblPr>
        <w:tblStyle w:val="TableGrid"/>
        <w:tblW w:w="0" w:type="auto"/>
        <w:tblInd w:w="108" w:type="dxa"/>
        <w:tblLook w:val="04A0" w:firstRow="1" w:lastRow="0" w:firstColumn="1" w:lastColumn="0" w:noHBand="0" w:noVBand="1"/>
      </w:tblPr>
      <w:tblGrid>
        <w:gridCol w:w="1943"/>
        <w:gridCol w:w="2051"/>
        <w:gridCol w:w="2051"/>
        <w:gridCol w:w="2051"/>
        <w:gridCol w:w="2051"/>
      </w:tblGrid>
      <w:tr w:rsidR="0027146C" w14:paraId="06C8D121" w14:textId="77777777" w:rsidTr="00E2092A">
        <w:tc>
          <w:tcPr>
            <w:tcW w:w="1943" w:type="dxa"/>
            <w:shd w:val="clear" w:color="auto" w:fill="BFBFBF"/>
          </w:tcPr>
          <w:p w14:paraId="618F41AE" w14:textId="77777777" w:rsidR="0027146C" w:rsidRDefault="00000000">
            <w:r>
              <w:rPr>
                <w:b/>
                <w:sz w:val="16"/>
                <w:highlight w:val="yellow"/>
              </w:rPr>
              <w:t>Participant</w:t>
            </w:r>
          </w:p>
        </w:tc>
        <w:tc>
          <w:tcPr>
            <w:tcW w:w="2051" w:type="dxa"/>
            <w:shd w:val="clear" w:color="auto" w:fill="BFBFBF"/>
          </w:tcPr>
          <w:p w14:paraId="4FD7942A" w14:textId="77777777" w:rsidR="0027146C" w:rsidRDefault="00000000">
            <w:r>
              <w:rPr>
                <w:b/>
                <w:sz w:val="16"/>
                <w:highlight w:val="yellow"/>
              </w:rPr>
              <w:t>Occupation / socioeconomic role</w:t>
            </w:r>
          </w:p>
        </w:tc>
        <w:tc>
          <w:tcPr>
            <w:tcW w:w="2051" w:type="dxa"/>
            <w:shd w:val="clear" w:color="auto" w:fill="BFBFBF"/>
          </w:tcPr>
          <w:p w14:paraId="1C5BF4F0" w14:textId="77777777" w:rsidR="0027146C" w:rsidRDefault="00000000">
            <w:r>
              <w:rPr>
                <w:b/>
                <w:sz w:val="16"/>
                <w:highlight w:val="yellow"/>
              </w:rPr>
              <w:t>Living children</w:t>
            </w:r>
          </w:p>
        </w:tc>
        <w:tc>
          <w:tcPr>
            <w:tcW w:w="2051" w:type="dxa"/>
            <w:shd w:val="clear" w:color="auto" w:fill="BFBFBF"/>
          </w:tcPr>
          <w:p w14:paraId="0ED06153" w14:textId="77777777" w:rsidR="0027146C" w:rsidRDefault="00000000">
            <w:r>
              <w:rPr>
                <w:b/>
                <w:sz w:val="16"/>
                <w:highlight w:val="yellow"/>
              </w:rPr>
              <w:t>Reproductive phase / dominant caregiving role</w:t>
            </w:r>
          </w:p>
        </w:tc>
        <w:tc>
          <w:tcPr>
            <w:tcW w:w="2051" w:type="dxa"/>
            <w:shd w:val="clear" w:color="auto" w:fill="BFBFBF"/>
          </w:tcPr>
          <w:p w14:paraId="6B32613A" w14:textId="77777777" w:rsidR="0027146C" w:rsidRDefault="00000000">
            <w:r>
              <w:rPr>
                <w:b/>
                <w:sz w:val="16"/>
                <w:highlight w:val="yellow"/>
              </w:rPr>
              <w:t>Contraceptive status</w:t>
            </w:r>
          </w:p>
        </w:tc>
      </w:tr>
      <w:tr w:rsidR="0027146C" w14:paraId="33ADB6E3" w14:textId="77777777" w:rsidTr="00E2092A">
        <w:tc>
          <w:tcPr>
            <w:tcW w:w="1943" w:type="dxa"/>
          </w:tcPr>
          <w:p w14:paraId="610B978F" w14:textId="77777777" w:rsidR="0027146C" w:rsidRDefault="00000000">
            <w:r>
              <w:rPr>
                <w:sz w:val="16"/>
                <w:highlight w:val="yellow"/>
              </w:rPr>
              <w:t>I1</w:t>
            </w:r>
          </w:p>
        </w:tc>
        <w:tc>
          <w:tcPr>
            <w:tcW w:w="2051" w:type="dxa"/>
          </w:tcPr>
          <w:p w14:paraId="14C2281C" w14:textId="77777777" w:rsidR="0027146C" w:rsidRDefault="00000000">
            <w:r>
              <w:rPr>
                <w:sz w:val="16"/>
                <w:highlight w:val="yellow"/>
              </w:rPr>
              <w:t>Teacher / educator</w:t>
            </w:r>
          </w:p>
        </w:tc>
        <w:tc>
          <w:tcPr>
            <w:tcW w:w="2051" w:type="dxa"/>
          </w:tcPr>
          <w:p w14:paraId="778987DF" w14:textId="77777777" w:rsidR="0027146C" w:rsidRDefault="00000000">
            <w:r>
              <w:rPr>
                <w:sz w:val="16"/>
                <w:highlight w:val="yellow"/>
              </w:rPr>
              <w:t>2</w:t>
            </w:r>
          </w:p>
        </w:tc>
        <w:tc>
          <w:tcPr>
            <w:tcW w:w="2051" w:type="dxa"/>
          </w:tcPr>
          <w:p w14:paraId="722E5DB6" w14:textId="77777777" w:rsidR="0027146C" w:rsidRDefault="00000000">
            <w:r>
              <w:rPr>
                <w:sz w:val="16"/>
                <w:highlight w:val="yellow"/>
              </w:rPr>
              <w:t>Perimenopause; care of adolescents</w:t>
            </w:r>
          </w:p>
        </w:tc>
        <w:tc>
          <w:tcPr>
            <w:tcW w:w="2051" w:type="dxa"/>
          </w:tcPr>
          <w:p w14:paraId="77CDF7F0" w14:textId="77777777" w:rsidR="0027146C" w:rsidRDefault="00000000">
            <w:r>
              <w:rPr>
                <w:sz w:val="16"/>
                <w:highlight w:val="yellow"/>
              </w:rPr>
              <w:t>Not applicable</w:t>
            </w:r>
          </w:p>
        </w:tc>
      </w:tr>
      <w:tr w:rsidR="0027146C" w14:paraId="57F2002F" w14:textId="77777777" w:rsidTr="00E2092A">
        <w:tc>
          <w:tcPr>
            <w:tcW w:w="1943" w:type="dxa"/>
          </w:tcPr>
          <w:p w14:paraId="2A4DF051" w14:textId="77777777" w:rsidR="0027146C" w:rsidRDefault="00000000">
            <w:r>
              <w:rPr>
                <w:sz w:val="16"/>
                <w:highlight w:val="yellow"/>
              </w:rPr>
              <w:t>I2</w:t>
            </w:r>
          </w:p>
        </w:tc>
        <w:tc>
          <w:tcPr>
            <w:tcW w:w="2051" w:type="dxa"/>
          </w:tcPr>
          <w:p w14:paraId="0B0922B4" w14:textId="77777777" w:rsidR="0027146C" w:rsidRDefault="00000000">
            <w:r>
              <w:rPr>
                <w:sz w:val="16"/>
                <w:highlight w:val="yellow"/>
              </w:rPr>
              <w:t>School administrative staff</w:t>
            </w:r>
          </w:p>
        </w:tc>
        <w:tc>
          <w:tcPr>
            <w:tcW w:w="2051" w:type="dxa"/>
          </w:tcPr>
          <w:p w14:paraId="78850D9B" w14:textId="77777777" w:rsidR="0027146C" w:rsidRDefault="00000000">
            <w:r>
              <w:rPr>
                <w:sz w:val="16"/>
                <w:highlight w:val="yellow"/>
              </w:rPr>
              <w:t>1</w:t>
            </w:r>
          </w:p>
        </w:tc>
        <w:tc>
          <w:tcPr>
            <w:tcW w:w="2051" w:type="dxa"/>
          </w:tcPr>
          <w:p w14:paraId="2367F8AF" w14:textId="77777777" w:rsidR="0027146C" w:rsidRDefault="00000000">
            <w:r>
              <w:rPr>
                <w:sz w:val="16"/>
                <w:highlight w:val="yellow"/>
              </w:rPr>
              <w:t>Care of toddler</w:t>
            </w:r>
          </w:p>
        </w:tc>
        <w:tc>
          <w:tcPr>
            <w:tcW w:w="2051" w:type="dxa"/>
          </w:tcPr>
          <w:p w14:paraId="66BC1156" w14:textId="77777777" w:rsidR="0027146C" w:rsidRDefault="00000000">
            <w:r>
              <w:rPr>
                <w:sz w:val="16"/>
                <w:highlight w:val="yellow"/>
              </w:rPr>
              <w:t>Not used</w:t>
            </w:r>
          </w:p>
        </w:tc>
      </w:tr>
      <w:tr w:rsidR="0027146C" w14:paraId="7E7661DC" w14:textId="77777777" w:rsidTr="00E2092A">
        <w:tc>
          <w:tcPr>
            <w:tcW w:w="1943" w:type="dxa"/>
          </w:tcPr>
          <w:p w14:paraId="79FDF325" w14:textId="77777777" w:rsidR="0027146C" w:rsidRDefault="00000000">
            <w:r>
              <w:rPr>
                <w:sz w:val="16"/>
                <w:highlight w:val="yellow"/>
              </w:rPr>
              <w:t>I3</w:t>
            </w:r>
          </w:p>
        </w:tc>
        <w:tc>
          <w:tcPr>
            <w:tcW w:w="2051" w:type="dxa"/>
          </w:tcPr>
          <w:p w14:paraId="1E65DE1C" w14:textId="77777777" w:rsidR="0027146C" w:rsidRDefault="00000000">
            <w:r>
              <w:rPr>
                <w:sz w:val="16"/>
                <w:highlight w:val="yellow"/>
              </w:rPr>
              <w:t>Market vendor</w:t>
            </w:r>
          </w:p>
        </w:tc>
        <w:tc>
          <w:tcPr>
            <w:tcW w:w="2051" w:type="dxa"/>
          </w:tcPr>
          <w:p w14:paraId="4506A1D4" w14:textId="77777777" w:rsidR="0027146C" w:rsidRDefault="00000000">
            <w:r>
              <w:rPr>
                <w:sz w:val="16"/>
                <w:highlight w:val="yellow"/>
              </w:rPr>
              <w:t>2</w:t>
            </w:r>
          </w:p>
        </w:tc>
        <w:tc>
          <w:tcPr>
            <w:tcW w:w="2051" w:type="dxa"/>
          </w:tcPr>
          <w:p w14:paraId="2A7B0AB3" w14:textId="77777777" w:rsidR="0027146C" w:rsidRDefault="00000000">
            <w:r>
              <w:rPr>
                <w:sz w:val="16"/>
                <w:highlight w:val="yellow"/>
              </w:rPr>
              <w:t>Care of school-age children and adolescents</w:t>
            </w:r>
          </w:p>
        </w:tc>
        <w:tc>
          <w:tcPr>
            <w:tcW w:w="2051" w:type="dxa"/>
          </w:tcPr>
          <w:p w14:paraId="4D562FD8" w14:textId="77777777" w:rsidR="0027146C" w:rsidRDefault="00000000">
            <w:r>
              <w:rPr>
                <w:sz w:val="16"/>
                <w:highlight w:val="yellow"/>
              </w:rPr>
              <w:t>IUD</w:t>
            </w:r>
          </w:p>
        </w:tc>
      </w:tr>
      <w:tr w:rsidR="0027146C" w14:paraId="74A258D1" w14:textId="77777777" w:rsidTr="00E2092A">
        <w:tc>
          <w:tcPr>
            <w:tcW w:w="1943" w:type="dxa"/>
          </w:tcPr>
          <w:p w14:paraId="1E952072" w14:textId="77777777" w:rsidR="0027146C" w:rsidRDefault="00000000">
            <w:r>
              <w:rPr>
                <w:sz w:val="16"/>
                <w:highlight w:val="yellow"/>
              </w:rPr>
              <w:t>I4</w:t>
            </w:r>
          </w:p>
        </w:tc>
        <w:tc>
          <w:tcPr>
            <w:tcW w:w="2051" w:type="dxa"/>
          </w:tcPr>
          <w:p w14:paraId="5A0A8210" w14:textId="77777777" w:rsidR="0027146C" w:rsidRDefault="00000000">
            <w:r>
              <w:rPr>
                <w:sz w:val="16"/>
                <w:highlight w:val="yellow"/>
              </w:rPr>
              <w:t>Farmer / farm worker</w:t>
            </w:r>
          </w:p>
        </w:tc>
        <w:tc>
          <w:tcPr>
            <w:tcW w:w="2051" w:type="dxa"/>
          </w:tcPr>
          <w:p w14:paraId="602C990B" w14:textId="77777777" w:rsidR="0027146C" w:rsidRDefault="00000000">
            <w:r>
              <w:rPr>
                <w:sz w:val="16"/>
                <w:highlight w:val="yellow"/>
              </w:rPr>
              <w:t>1</w:t>
            </w:r>
          </w:p>
        </w:tc>
        <w:tc>
          <w:tcPr>
            <w:tcW w:w="2051" w:type="dxa"/>
          </w:tcPr>
          <w:p w14:paraId="29F83727" w14:textId="77777777" w:rsidR="0027146C" w:rsidRDefault="00000000">
            <w:r>
              <w:rPr>
                <w:sz w:val="16"/>
                <w:highlight w:val="yellow"/>
              </w:rPr>
              <w:t>Third-trimester pregnancy (high-risk pregnancy)</w:t>
            </w:r>
          </w:p>
        </w:tc>
        <w:tc>
          <w:tcPr>
            <w:tcW w:w="2051" w:type="dxa"/>
          </w:tcPr>
          <w:p w14:paraId="3268AC2F" w14:textId="77777777" w:rsidR="0027146C" w:rsidRDefault="00000000">
            <w:r>
              <w:rPr>
                <w:sz w:val="16"/>
                <w:highlight w:val="yellow"/>
              </w:rPr>
              <w:t>Not applicable</w:t>
            </w:r>
          </w:p>
        </w:tc>
      </w:tr>
      <w:tr w:rsidR="0027146C" w14:paraId="70821D06" w14:textId="77777777" w:rsidTr="00E2092A">
        <w:tc>
          <w:tcPr>
            <w:tcW w:w="1943" w:type="dxa"/>
          </w:tcPr>
          <w:p w14:paraId="133650A6" w14:textId="77777777" w:rsidR="0027146C" w:rsidRDefault="00000000">
            <w:r>
              <w:rPr>
                <w:sz w:val="16"/>
                <w:highlight w:val="yellow"/>
              </w:rPr>
              <w:t>I5</w:t>
            </w:r>
          </w:p>
        </w:tc>
        <w:tc>
          <w:tcPr>
            <w:tcW w:w="2051" w:type="dxa"/>
          </w:tcPr>
          <w:p w14:paraId="25C0BA90" w14:textId="77777777" w:rsidR="0027146C" w:rsidRDefault="00000000">
            <w:r>
              <w:rPr>
                <w:sz w:val="16"/>
                <w:highlight w:val="yellow"/>
              </w:rPr>
              <w:t>Housewife</w:t>
            </w:r>
          </w:p>
        </w:tc>
        <w:tc>
          <w:tcPr>
            <w:tcW w:w="2051" w:type="dxa"/>
          </w:tcPr>
          <w:p w14:paraId="6DC1DA03" w14:textId="77777777" w:rsidR="0027146C" w:rsidRDefault="00000000">
            <w:r>
              <w:rPr>
                <w:sz w:val="16"/>
                <w:highlight w:val="yellow"/>
              </w:rPr>
              <w:t>3</w:t>
            </w:r>
          </w:p>
        </w:tc>
        <w:tc>
          <w:tcPr>
            <w:tcW w:w="2051" w:type="dxa"/>
          </w:tcPr>
          <w:p w14:paraId="40D58BAB" w14:textId="77777777" w:rsidR="0027146C" w:rsidRDefault="00000000">
            <w:r>
              <w:rPr>
                <w:sz w:val="16"/>
                <w:highlight w:val="yellow"/>
              </w:rPr>
              <w:t>Menstruation; breastfeeding; care of toddlers and school-age children</w:t>
            </w:r>
          </w:p>
        </w:tc>
        <w:tc>
          <w:tcPr>
            <w:tcW w:w="2051" w:type="dxa"/>
          </w:tcPr>
          <w:p w14:paraId="5B5BEC39" w14:textId="77777777" w:rsidR="0027146C" w:rsidRDefault="00000000">
            <w:r>
              <w:rPr>
                <w:sz w:val="16"/>
                <w:highlight w:val="yellow"/>
              </w:rPr>
              <w:t>Not using</w:t>
            </w:r>
          </w:p>
        </w:tc>
      </w:tr>
      <w:tr w:rsidR="0027146C" w14:paraId="498A65E6" w14:textId="77777777" w:rsidTr="00E2092A">
        <w:tc>
          <w:tcPr>
            <w:tcW w:w="1943" w:type="dxa"/>
          </w:tcPr>
          <w:p w14:paraId="4AA0529C" w14:textId="77777777" w:rsidR="0027146C" w:rsidRDefault="00000000">
            <w:r>
              <w:rPr>
                <w:sz w:val="16"/>
                <w:highlight w:val="yellow"/>
              </w:rPr>
              <w:t>I6</w:t>
            </w:r>
          </w:p>
        </w:tc>
        <w:tc>
          <w:tcPr>
            <w:tcW w:w="2051" w:type="dxa"/>
          </w:tcPr>
          <w:p w14:paraId="038E0603" w14:textId="77777777" w:rsidR="0027146C" w:rsidRDefault="00000000">
            <w:r>
              <w:rPr>
                <w:sz w:val="16"/>
                <w:highlight w:val="yellow"/>
              </w:rPr>
              <w:t>Housewife</w:t>
            </w:r>
          </w:p>
        </w:tc>
        <w:tc>
          <w:tcPr>
            <w:tcW w:w="2051" w:type="dxa"/>
          </w:tcPr>
          <w:p w14:paraId="7A8964AC" w14:textId="77777777" w:rsidR="0027146C" w:rsidRDefault="00000000">
            <w:r>
              <w:rPr>
                <w:sz w:val="16"/>
                <w:highlight w:val="yellow"/>
              </w:rPr>
              <w:t>2</w:t>
            </w:r>
          </w:p>
        </w:tc>
        <w:tc>
          <w:tcPr>
            <w:tcW w:w="2051" w:type="dxa"/>
          </w:tcPr>
          <w:p w14:paraId="03E8148C" w14:textId="77777777" w:rsidR="0027146C" w:rsidRDefault="00000000">
            <w:r>
              <w:rPr>
                <w:sz w:val="16"/>
                <w:highlight w:val="yellow"/>
              </w:rPr>
              <w:t>Care of school-age children</w:t>
            </w:r>
          </w:p>
        </w:tc>
        <w:tc>
          <w:tcPr>
            <w:tcW w:w="2051" w:type="dxa"/>
          </w:tcPr>
          <w:p w14:paraId="7968EE49" w14:textId="77777777" w:rsidR="0027146C" w:rsidRDefault="00000000">
            <w:r>
              <w:rPr>
                <w:sz w:val="16"/>
                <w:highlight w:val="yellow"/>
              </w:rPr>
              <w:t>3-month injectable contraceptive</w:t>
            </w:r>
          </w:p>
        </w:tc>
      </w:tr>
      <w:tr w:rsidR="0027146C" w14:paraId="4E061E9D" w14:textId="77777777" w:rsidTr="00E2092A">
        <w:tc>
          <w:tcPr>
            <w:tcW w:w="1943" w:type="dxa"/>
          </w:tcPr>
          <w:p w14:paraId="5D73FA4D" w14:textId="77777777" w:rsidR="0027146C" w:rsidRDefault="00000000">
            <w:r>
              <w:rPr>
                <w:sz w:val="16"/>
                <w:highlight w:val="yellow"/>
              </w:rPr>
              <w:t>I7</w:t>
            </w:r>
          </w:p>
        </w:tc>
        <w:tc>
          <w:tcPr>
            <w:tcW w:w="2051" w:type="dxa"/>
          </w:tcPr>
          <w:p w14:paraId="45563C55" w14:textId="77777777" w:rsidR="0027146C" w:rsidRDefault="00000000">
            <w:r>
              <w:rPr>
                <w:sz w:val="16"/>
                <w:highlight w:val="yellow"/>
              </w:rPr>
              <w:t>Farmer</w:t>
            </w:r>
          </w:p>
        </w:tc>
        <w:tc>
          <w:tcPr>
            <w:tcW w:w="2051" w:type="dxa"/>
          </w:tcPr>
          <w:p w14:paraId="185552FC" w14:textId="77777777" w:rsidR="0027146C" w:rsidRDefault="00000000">
            <w:r>
              <w:rPr>
                <w:sz w:val="16"/>
                <w:highlight w:val="yellow"/>
              </w:rPr>
              <w:t>3</w:t>
            </w:r>
          </w:p>
        </w:tc>
        <w:tc>
          <w:tcPr>
            <w:tcW w:w="2051" w:type="dxa"/>
          </w:tcPr>
          <w:p w14:paraId="1C5D59AD" w14:textId="77777777" w:rsidR="0027146C" w:rsidRDefault="00000000">
            <w:r>
              <w:rPr>
                <w:sz w:val="16"/>
                <w:highlight w:val="yellow"/>
              </w:rPr>
              <w:t>Breastfeeding; care of children of multiple ages</w:t>
            </w:r>
          </w:p>
        </w:tc>
        <w:tc>
          <w:tcPr>
            <w:tcW w:w="2051" w:type="dxa"/>
          </w:tcPr>
          <w:p w14:paraId="44460A4E" w14:textId="77777777" w:rsidR="0027146C" w:rsidRDefault="00000000">
            <w:r>
              <w:rPr>
                <w:sz w:val="16"/>
                <w:highlight w:val="yellow"/>
              </w:rPr>
              <w:t>3-month injectable contraceptive</w:t>
            </w:r>
          </w:p>
        </w:tc>
      </w:tr>
      <w:tr w:rsidR="0027146C" w14:paraId="18070CC3" w14:textId="77777777" w:rsidTr="00E2092A">
        <w:tc>
          <w:tcPr>
            <w:tcW w:w="1943" w:type="dxa"/>
          </w:tcPr>
          <w:p w14:paraId="5BD1436D" w14:textId="77777777" w:rsidR="0027146C" w:rsidRDefault="00000000">
            <w:r>
              <w:rPr>
                <w:sz w:val="16"/>
                <w:highlight w:val="yellow"/>
              </w:rPr>
              <w:t>I8</w:t>
            </w:r>
          </w:p>
        </w:tc>
        <w:tc>
          <w:tcPr>
            <w:tcW w:w="2051" w:type="dxa"/>
          </w:tcPr>
          <w:p w14:paraId="06149700" w14:textId="77777777" w:rsidR="0027146C" w:rsidRDefault="00000000">
            <w:r>
              <w:rPr>
                <w:sz w:val="16"/>
                <w:highlight w:val="yellow"/>
              </w:rPr>
              <w:t>Housewife</w:t>
            </w:r>
          </w:p>
        </w:tc>
        <w:tc>
          <w:tcPr>
            <w:tcW w:w="2051" w:type="dxa"/>
          </w:tcPr>
          <w:p w14:paraId="5EF18BC7" w14:textId="77777777" w:rsidR="0027146C" w:rsidRDefault="00000000">
            <w:r>
              <w:rPr>
                <w:sz w:val="16"/>
                <w:highlight w:val="yellow"/>
              </w:rPr>
              <w:t>2</w:t>
            </w:r>
          </w:p>
        </w:tc>
        <w:tc>
          <w:tcPr>
            <w:tcW w:w="2051" w:type="dxa"/>
          </w:tcPr>
          <w:p w14:paraId="738C34A5" w14:textId="77777777" w:rsidR="0027146C" w:rsidRDefault="00000000">
            <w:r>
              <w:rPr>
                <w:sz w:val="16"/>
                <w:highlight w:val="yellow"/>
              </w:rPr>
              <w:t>Breastfeeding; care of toddlers and school-age children</w:t>
            </w:r>
          </w:p>
        </w:tc>
        <w:tc>
          <w:tcPr>
            <w:tcW w:w="2051" w:type="dxa"/>
          </w:tcPr>
          <w:p w14:paraId="64CC9899" w14:textId="77777777" w:rsidR="0027146C" w:rsidRDefault="00000000">
            <w:r>
              <w:rPr>
                <w:sz w:val="16"/>
                <w:highlight w:val="yellow"/>
              </w:rPr>
              <w:t>Not using</w:t>
            </w:r>
          </w:p>
        </w:tc>
      </w:tr>
      <w:tr w:rsidR="0027146C" w14:paraId="0B93554A" w14:textId="77777777" w:rsidTr="00E2092A">
        <w:tc>
          <w:tcPr>
            <w:tcW w:w="1943" w:type="dxa"/>
          </w:tcPr>
          <w:p w14:paraId="61814CE2" w14:textId="77777777" w:rsidR="0027146C" w:rsidRDefault="00000000">
            <w:r>
              <w:rPr>
                <w:sz w:val="16"/>
                <w:highlight w:val="yellow"/>
              </w:rPr>
              <w:t>I9</w:t>
            </w:r>
          </w:p>
        </w:tc>
        <w:tc>
          <w:tcPr>
            <w:tcW w:w="2051" w:type="dxa"/>
          </w:tcPr>
          <w:p w14:paraId="386F7536" w14:textId="77777777" w:rsidR="0027146C" w:rsidRDefault="00000000">
            <w:r>
              <w:rPr>
                <w:sz w:val="16"/>
                <w:highlight w:val="yellow"/>
              </w:rPr>
              <w:t>Merchant</w:t>
            </w:r>
          </w:p>
        </w:tc>
        <w:tc>
          <w:tcPr>
            <w:tcW w:w="2051" w:type="dxa"/>
          </w:tcPr>
          <w:p w14:paraId="26F05CCE" w14:textId="77777777" w:rsidR="0027146C" w:rsidRDefault="00000000">
            <w:r>
              <w:rPr>
                <w:sz w:val="16"/>
                <w:highlight w:val="yellow"/>
              </w:rPr>
              <w:t>2</w:t>
            </w:r>
          </w:p>
        </w:tc>
        <w:tc>
          <w:tcPr>
            <w:tcW w:w="2051" w:type="dxa"/>
          </w:tcPr>
          <w:p w14:paraId="6E25098C" w14:textId="77777777" w:rsidR="0027146C" w:rsidRDefault="00000000">
            <w:r>
              <w:rPr>
                <w:sz w:val="16"/>
                <w:highlight w:val="yellow"/>
              </w:rPr>
              <w:t>Care of toddlers and school-age children</w:t>
            </w:r>
          </w:p>
        </w:tc>
        <w:tc>
          <w:tcPr>
            <w:tcW w:w="2051" w:type="dxa"/>
          </w:tcPr>
          <w:p w14:paraId="1DEC4156" w14:textId="77777777" w:rsidR="0027146C" w:rsidRDefault="00000000">
            <w:r>
              <w:rPr>
                <w:sz w:val="16"/>
                <w:highlight w:val="yellow"/>
              </w:rPr>
              <w:t>Oral contraceptives</w:t>
            </w:r>
          </w:p>
        </w:tc>
      </w:tr>
      <w:tr w:rsidR="0027146C" w14:paraId="4A20DA90" w14:textId="77777777" w:rsidTr="00E2092A">
        <w:tc>
          <w:tcPr>
            <w:tcW w:w="1943" w:type="dxa"/>
          </w:tcPr>
          <w:p w14:paraId="2E3BB194" w14:textId="77777777" w:rsidR="0027146C" w:rsidRDefault="00000000">
            <w:r>
              <w:rPr>
                <w:sz w:val="16"/>
                <w:highlight w:val="yellow"/>
              </w:rPr>
              <w:t>I10</w:t>
            </w:r>
          </w:p>
        </w:tc>
        <w:tc>
          <w:tcPr>
            <w:tcW w:w="2051" w:type="dxa"/>
          </w:tcPr>
          <w:p w14:paraId="43184F5C" w14:textId="77777777" w:rsidR="0027146C" w:rsidRDefault="00000000">
            <w:r>
              <w:rPr>
                <w:sz w:val="16"/>
                <w:highlight w:val="yellow"/>
              </w:rPr>
              <w:t>Housewife</w:t>
            </w:r>
          </w:p>
        </w:tc>
        <w:tc>
          <w:tcPr>
            <w:tcW w:w="2051" w:type="dxa"/>
          </w:tcPr>
          <w:p w14:paraId="16A95909" w14:textId="77777777" w:rsidR="0027146C" w:rsidRDefault="00000000">
            <w:r>
              <w:rPr>
                <w:sz w:val="16"/>
                <w:highlight w:val="yellow"/>
              </w:rPr>
              <w:t>2</w:t>
            </w:r>
          </w:p>
        </w:tc>
        <w:tc>
          <w:tcPr>
            <w:tcW w:w="2051" w:type="dxa"/>
          </w:tcPr>
          <w:p w14:paraId="79C97539" w14:textId="77777777" w:rsidR="0027146C" w:rsidRDefault="00000000">
            <w:r>
              <w:rPr>
                <w:sz w:val="16"/>
                <w:highlight w:val="yellow"/>
              </w:rPr>
              <w:t>Parenting school-age children and adolescents</w:t>
            </w:r>
          </w:p>
        </w:tc>
        <w:tc>
          <w:tcPr>
            <w:tcW w:w="2051" w:type="dxa"/>
          </w:tcPr>
          <w:p w14:paraId="40A30C6F" w14:textId="77777777" w:rsidR="0027146C" w:rsidRDefault="00000000">
            <w:r>
              <w:rPr>
                <w:sz w:val="16"/>
                <w:highlight w:val="yellow"/>
              </w:rPr>
              <w:t>Not using (husband had vasectomy)</w:t>
            </w:r>
          </w:p>
        </w:tc>
      </w:tr>
    </w:tbl>
    <w:p w14:paraId="696D90CA" w14:textId="77777777" w:rsidR="0027146C" w:rsidRDefault="00000000">
      <w:r>
        <w:rPr>
          <w:highlight w:val="yellow"/>
        </w:rPr>
        <w:t>Source: Primary data. IUD: intrauterine device. Educational attainment was not recorded for I2-I10 and is reported as 'Not recorded' rather than inferred.</w:t>
      </w:r>
    </w:p>
    <w:p w14:paraId="2B58845A" w14:textId="77777777" w:rsidR="0027146C" w:rsidRDefault="0027146C">
      <w:pPr>
        <w:sectPr w:rsidR="0027146C">
          <w:type w:val="continuous"/>
          <w:pgSz w:w="12240" w:h="15840"/>
          <w:pgMar w:top="1134" w:right="709" w:bottom="1134" w:left="1276" w:header="720" w:footer="964" w:gutter="0"/>
          <w:cols w:space="426"/>
          <w:formProt w:val="0"/>
          <w:docGrid w:linePitch="600" w:charSpace="32768"/>
        </w:sectPr>
      </w:pPr>
    </w:p>
    <w:p w14:paraId="7DDA4AE8" w14:textId="77777777" w:rsidR="0027146C" w:rsidRDefault="00000000">
      <w:r>
        <w:rPr>
          <w:b/>
          <w:highlight w:val="yellow"/>
        </w:rPr>
        <w:t>2.3. Data Collection and Researcher-Participant Interaction</w:t>
      </w:r>
    </w:p>
    <w:p w14:paraId="3A789ACC" w14:textId="77777777" w:rsidR="0027146C" w:rsidRPr="00C34CD3" w:rsidRDefault="00000000">
      <w:pPr>
        <w:pStyle w:val="07-Heading-2"/>
        <w:keepNext/>
        <w:rPr>
          <w:b w:val="0"/>
          <w:bCs/>
        </w:rPr>
      </w:pPr>
      <w:r w:rsidRPr="00C34CD3">
        <w:rPr>
          <w:b w:val="0"/>
          <w:bCs/>
          <w:highlight w:val="yellow"/>
        </w:rPr>
        <w:t xml:space="preserve">Semi-structured in-depth interviews were conducted from January to March 2026 using Zoom Meetings and lasted approximately 45–60 minutes. All interviews were completed by March 2026, before manuscript submission. The interview guide was developed from disaster-sociology, gender-vulnerability, reproductive-health, and community-health literature and was reviewed by colleagues with expertise in gender and community health. Representative questions are provided in Supplementary File 1. No pilot interview and no repeat interview were conducted. Brief field notes were made during interviews to document basic participant characteristics and notable contextual or </w:t>
      </w:r>
      <w:r w:rsidRPr="00C34CD3">
        <w:rPr>
          <w:b w:val="0"/>
          <w:bCs/>
          <w:highlight w:val="yellow"/>
        </w:rPr>
        <w:t>emotional expressions; these notes informed interview conduct but were not treated as an independent analytic dataset.</w:t>
      </w:r>
    </w:p>
    <w:p w14:paraId="3FD748F8" w14:textId="77777777" w:rsidR="0027146C" w:rsidRDefault="00000000">
      <w:pPr>
        <w:pStyle w:val="05-ArticleText"/>
      </w:pPr>
      <w:r>
        <w:rPr>
          <w:highlight w:val="yellow"/>
        </w:rPr>
        <w:t xml:space="preserve">The interviews were conducted by three female members of the research team (the first, third, and fourth authors), all with professional backgrounds in women's health and prior qualitative-research training. One interviewer held a doctorate in public health, and two held master's degrees in midwifery; at the time of the </w:t>
      </w:r>
      <w:proofErr w:type="gramStart"/>
      <w:r>
        <w:rPr>
          <w:highlight w:val="yellow"/>
        </w:rPr>
        <w:t>study</w:t>
      </w:r>
      <w:proofErr w:type="gramEnd"/>
      <w:r>
        <w:rPr>
          <w:highlight w:val="yellow"/>
        </w:rPr>
        <w:t xml:space="preserve"> they worked as academics, researchers, and/or midwifery professionals. Participants were informed that the interviewers were members of the research team and were told the purpose of the study before consent. The first author had completed qualitative research training at Lembaga Lotus Yogyakarta </w:t>
      </w:r>
      <w:r>
        <w:rPr>
          <w:highlight w:val="yellow"/>
        </w:rPr>
        <w:lastRenderedPageBreak/>
        <w:t>and Universitas '</w:t>
      </w:r>
      <w:proofErr w:type="spellStart"/>
      <w:r>
        <w:rPr>
          <w:highlight w:val="yellow"/>
        </w:rPr>
        <w:t>Aisyiyah</w:t>
      </w:r>
      <w:proofErr w:type="spellEnd"/>
      <w:r>
        <w:rPr>
          <w:highlight w:val="yellow"/>
        </w:rPr>
        <w:t xml:space="preserve"> Yogyakarta; the third author had received qualitative research training at Universitas Gadjah Mada; and the fourth author had completed training in qualitative research with NVivo and AI-assisted research at </w:t>
      </w:r>
      <w:proofErr w:type="spellStart"/>
      <w:r>
        <w:rPr>
          <w:highlight w:val="yellow"/>
        </w:rPr>
        <w:t>Litera</w:t>
      </w:r>
      <w:proofErr w:type="spellEnd"/>
      <w:r>
        <w:rPr>
          <w:highlight w:val="yellow"/>
        </w:rPr>
        <w:t xml:space="preserve"> Chamber Academia and qualitative health-data analysis using NVivo through </w:t>
      </w:r>
      <w:proofErr w:type="spellStart"/>
      <w:r>
        <w:rPr>
          <w:highlight w:val="yellow"/>
        </w:rPr>
        <w:t>Varians</w:t>
      </w:r>
      <w:proofErr w:type="spellEnd"/>
      <w:r>
        <w:rPr>
          <w:highlight w:val="yellow"/>
        </w:rPr>
        <w:t>-SHIELD Papua. The interviewers had no prior personal relationship with participants. A local undergraduate field assistant, who was familiar with the local village community, was present only to set up devices, support connection stability, and provide initial technical assistance. After the Zoom connection was established, the assistant left the room and did not remain during the substantive interview. To reduce potential social-desirability influence associated with local assistance, participants were reminded that participation was voluntary, responses were confidential, and the field assistant would not hear the interview. Nevertheless, familiarity between the assistant and the local community may have influenced participants' comfort or disclosure and is acknowledged as a limitation.</w:t>
      </w:r>
    </w:p>
    <w:p w14:paraId="41172929" w14:textId="77777777" w:rsidR="0027146C" w:rsidRDefault="00000000">
      <w:pPr>
        <w:pStyle w:val="05-ArticleText"/>
      </w:pPr>
      <w:r>
        <w:t>Some participants in rural areas required assistance with digital access. Local undergraduate students served as field assistants to set up devices, support connection stability, and reduce technology-related difficulties. After a secure connection was established, assistants left the immediate interview space to preserve visual and auditory privacy. Interviews were led by women health professionals and academics familiar with the local Javanese context. This positionality facilitated rapport but also created the possibility that shared cultural assumptions could influence interpretation; reflexive discussion was therefore incorporated during analysis.</w:t>
      </w:r>
    </w:p>
    <w:p w14:paraId="3092E648" w14:textId="77777777" w:rsidR="0027146C" w:rsidRDefault="00000000">
      <w:r>
        <w:rPr>
          <w:b/>
          <w:highlight w:val="yellow"/>
        </w:rPr>
        <w:t>2.4. Data Analysis, Reflexivity, and Trustworthiness</w:t>
      </w:r>
    </w:p>
    <w:p w14:paraId="0E993093" w14:textId="77777777" w:rsidR="0027146C" w:rsidRPr="00146C58" w:rsidRDefault="00000000">
      <w:pPr>
        <w:pStyle w:val="07-Heading-2"/>
        <w:keepNext/>
        <w:rPr>
          <w:b w:val="0"/>
          <w:bCs/>
          <w:i w:val="0"/>
          <w:iCs/>
        </w:rPr>
      </w:pPr>
      <w:r w:rsidRPr="00146C58">
        <w:rPr>
          <w:b w:val="0"/>
          <w:bCs/>
          <w:i w:val="0"/>
          <w:iCs/>
          <w:highlight w:val="yellow"/>
        </w:rPr>
        <w:t>Interviews were audio-recorded with participant permission and transcribed verbatim. Data were analyzed using Braun and Clarke's reflexive thematic analysis approach [31–33]. The documented analytic workflow comprised two main coding cycles followed by iterative theme review. In the first cycle, transcripts were read repeatedly and coded manually at a semantic level, remaining close to participants' language and accounts. In the second cycle, related codes were compared and grouped into focused categories in NVivo, which was used for data organization rather than automated interpretation. Candidate themes were then reviewed against the coded extracts and complete transcripts, refined for internal coherence and distinction from other themes, and consolidated into the three final overarching themes. The analysis used a hybrid inductive-deductive orientation: the domains of reproductive-health vulnerability, gendered roles/structural conditions, and women's agency served as sensitizing concepts, while coding remained open to meanings and experiences not anticipated by those domains. Four authors contributed to formal analysis and interpretive discussion; final coding decisions and theme consolidation were led by the lead researcher. The resulting coding/theme structure is summarized in Table 2.</w:t>
      </w:r>
    </w:p>
    <w:p w14:paraId="25E937C5" w14:textId="77777777" w:rsidR="0027146C" w:rsidRDefault="00000000">
      <w:pPr>
        <w:pStyle w:val="05-ArticleText"/>
      </w:pPr>
      <w:r>
        <w:rPr>
          <w:highlight w:val="yellow"/>
        </w:rPr>
        <w:t xml:space="preserve">To strengthen credibility, transcripts and summaries of preliminary interpretations were discussed again with </w:t>
      </w:r>
      <w:r>
        <w:rPr>
          <w:highlight w:val="yellow"/>
        </w:rPr>
        <w:t xml:space="preserve">participants. Field assistants supported follow-up contact and, when needed, read key material aloud during face-to-face visits. Participant feedback was used to check whether the accounts and preliminary interpretations were recognizable and to clarify ambiguous points. Because formal reflexive journals or reflexive memos were not maintained, reflexivity relied on brief field notes and team discussions about contextual observations, emotional responses, assumptions, and interpretive choices. In </w:t>
      </w:r>
      <w:proofErr w:type="spellStart"/>
      <w:r>
        <w:rPr>
          <w:highlight w:val="yellow"/>
        </w:rPr>
        <w:t>analysing</w:t>
      </w:r>
      <w:proofErr w:type="spellEnd"/>
      <w:r>
        <w:rPr>
          <w:highlight w:val="yellow"/>
        </w:rPr>
        <w:t xml:space="preserve"> the retrospective narratives, descriptions explicitly referring to the earthquake, emergency period, or recovery period were distinguished from participants' present-day reflections. Where the temporal frame was uncertain, statements were treated as retrospective interpretation rather than contemporaneous fact. This approach reduced, but could not eliminate, the influence of recall and later-life experience.</w:t>
      </w:r>
    </w:p>
    <w:p w14:paraId="7F0D352A" w14:textId="77777777" w:rsidR="0027146C" w:rsidRDefault="00000000">
      <w:r>
        <w:rPr>
          <w:b/>
          <w:highlight w:val="yellow"/>
        </w:rPr>
        <w:t>2.5. Ethical Considerations</w:t>
      </w:r>
    </w:p>
    <w:p w14:paraId="38BD79BB" w14:textId="77777777" w:rsidR="0027146C" w:rsidRPr="00146C58" w:rsidRDefault="00000000">
      <w:pPr>
        <w:pStyle w:val="07-Heading-2"/>
        <w:keepNext/>
        <w:rPr>
          <w:b w:val="0"/>
          <w:bCs/>
          <w:i w:val="0"/>
          <w:iCs/>
        </w:rPr>
      </w:pPr>
      <w:r w:rsidRPr="00146C58">
        <w:rPr>
          <w:b w:val="0"/>
          <w:bCs/>
          <w:i w:val="0"/>
          <w:iCs/>
          <w:highlight w:val="yellow"/>
        </w:rPr>
        <w:t>Ethical approval was obtained from the Research Ethics Committee of Universitas '</w:t>
      </w:r>
      <w:proofErr w:type="spellStart"/>
      <w:r w:rsidRPr="00146C58">
        <w:rPr>
          <w:b w:val="0"/>
          <w:bCs/>
          <w:i w:val="0"/>
          <w:iCs/>
          <w:highlight w:val="yellow"/>
        </w:rPr>
        <w:t>Aisyiyah</w:t>
      </w:r>
      <w:proofErr w:type="spellEnd"/>
      <w:r w:rsidRPr="00146C58">
        <w:rPr>
          <w:b w:val="0"/>
          <w:bCs/>
          <w:i w:val="0"/>
          <w:iCs/>
          <w:highlight w:val="yellow"/>
        </w:rPr>
        <w:t xml:space="preserve"> Yogyakarta (No. 4965/KEP-UNISA/XII/2025) on 5 December 2025, before recruitment and data collection began. The study was conducted in accordance with the Declaration of Helsinki and with reference to WHO standards for ethics review and the CIOMS 2016 guidelines [76,77]. The approved protocol included a two-stage verbal informed-consent procedure. First, local research assistants visited potential participants to provide a face-to-face explanation of the study, its voluntary nature, confidentiality protections, and the right to refuse or withdraw without consequences. Second, immediately before the Zoom interview, the principal investigator repeated the explanation and obtained explicit audio-recorded verbal informed consent. Verbal rather than signed consent was used to reduce participant burden and potential discomfort with formal paperwork in this rural survivor population while retaining a documented consent process approved by the ethics committee. Digital recordings and transcripts were stored using restricted-access, privacy-protective procedures. Data collection occurred from January to March 2026 and therefore followed ethical approval.</w:t>
      </w:r>
    </w:p>
    <w:p w14:paraId="57F3BCF2" w14:textId="77777777" w:rsidR="0027146C" w:rsidRDefault="00000000">
      <w:pPr>
        <w:pStyle w:val="06-Heading-1"/>
        <w:keepNext/>
      </w:pPr>
      <w:r>
        <w:t>3. RESULTS</w:t>
      </w:r>
    </w:p>
    <w:p w14:paraId="3CA46ABA" w14:textId="77777777" w:rsidR="0027146C" w:rsidRDefault="00000000">
      <w:pPr>
        <w:pStyle w:val="07-Heading-2"/>
        <w:keepNext/>
      </w:pPr>
      <w:r>
        <w:t>3.1. Overview of Themes</w:t>
      </w:r>
    </w:p>
    <w:p w14:paraId="0A9F411C" w14:textId="77777777" w:rsidR="0027146C" w:rsidRDefault="00000000">
      <w:pPr>
        <w:pStyle w:val="05-ArticleText"/>
      </w:pPr>
      <w:r>
        <w:t>The analysis generated three overarching themes: [1] layered reproductive health vulnerabilities; [2] gendered roles and structural barriers; and [3] women’s agency and community-based self-reliance. These themes were interrelated rather than sequential. Participants often described the same event as both a source of vulnerability and a context in which they developed practical responses. Table 2 summarizes the principal findings across socioeconomic, social-role, and security/administrative dimensions.</w:t>
      </w:r>
    </w:p>
    <w:p w14:paraId="1A9172FD" w14:textId="77777777" w:rsidR="0027146C" w:rsidRDefault="0027146C">
      <w:pPr>
        <w:sectPr w:rsidR="0027146C">
          <w:type w:val="continuous"/>
          <w:pgSz w:w="12240" w:h="15840"/>
          <w:pgMar w:top="1134" w:right="709" w:bottom="1134" w:left="1276" w:header="720" w:footer="964" w:gutter="0"/>
          <w:cols w:num="2" w:space="426"/>
          <w:formProt w:val="0"/>
          <w:docGrid w:linePitch="600" w:charSpace="32768"/>
        </w:sectPr>
      </w:pPr>
    </w:p>
    <w:p w14:paraId="3568FF38" w14:textId="77777777" w:rsidR="004B0674" w:rsidRDefault="004B0674">
      <w:pPr>
        <w:pStyle w:val="05-ArticleText"/>
        <w:keepNext/>
        <w:rPr>
          <w:b/>
        </w:rPr>
      </w:pPr>
    </w:p>
    <w:p w14:paraId="58F52701" w14:textId="40A2822E" w:rsidR="0027146C" w:rsidRDefault="00000000">
      <w:pPr>
        <w:pStyle w:val="05-ArticleText"/>
        <w:keepNext/>
      </w:pPr>
      <w:r>
        <w:rPr>
          <w:b/>
        </w:rPr>
        <w:t>Table 2.</w:t>
      </w:r>
      <w:r>
        <w:t xml:space="preserve"> Summary of overarching themes and key findings.</w:t>
      </w:r>
    </w:p>
    <w:tbl>
      <w:tblPr>
        <w:tblW w:w="1023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77"/>
        <w:gridCol w:w="1800"/>
        <w:gridCol w:w="5556"/>
      </w:tblGrid>
      <w:tr w:rsidR="0027146C" w14:paraId="295B313D" w14:textId="77777777" w:rsidTr="00D72414">
        <w:trPr>
          <w:cantSplit/>
          <w:tblHeader/>
          <w:jc w:val="center"/>
        </w:trPr>
        <w:tc>
          <w:tcPr>
            <w:tcW w:w="2877" w:type="dxa"/>
            <w:shd w:val="clear" w:color="auto" w:fill="BFBFBF"/>
            <w:tcMar>
              <w:top w:w="45" w:type="dxa"/>
              <w:left w:w="55" w:type="dxa"/>
              <w:bottom w:w="45" w:type="dxa"/>
              <w:right w:w="55" w:type="dxa"/>
            </w:tcMar>
          </w:tcPr>
          <w:p w14:paraId="4FE63C0F" w14:textId="77777777" w:rsidR="0027146C" w:rsidRDefault="00000000">
            <w:r>
              <w:rPr>
                <w:b/>
                <w:sz w:val="16"/>
              </w:rPr>
              <w:t>Overarching theme</w:t>
            </w:r>
          </w:p>
        </w:tc>
        <w:tc>
          <w:tcPr>
            <w:tcW w:w="1800" w:type="dxa"/>
            <w:shd w:val="clear" w:color="auto" w:fill="BFBFBF"/>
            <w:tcMar>
              <w:top w:w="45" w:type="dxa"/>
              <w:left w:w="55" w:type="dxa"/>
              <w:bottom w:w="45" w:type="dxa"/>
              <w:right w:w="55" w:type="dxa"/>
            </w:tcMar>
          </w:tcPr>
          <w:p w14:paraId="4E9AFE77" w14:textId="77777777" w:rsidR="0027146C" w:rsidRDefault="00000000">
            <w:r>
              <w:rPr>
                <w:b/>
                <w:sz w:val="16"/>
              </w:rPr>
              <w:t>Dimension</w:t>
            </w:r>
          </w:p>
        </w:tc>
        <w:tc>
          <w:tcPr>
            <w:tcW w:w="5556" w:type="dxa"/>
            <w:shd w:val="clear" w:color="auto" w:fill="BFBFBF"/>
            <w:tcMar>
              <w:top w:w="45" w:type="dxa"/>
              <w:left w:w="55" w:type="dxa"/>
              <w:bottom w:w="45" w:type="dxa"/>
              <w:right w:w="55" w:type="dxa"/>
            </w:tcMar>
          </w:tcPr>
          <w:p w14:paraId="2B20EE1A" w14:textId="77777777" w:rsidR="0027146C" w:rsidRDefault="00000000">
            <w:r>
              <w:rPr>
                <w:b/>
                <w:sz w:val="16"/>
              </w:rPr>
              <w:t>Key categories / findings</w:t>
            </w:r>
          </w:p>
        </w:tc>
      </w:tr>
      <w:tr w:rsidR="0027146C" w14:paraId="55EDC05E" w14:textId="77777777" w:rsidTr="00D72414">
        <w:trPr>
          <w:cantSplit/>
          <w:jc w:val="center"/>
        </w:trPr>
        <w:tc>
          <w:tcPr>
            <w:tcW w:w="2877" w:type="dxa"/>
            <w:tcMar>
              <w:top w:w="45" w:type="dxa"/>
              <w:left w:w="55" w:type="dxa"/>
              <w:bottom w:w="45" w:type="dxa"/>
              <w:right w:w="55" w:type="dxa"/>
            </w:tcMar>
          </w:tcPr>
          <w:p w14:paraId="2A7CCA2D" w14:textId="77777777" w:rsidR="0027146C" w:rsidRDefault="00000000">
            <w:r>
              <w:rPr>
                <w:sz w:val="16"/>
              </w:rPr>
              <w:t>Layered reproductive health vulnerabilities</w:t>
            </w:r>
          </w:p>
        </w:tc>
        <w:tc>
          <w:tcPr>
            <w:tcW w:w="1800" w:type="dxa"/>
            <w:tcMar>
              <w:top w:w="45" w:type="dxa"/>
              <w:left w:w="55" w:type="dxa"/>
              <w:bottom w:w="45" w:type="dxa"/>
              <w:right w:w="55" w:type="dxa"/>
            </w:tcMar>
          </w:tcPr>
          <w:p w14:paraId="1064F219" w14:textId="77777777" w:rsidR="0027146C" w:rsidRDefault="00000000">
            <w:r>
              <w:rPr>
                <w:sz w:val="16"/>
              </w:rPr>
              <w:t>Socioeconomic</w:t>
            </w:r>
          </w:p>
        </w:tc>
        <w:tc>
          <w:tcPr>
            <w:tcW w:w="5556" w:type="dxa"/>
            <w:tcMar>
              <w:top w:w="45" w:type="dxa"/>
              <w:left w:w="55" w:type="dxa"/>
              <w:bottom w:w="45" w:type="dxa"/>
              <w:right w:w="55" w:type="dxa"/>
            </w:tcMar>
          </w:tcPr>
          <w:p w14:paraId="0BA86314" w14:textId="77777777" w:rsidR="0027146C" w:rsidRDefault="00000000">
            <w:r>
              <w:rPr>
                <w:sz w:val="16"/>
              </w:rPr>
              <w:t>Menstrual hygiene and clean-water difficulties; loss of infant supplies; food and nutrition insecurity; self-neglect while prioritizing family needs.</w:t>
            </w:r>
          </w:p>
        </w:tc>
      </w:tr>
      <w:tr w:rsidR="0027146C" w14:paraId="1F256641" w14:textId="77777777" w:rsidTr="00D72414">
        <w:trPr>
          <w:cantSplit/>
          <w:jc w:val="center"/>
        </w:trPr>
        <w:tc>
          <w:tcPr>
            <w:tcW w:w="2877" w:type="dxa"/>
            <w:tcMar>
              <w:top w:w="45" w:type="dxa"/>
              <w:left w:w="55" w:type="dxa"/>
              <w:bottom w:w="45" w:type="dxa"/>
              <w:right w:w="55" w:type="dxa"/>
            </w:tcMar>
          </w:tcPr>
          <w:p w14:paraId="1CF9C8A4" w14:textId="77777777" w:rsidR="0027146C" w:rsidRDefault="00000000">
            <w:r>
              <w:rPr>
                <w:sz w:val="16"/>
              </w:rPr>
              <w:t>Layered reproductive health vulnerabilities</w:t>
            </w:r>
          </w:p>
        </w:tc>
        <w:tc>
          <w:tcPr>
            <w:tcW w:w="1800" w:type="dxa"/>
            <w:tcMar>
              <w:top w:w="45" w:type="dxa"/>
              <w:left w:w="55" w:type="dxa"/>
              <w:bottom w:w="45" w:type="dxa"/>
              <w:right w:w="55" w:type="dxa"/>
            </w:tcMar>
          </w:tcPr>
          <w:p w14:paraId="35930409" w14:textId="77777777" w:rsidR="0027146C" w:rsidRDefault="00000000">
            <w:r>
              <w:rPr>
                <w:sz w:val="16"/>
              </w:rPr>
              <w:t>Social roles</w:t>
            </w:r>
          </w:p>
        </w:tc>
        <w:tc>
          <w:tcPr>
            <w:tcW w:w="5556" w:type="dxa"/>
            <w:tcMar>
              <w:top w:w="45" w:type="dxa"/>
              <w:left w:w="55" w:type="dxa"/>
              <w:bottom w:w="45" w:type="dxa"/>
              <w:right w:w="55" w:type="dxa"/>
            </w:tcMar>
          </w:tcPr>
          <w:p w14:paraId="640E998B" w14:textId="77777777" w:rsidR="0027146C" w:rsidRDefault="00000000">
            <w:r>
              <w:rPr>
                <w:sz w:val="16"/>
              </w:rPr>
              <w:t>Caregiving while injured or postpartum; breastfeeding-related constraints during evacuation; persistent trauma-related symptoms; reduced privacy for postpartum care and family life.</w:t>
            </w:r>
          </w:p>
        </w:tc>
      </w:tr>
      <w:tr w:rsidR="0027146C" w14:paraId="4262CBCE" w14:textId="77777777" w:rsidTr="00D72414">
        <w:trPr>
          <w:cantSplit/>
          <w:jc w:val="center"/>
        </w:trPr>
        <w:tc>
          <w:tcPr>
            <w:tcW w:w="2877" w:type="dxa"/>
            <w:tcMar>
              <w:top w:w="45" w:type="dxa"/>
              <w:left w:w="55" w:type="dxa"/>
              <w:bottom w:w="45" w:type="dxa"/>
              <w:right w:w="55" w:type="dxa"/>
            </w:tcMar>
          </w:tcPr>
          <w:p w14:paraId="78D08FA5" w14:textId="77777777" w:rsidR="0027146C" w:rsidRDefault="00000000">
            <w:r>
              <w:rPr>
                <w:sz w:val="16"/>
              </w:rPr>
              <w:t>Layered reproductive health vulnerabilities</w:t>
            </w:r>
          </w:p>
        </w:tc>
        <w:tc>
          <w:tcPr>
            <w:tcW w:w="1800" w:type="dxa"/>
            <w:tcMar>
              <w:top w:w="45" w:type="dxa"/>
              <w:left w:w="55" w:type="dxa"/>
              <w:bottom w:w="45" w:type="dxa"/>
              <w:right w:w="55" w:type="dxa"/>
            </w:tcMar>
          </w:tcPr>
          <w:p w14:paraId="7423AA72" w14:textId="77777777" w:rsidR="0027146C" w:rsidRDefault="00000000">
            <w:r>
              <w:rPr>
                <w:sz w:val="16"/>
              </w:rPr>
              <w:t>Security / health services</w:t>
            </w:r>
          </w:p>
        </w:tc>
        <w:tc>
          <w:tcPr>
            <w:tcW w:w="5556" w:type="dxa"/>
            <w:tcMar>
              <w:top w:w="45" w:type="dxa"/>
              <w:left w:w="55" w:type="dxa"/>
              <w:bottom w:w="45" w:type="dxa"/>
              <w:right w:w="55" w:type="dxa"/>
            </w:tcMar>
          </w:tcPr>
          <w:p w14:paraId="174EBAD9" w14:textId="77777777" w:rsidR="0027146C" w:rsidRDefault="00000000">
            <w:r>
              <w:rPr>
                <w:sz w:val="16"/>
              </w:rPr>
              <w:t>Blocked evacuation routes; overloaded health facilities; delayed treatment; misinformation; disrupted or uncertain access to contraception and preventive services.</w:t>
            </w:r>
          </w:p>
        </w:tc>
      </w:tr>
      <w:tr w:rsidR="0027146C" w14:paraId="70521592" w14:textId="77777777" w:rsidTr="00D72414">
        <w:trPr>
          <w:cantSplit/>
          <w:jc w:val="center"/>
        </w:trPr>
        <w:tc>
          <w:tcPr>
            <w:tcW w:w="2877" w:type="dxa"/>
            <w:tcMar>
              <w:top w:w="45" w:type="dxa"/>
              <w:left w:w="55" w:type="dxa"/>
              <w:bottom w:w="45" w:type="dxa"/>
              <w:right w:w="55" w:type="dxa"/>
            </w:tcMar>
          </w:tcPr>
          <w:p w14:paraId="633187C8" w14:textId="77777777" w:rsidR="0027146C" w:rsidRDefault="00000000">
            <w:r>
              <w:rPr>
                <w:sz w:val="16"/>
              </w:rPr>
              <w:t>Gendered roles and structural barriers</w:t>
            </w:r>
          </w:p>
        </w:tc>
        <w:tc>
          <w:tcPr>
            <w:tcW w:w="1800" w:type="dxa"/>
            <w:tcMar>
              <w:top w:w="45" w:type="dxa"/>
              <w:left w:w="55" w:type="dxa"/>
              <w:bottom w:w="45" w:type="dxa"/>
              <w:right w:w="55" w:type="dxa"/>
            </w:tcMar>
          </w:tcPr>
          <w:p w14:paraId="7E32FDB6" w14:textId="77777777" w:rsidR="0027146C" w:rsidRDefault="00000000">
            <w:r>
              <w:rPr>
                <w:sz w:val="16"/>
              </w:rPr>
              <w:t>Socioeconomic</w:t>
            </w:r>
          </w:p>
        </w:tc>
        <w:tc>
          <w:tcPr>
            <w:tcW w:w="5556" w:type="dxa"/>
            <w:tcMar>
              <w:top w:w="45" w:type="dxa"/>
              <w:left w:w="55" w:type="dxa"/>
              <w:bottom w:w="45" w:type="dxa"/>
              <w:right w:w="55" w:type="dxa"/>
            </w:tcMar>
          </w:tcPr>
          <w:p w14:paraId="053C2B34" w14:textId="77777777" w:rsidR="0027146C" w:rsidRDefault="00000000">
            <w:r>
              <w:rPr>
                <w:sz w:val="16"/>
              </w:rPr>
              <w:t>Domestic exposure during early-morning household work; exclusion or delay in housing assistance for some young households; reconstruction shortfalls and informal borrowing; disrupted market access.</w:t>
            </w:r>
          </w:p>
        </w:tc>
      </w:tr>
      <w:tr w:rsidR="0027146C" w14:paraId="33246FD9" w14:textId="77777777" w:rsidTr="00D72414">
        <w:trPr>
          <w:cantSplit/>
          <w:jc w:val="center"/>
        </w:trPr>
        <w:tc>
          <w:tcPr>
            <w:tcW w:w="2877" w:type="dxa"/>
            <w:tcMar>
              <w:top w:w="45" w:type="dxa"/>
              <w:left w:w="55" w:type="dxa"/>
              <w:bottom w:w="45" w:type="dxa"/>
              <w:right w:w="55" w:type="dxa"/>
            </w:tcMar>
          </w:tcPr>
          <w:p w14:paraId="18127E46" w14:textId="77777777" w:rsidR="0027146C" w:rsidRDefault="00000000">
            <w:r>
              <w:rPr>
                <w:sz w:val="16"/>
              </w:rPr>
              <w:t>Gendered roles and structural barriers</w:t>
            </w:r>
          </w:p>
        </w:tc>
        <w:tc>
          <w:tcPr>
            <w:tcW w:w="1800" w:type="dxa"/>
            <w:tcMar>
              <w:top w:w="45" w:type="dxa"/>
              <w:left w:w="55" w:type="dxa"/>
              <w:bottom w:w="45" w:type="dxa"/>
              <w:right w:w="55" w:type="dxa"/>
            </w:tcMar>
          </w:tcPr>
          <w:p w14:paraId="1882FD34" w14:textId="77777777" w:rsidR="0027146C" w:rsidRDefault="00000000">
            <w:r>
              <w:rPr>
                <w:sz w:val="16"/>
              </w:rPr>
              <w:t>Social roles</w:t>
            </w:r>
          </w:p>
        </w:tc>
        <w:tc>
          <w:tcPr>
            <w:tcW w:w="5556" w:type="dxa"/>
            <w:tcMar>
              <w:top w:w="45" w:type="dxa"/>
              <w:left w:w="55" w:type="dxa"/>
              <w:bottom w:w="45" w:type="dxa"/>
              <w:right w:w="55" w:type="dxa"/>
            </w:tcMar>
          </w:tcPr>
          <w:p w14:paraId="74386916" w14:textId="77777777" w:rsidR="0027146C" w:rsidRDefault="00000000">
            <w:r>
              <w:rPr>
                <w:sz w:val="16"/>
              </w:rPr>
              <w:t>Expectation of maternal self-sacrifice; continued unpaid care work during injury or postpartum recovery; intergenerational caregiving responsibilities; dual public and domestic roles.</w:t>
            </w:r>
          </w:p>
        </w:tc>
      </w:tr>
      <w:tr w:rsidR="0027146C" w14:paraId="05DD0215" w14:textId="77777777" w:rsidTr="00D72414">
        <w:trPr>
          <w:cantSplit/>
          <w:jc w:val="center"/>
        </w:trPr>
        <w:tc>
          <w:tcPr>
            <w:tcW w:w="2877" w:type="dxa"/>
            <w:tcMar>
              <w:top w:w="45" w:type="dxa"/>
              <w:left w:w="55" w:type="dxa"/>
              <w:bottom w:w="45" w:type="dxa"/>
              <w:right w:w="55" w:type="dxa"/>
            </w:tcMar>
          </w:tcPr>
          <w:p w14:paraId="17E39F3E" w14:textId="77777777" w:rsidR="0027146C" w:rsidRDefault="00000000">
            <w:r>
              <w:rPr>
                <w:sz w:val="16"/>
              </w:rPr>
              <w:t>Gendered roles and structural barriers</w:t>
            </w:r>
          </w:p>
        </w:tc>
        <w:tc>
          <w:tcPr>
            <w:tcW w:w="1800" w:type="dxa"/>
            <w:tcMar>
              <w:top w:w="45" w:type="dxa"/>
              <w:left w:w="55" w:type="dxa"/>
              <w:bottom w:w="45" w:type="dxa"/>
              <w:right w:w="55" w:type="dxa"/>
            </w:tcMar>
          </w:tcPr>
          <w:p w14:paraId="1260C4F9" w14:textId="77777777" w:rsidR="0027146C" w:rsidRDefault="00000000">
            <w:r>
              <w:rPr>
                <w:sz w:val="16"/>
              </w:rPr>
              <w:t>Security / administration</w:t>
            </w:r>
          </w:p>
        </w:tc>
        <w:tc>
          <w:tcPr>
            <w:tcW w:w="5556" w:type="dxa"/>
            <w:tcMar>
              <w:top w:w="45" w:type="dxa"/>
              <w:left w:w="55" w:type="dxa"/>
              <w:bottom w:w="45" w:type="dxa"/>
              <w:right w:w="55" w:type="dxa"/>
            </w:tcMar>
          </w:tcPr>
          <w:p w14:paraId="257147D2" w14:textId="77777777" w:rsidR="0027146C" w:rsidRDefault="00000000">
            <w:r>
              <w:rPr>
                <w:sz w:val="16"/>
              </w:rPr>
              <w:t>Reported irregularities in aid distribution; congestion and delays in formal services; limited privacy in communal shelters; dependence on local intermediaries when formal response was delayed.</w:t>
            </w:r>
          </w:p>
        </w:tc>
      </w:tr>
      <w:tr w:rsidR="0027146C" w14:paraId="5461A96E" w14:textId="77777777" w:rsidTr="00D72414">
        <w:trPr>
          <w:cantSplit/>
          <w:jc w:val="center"/>
        </w:trPr>
        <w:tc>
          <w:tcPr>
            <w:tcW w:w="2877" w:type="dxa"/>
            <w:tcMar>
              <w:top w:w="45" w:type="dxa"/>
              <w:left w:w="55" w:type="dxa"/>
              <w:bottom w:w="45" w:type="dxa"/>
              <w:right w:w="55" w:type="dxa"/>
            </w:tcMar>
          </w:tcPr>
          <w:p w14:paraId="0AA59B5A" w14:textId="77777777" w:rsidR="0027146C" w:rsidRDefault="00000000">
            <w:r>
              <w:rPr>
                <w:sz w:val="16"/>
              </w:rPr>
              <w:t>Women’s agency and community-based self-reliance</w:t>
            </w:r>
          </w:p>
        </w:tc>
        <w:tc>
          <w:tcPr>
            <w:tcW w:w="1800" w:type="dxa"/>
            <w:tcMar>
              <w:top w:w="45" w:type="dxa"/>
              <w:left w:w="55" w:type="dxa"/>
              <w:bottom w:w="45" w:type="dxa"/>
              <w:right w:w="55" w:type="dxa"/>
            </w:tcMar>
          </w:tcPr>
          <w:p w14:paraId="0E457642" w14:textId="77777777" w:rsidR="0027146C" w:rsidRDefault="00000000">
            <w:r>
              <w:rPr>
                <w:sz w:val="16"/>
              </w:rPr>
              <w:t>Socioeconomic</w:t>
            </w:r>
          </w:p>
        </w:tc>
        <w:tc>
          <w:tcPr>
            <w:tcW w:w="5556" w:type="dxa"/>
            <w:tcMar>
              <w:top w:w="45" w:type="dxa"/>
              <w:left w:w="55" w:type="dxa"/>
              <w:bottom w:w="45" w:type="dxa"/>
              <w:right w:w="55" w:type="dxa"/>
            </w:tcMar>
          </w:tcPr>
          <w:p w14:paraId="19D67C0C" w14:textId="77777777" w:rsidR="0027146C" w:rsidRDefault="00000000">
            <w:r>
              <w:rPr>
                <w:sz w:val="16"/>
              </w:rPr>
              <w:t>Restarting trade and household food production; sharing farm produce; improvising cooking facilities; mobilizing household and family resources; maintaining reproductive decision-making where possible.</w:t>
            </w:r>
          </w:p>
        </w:tc>
      </w:tr>
      <w:tr w:rsidR="0027146C" w14:paraId="7326E129" w14:textId="77777777" w:rsidTr="00D72414">
        <w:trPr>
          <w:cantSplit/>
          <w:jc w:val="center"/>
        </w:trPr>
        <w:tc>
          <w:tcPr>
            <w:tcW w:w="2877" w:type="dxa"/>
            <w:tcMar>
              <w:top w:w="45" w:type="dxa"/>
              <w:left w:w="55" w:type="dxa"/>
              <w:bottom w:w="45" w:type="dxa"/>
              <w:right w:w="55" w:type="dxa"/>
            </w:tcMar>
          </w:tcPr>
          <w:p w14:paraId="41ADCF55" w14:textId="77777777" w:rsidR="0027146C" w:rsidRDefault="00000000">
            <w:r>
              <w:rPr>
                <w:sz w:val="16"/>
              </w:rPr>
              <w:t>Women’s agency and community-based self-reliance</w:t>
            </w:r>
          </w:p>
        </w:tc>
        <w:tc>
          <w:tcPr>
            <w:tcW w:w="1800" w:type="dxa"/>
            <w:tcMar>
              <w:top w:w="45" w:type="dxa"/>
              <w:left w:w="55" w:type="dxa"/>
              <w:bottom w:w="45" w:type="dxa"/>
              <w:right w:w="55" w:type="dxa"/>
            </w:tcMar>
          </w:tcPr>
          <w:p w14:paraId="43F7B8B6" w14:textId="77777777" w:rsidR="0027146C" w:rsidRDefault="00000000">
            <w:r>
              <w:rPr>
                <w:sz w:val="16"/>
              </w:rPr>
              <w:t>Social roles</w:t>
            </w:r>
          </w:p>
        </w:tc>
        <w:tc>
          <w:tcPr>
            <w:tcW w:w="5556" w:type="dxa"/>
            <w:tcMar>
              <w:top w:w="45" w:type="dxa"/>
              <w:left w:w="55" w:type="dxa"/>
              <w:bottom w:w="45" w:type="dxa"/>
              <w:right w:w="55" w:type="dxa"/>
            </w:tcMar>
          </w:tcPr>
          <w:p w14:paraId="1175E6E0" w14:textId="77777777" w:rsidR="0027146C" w:rsidRDefault="00000000">
            <w:r>
              <w:rPr>
                <w:sz w:val="16"/>
              </w:rPr>
              <w:t>Use of extended-family networks; informal childcare arrangements; collective humor and social gatherings; adaptive relocation; modification of sleeping and household arrangements for safer evacuation.</w:t>
            </w:r>
          </w:p>
        </w:tc>
      </w:tr>
      <w:tr w:rsidR="0027146C" w14:paraId="5A63420B" w14:textId="77777777" w:rsidTr="00D72414">
        <w:trPr>
          <w:cantSplit/>
          <w:jc w:val="center"/>
        </w:trPr>
        <w:tc>
          <w:tcPr>
            <w:tcW w:w="2877" w:type="dxa"/>
            <w:tcMar>
              <w:top w:w="45" w:type="dxa"/>
              <w:left w:w="55" w:type="dxa"/>
              <w:bottom w:w="45" w:type="dxa"/>
              <w:right w:w="55" w:type="dxa"/>
            </w:tcMar>
          </w:tcPr>
          <w:p w14:paraId="3598CE2B" w14:textId="77777777" w:rsidR="0027146C" w:rsidRDefault="00000000">
            <w:r>
              <w:rPr>
                <w:sz w:val="16"/>
              </w:rPr>
              <w:t>Women’s agency and community-based self-reliance</w:t>
            </w:r>
          </w:p>
        </w:tc>
        <w:tc>
          <w:tcPr>
            <w:tcW w:w="1800" w:type="dxa"/>
            <w:tcMar>
              <w:top w:w="45" w:type="dxa"/>
              <w:left w:w="55" w:type="dxa"/>
              <w:bottom w:w="45" w:type="dxa"/>
              <w:right w:w="55" w:type="dxa"/>
            </w:tcMar>
          </w:tcPr>
          <w:p w14:paraId="422A0D3B" w14:textId="77777777" w:rsidR="0027146C" w:rsidRDefault="00000000">
            <w:r>
              <w:rPr>
                <w:sz w:val="16"/>
              </w:rPr>
              <w:t>Security / community leadership</w:t>
            </w:r>
          </w:p>
        </w:tc>
        <w:tc>
          <w:tcPr>
            <w:tcW w:w="5556" w:type="dxa"/>
            <w:tcMar>
              <w:top w:w="45" w:type="dxa"/>
              <w:left w:w="55" w:type="dxa"/>
              <w:bottom w:w="45" w:type="dxa"/>
              <w:right w:w="55" w:type="dxa"/>
            </w:tcMar>
          </w:tcPr>
          <w:p w14:paraId="624A6075" w14:textId="77777777" w:rsidR="0027146C" w:rsidRDefault="00000000">
            <w:r>
              <w:rPr>
                <w:sz w:val="16"/>
              </w:rPr>
              <w:t>Participation in local aid negotiations; organization of sanitation and logistics; women’s community and religious groups as psychosocial support; household redesign with multiple evacuation exits.</w:t>
            </w:r>
          </w:p>
        </w:tc>
      </w:tr>
    </w:tbl>
    <w:p w14:paraId="2CE97C29" w14:textId="77777777" w:rsidR="0027146C" w:rsidRDefault="00000000">
      <w:pPr>
        <w:pStyle w:val="05-ArticleText"/>
      </w:pPr>
      <w:r>
        <w:rPr>
          <w:sz w:val="16"/>
        </w:rPr>
        <w:t>Source: Primary data; categories condensed from the full thematic coding matrix.</w:t>
      </w:r>
    </w:p>
    <w:p w14:paraId="144CF468" w14:textId="77777777" w:rsidR="0027146C" w:rsidRDefault="0027146C">
      <w:pPr>
        <w:sectPr w:rsidR="0027146C">
          <w:type w:val="continuous"/>
          <w:pgSz w:w="12240" w:h="15840"/>
          <w:pgMar w:top="1134" w:right="709" w:bottom="1134" w:left="1276" w:header="720" w:footer="964" w:gutter="0"/>
          <w:cols w:space="426"/>
          <w:formProt w:val="0"/>
          <w:docGrid w:linePitch="600" w:charSpace="32768"/>
        </w:sectPr>
      </w:pPr>
    </w:p>
    <w:p w14:paraId="67490681" w14:textId="77777777" w:rsidR="0027146C" w:rsidRDefault="00000000">
      <w:pPr>
        <w:pStyle w:val="07-Heading-2"/>
        <w:keepNext/>
      </w:pPr>
      <w:r>
        <w:t>3.2. Theme 1: Layered Reproductive Health Vulnerabilities</w:t>
      </w:r>
    </w:p>
    <w:p w14:paraId="778B8310" w14:textId="77777777" w:rsidR="0027146C" w:rsidRDefault="00000000">
      <w:pPr>
        <w:pStyle w:val="05-ArticleText"/>
      </w:pPr>
      <w:r>
        <w:t>Participants described reproductive health vulnerability as a combination of bodily needs, disrupted services, constrained living conditions, and caregiving demands. Menstruation in evacuation settings was particularly difficult when sanitary pads, clean water, dry clothing, and private washing facilities were unavailable. One participant recalled having no menstrual supplies during the early emergency period:</w:t>
      </w:r>
    </w:p>
    <w:p w14:paraId="3E2FF4D9" w14:textId="77777777" w:rsidR="0027146C" w:rsidRDefault="00000000">
      <w:pPr>
        <w:pStyle w:val="05-ArticleText"/>
        <w:ind w:left="259" w:right="115"/>
      </w:pPr>
      <w:r>
        <w:rPr>
          <w:i/>
        </w:rPr>
        <w:t>“At that time, I was still menstruating… I didn’t have any sanitary pads; I didn’t know what to do—there was no aid… until I was completely soaked…” (I5)</w:t>
      </w:r>
    </w:p>
    <w:p w14:paraId="50D1025F" w14:textId="77777777" w:rsidR="0027146C" w:rsidRDefault="00000000">
      <w:pPr>
        <w:pStyle w:val="05-ArticleText"/>
      </w:pPr>
      <w:r>
        <w:t>Pregnancy, postpartum recovery, and breastfeeding created additional demands. Participants described loss of infant clothing and supplies, exposure to dust and rain, limited privacy in communal tents, and difficulty protecting infants while they themselves were injured or recovering. A participant who gave birth around the disaster period described an overcrowded clinical environment and a distressing experience of labor during the emergency:</w:t>
      </w:r>
    </w:p>
    <w:p w14:paraId="7D54D2AC" w14:textId="77777777" w:rsidR="0027146C" w:rsidRDefault="00000000">
      <w:pPr>
        <w:pStyle w:val="05-ArticleText"/>
        <w:ind w:left="259" w:right="115"/>
      </w:pPr>
      <w:r>
        <w:rPr>
          <w:i/>
        </w:rPr>
        <w:t>“I was screaming at the nurse… trying to ask for help, the baby was about to come out, but no one was coming near me… finally, I screamed that the baby had already come out… right on the bed…” (I4)</w:t>
      </w:r>
    </w:p>
    <w:p w14:paraId="3A22FA5C" w14:textId="77777777" w:rsidR="0027146C" w:rsidRDefault="00000000">
      <w:pPr>
        <w:pStyle w:val="05-ArticleText"/>
      </w:pPr>
      <w:r>
        <w:t xml:space="preserve">Participants also described delayed treatment because roads were blocked, vehicles were limited, or facilities were </w:t>
      </w:r>
      <w:r>
        <w:t>crowded. Some relied on home or traditional remedies when formal services were difficult to reach. Contraceptive access varied. A few participants retained access through community health services or by keeping oral contraceptives at home, whereas others described uncertainty about availability during the emergency period.</w:t>
      </w:r>
    </w:p>
    <w:p w14:paraId="6AEB6839" w14:textId="77777777" w:rsidR="0027146C" w:rsidRDefault="00000000">
      <w:pPr>
        <w:pStyle w:val="05-ArticleText"/>
      </w:pPr>
      <w:r>
        <w:t>Psychological distress was intertwined with these physical and reproductive concerns. Participants reported persistent fear of buildings, emotional numbness, anxiety about children, and long-lasting memories of injury and loss. These narratives are reported as trauma-related experiences rather than clinical diagnoses because no standardized diagnostic assessment was conducted.</w:t>
      </w:r>
    </w:p>
    <w:p w14:paraId="640A3383" w14:textId="77777777" w:rsidR="0027146C" w:rsidRDefault="00000000">
      <w:pPr>
        <w:pStyle w:val="07-Heading-2"/>
        <w:keepNext/>
      </w:pPr>
      <w:r>
        <w:t>3.3. Theme 2: Gendered Roles and Structural Barriers</w:t>
      </w:r>
    </w:p>
    <w:p w14:paraId="76671C80" w14:textId="77777777" w:rsidR="0027146C" w:rsidRDefault="00000000">
      <w:pPr>
        <w:pStyle w:val="05-ArticleText"/>
      </w:pPr>
      <w:r>
        <w:t>Women’s exposure to risk was shaped by the timing and location of domestic work. Several participants were preparing breakfast or caring for children inside the home when the earthquake struck, while some male relatives were already outdoors. One participant recalled being in the kitchen immediately before a structural collapse:</w:t>
      </w:r>
    </w:p>
    <w:p w14:paraId="6CBD5AA0" w14:textId="77777777" w:rsidR="0027146C" w:rsidRDefault="00000000">
      <w:pPr>
        <w:pStyle w:val="05-ArticleText"/>
        <w:ind w:left="259" w:right="115"/>
      </w:pPr>
      <w:r>
        <w:rPr>
          <w:i/>
        </w:rPr>
        <w:t>“It’s time to make breakfast… even a moment’s delay and that concrete pillar would have already collapsed.” (I10)</w:t>
      </w:r>
    </w:p>
    <w:p w14:paraId="374A9D58" w14:textId="77777777" w:rsidR="0027146C" w:rsidRDefault="00000000">
      <w:pPr>
        <w:pStyle w:val="05-ArticleText"/>
      </w:pPr>
      <w:r>
        <w:t xml:space="preserve">Maternal responsibility was frequently described as an immediate obligation to return for or physically protect children even when doing so increased personal risk. One </w:t>
      </w:r>
      <w:r>
        <w:lastRenderedPageBreak/>
        <w:t>participant described going back into a damaged house for her child despite being injured:</w:t>
      </w:r>
    </w:p>
    <w:p w14:paraId="4482FE21" w14:textId="77777777" w:rsidR="0027146C" w:rsidRDefault="00000000">
      <w:pPr>
        <w:pStyle w:val="05-ArticleText"/>
        <w:ind w:left="259" w:right="115"/>
      </w:pPr>
      <w:r>
        <w:rPr>
          <w:i/>
        </w:rPr>
        <w:t>“The children are still inside… their father went out on his own, I went back in… the roof collapsed, and my head kept bleeding…” (I3)</w:t>
      </w:r>
    </w:p>
    <w:p w14:paraId="705C0490" w14:textId="77777777" w:rsidR="0027146C" w:rsidRDefault="00000000">
      <w:pPr>
        <w:pStyle w:val="05-ArticleText"/>
      </w:pPr>
      <w:r>
        <w:t>Structural barriers continued during recovery. Participants described difficulties related to household registration, housing-assistance eligibility, limited reconstruction funds, delayed health support, and geographic inequality in aid distribution. These accounts represent participants’ perceptions and experiences; the study did not independently audit historical administrative records or establish misconduct by specific institutions. Accordingly, the findings are interpreted as reported administrative and access barriers rather than verified corruption.</w:t>
      </w:r>
    </w:p>
    <w:p w14:paraId="1527FA95" w14:textId="77777777" w:rsidR="0027146C" w:rsidRDefault="00000000">
      <w:pPr>
        <w:pStyle w:val="05-ArticleText"/>
      </w:pPr>
      <w:r>
        <w:t>Communal shelter also created privacy constraints for postpartum care, breastfeeding, rest, and married couples’ intimate life. Participants emphasized that crowded tents required constant adaptation. In addition, women often continued cooking, caring for children and older relatives, and providing emotional support while managing their own injuries or stress.</w:t>
      </w:r>
    </w:p>
    <w:p w14:paraId="39C4D9C1" w14:textId="77777777" w:rsidR="0027146C" w:rsidRDefault="00000000">
      <w:pPr>
        <w:pStyle w:val="07-Heading-2"/>
        <w:keepNext/>
      </w:pPr>
      <w:r>
        <w:t>3.4. Theme 3: Women’s Agency and Community-Based Self-Reliance</w:t>
      </w:r>
    </w:p>
    <w:p w14:paraId="4FE2A0B9" w14:textId="77777777" w:rsidR="0027146C" w:rsidRDefault="00000000">
      <w:pPr>
        <w:pStyle w:val="05-ArticleText"/>
      </w:pPr>
      <w:r>
        <w:t>Participants did not describe themselves only as recipients of assistance. They also developed practical strategies to maintain health and household functioning. Women restarted food preparation and market activity, shared produce, improvised stoves from available materials, and used extended-family networks to reduce pressure on crowded shelters. These actions supported nutrition, household liquidity, and continuity of caregiving during periods when formal systems were disrupted.</w:t>
      </w:r>
    </w:p>
    <w:p w14:paraId="443CAA5B" w14:textId="77777777" w:rsidR="0027146C" w:rsidRDefault="00000000">
      <w:pPr>
        <w:pStyle w:val="05-ArticleText"/>
        <w:ind w:left="259" w:right="115"/>
      </w:pPr>
      <w:r>
        <w:rPr>
          <w:i/>
        </w:rPr>
        <w:t>“The rice fields still have the crops that were there before. There’s water spinach, there’s chili… well, just take them for the community…” (I3)</w:t>
      </w:r>
    </w:p>
    <w:p w14:paraId="66603408" w14:textId="77777777" w:rsidR="0027146C" w:rsidRDefault="00000000">
      <w:pPr>
        <w:pStyle w:val="05-ArticleText"/>
      </w:pPr>
      <w:r>
        <w:t xml:space="preserve">Agency also appeared in decisions about bodily and reproductive autonomy. Some </w:t>
      </w:r>
      <w:proofErr w:type="gramStart"/>
      <w:r>
        <w:t>women maintained</w:t>
      </w:r>
      <w:proofErr w:type="gramEnd"/>
      <w:r>
        <w:t xml:space="preserve"> contraception through community health services or by storing oral contraceptives, while another family relied on the husband’s prior vasectomy. These strategies should not be interpreted as a substitute for reliable reproductive health services; rather, they illustrate how households attempted to preserve reproductive decision-making under uncertain conditions.</w:t>
      </w:r>
    </w:p>
    <w:p w14:paraId="13B901FB" w14:textId="77777777" w:rsidR="0027146C" w:rsidRDefault="00000000">
      <w:pPr>
        <w:pStyle w:val="05-ArticleText"/>
      </w:pPr>
      <w:r>
        <w:t>Participants described changes to domestic space that emerged from earthquake experience. Some slept near exits, avoided locked doors, or redesigned homes with more than one exit from a room. One participant described a house reconstructed with multiple doors:</w:t>
      </w:r>
    </w:p>
    <w:p w14:paraId="3B8DC350" w14:textId="77777777" w:rsidR="0027146C" w:rsidRDefault="00000000" w:rsidP="0015194D">
      <w:pPr>
        <w:pStyle w:val="05-ArticleText"/>
        <w:ind w:right="115"/>
      </w:pPr>
      <w:r>
        <w:rPr>
          <w:highlight w:val="yellow"/>
        </w:rPr>
        <w:t>Women also used social and religious networks as forms of collective coping. Community gatherings, Family Welfare Empowerment (</w:t>
      </w:r>
      <w:proofErr w:type="spellStart"/>
      <w:r>
        <w:rPr>
          <w:highlight w:val="yellow"/>
        </w:rPr>
        <w:t>Pemberdayaan</w:t>
      </w:r>
      <w:proofErr w:type="spellEnd"/>
      <w:r>
        <w:rPr>
          <w:highlight w:val="yellow"/>
        </w:rPr>
        <w:t xml:space="preserve"> dan </w:t>
      </w:r>
      <w:proofErr w:type="spellStart"/>
      <w:r>
        <w:rPr>
          <w:highlight w:val="yellow"/>
        </w:rPr>
        <w:t>Kesejahteraan</w:t>
      </w:r>
      <w:proofErr w:type="spellEnd"/>
      <w:r>
        <w:rPr>
          <w:highlight w:val="yellow"/>
        </w:rPr>
        <w:t xml:space="preserve"> Keluarga; PKK) activities, </w:t>
      </w:r>
      <w:proofErr w:type="spellStart"/>
      <w:r>
        <w:rPr>
          <w:highlight w:val="yellow"/>
        </w:rPr>
        <w:t>Yasinan</w:t>
      </w:r>
      <w:proofErr w:type="spellEnd"/>
      <w:r>
        <w:rPr>
          <w:highlight w:val="yellow"/>
        </w:rPr>
        <w:t xml:space="preserve"> (communal recitation of Surah Yasin), </w:t>
      </w:r>
      <w:proofErr w:type="spellStart"/>
      <w:r>
        <w:rPr>
          <w:highlight w:val="yellow"/>
        </w:rPr>
        <w:t>Asmaul</w:t>
      </w:r>
      <w:proofErr w:type="spellEnd"/>
      <w:r>
        <w:rPr>
          <w:highlight w:val="yellow"/>
        </w:rPr>
        <w:t xml:space="preserve"> Husna recitation (communal recitation of the divine names in Islamic tradition), humor, </w:t>
      </w:r>
      <w:r>
        <w:rPr>
          <w:highlight w:val="yellow"/>
        </w:rPr>
        <w:t>and mutual assistance were described as ways of reducing isolation and rebuilding social connection. These practices are presented as culturally situated forms of social and spiritual support rather than as clinical mental-health interventions.</w:t>
      </w:r>
    </w:p>
    <w:p w14:paraId="488AB8B1" w14:textId="77777777" w:rsidR="0027146C" w:rsidRDefault="00000000">
      <w:pPr>
        <w:pStyle w:val="06-Heading-1"/>
        <w:keepNext/>
      </w:pPr>
      <w:r>
        <w:t>4. DISCUSSION</w:t>
      </w:r>
    </w:p>
    <w:p w14:paraId="0CDC35F8" w14:textId="77777777" w:rsidR="0027146C" w:rsidRDefault="00000000">
      <w:pPr>
        <w:pStyle w:val="05-ArticleText"/>
      </w:pPr>
      <w:r>
        <w:rPr>
          <w:highlight w:val="yellow"/>
        </w:rPr>
        <w:t>The first major finding concerns the continuity of reproductive health needs during emergency conditions. Menstruation, pregnancy, postpartum recovery, breastfeeding, contraception, and privacy did not stop when housing and health systems were disrupted. Participants' accounts of menstrual hygiene difficulties, crowded shelters, delayed treatment, and uncertain contraceptive access are consistent with humanitarian evidence showing that sexual and reproductive health services are frequently disrupted during crises and that women may face increased barriers to maternal care and family planning [7,8,16-18,38,39]. Current Indonesian PPAM guidance and the Minimum Initial Service Package (MISP) include continuity of contraception/family-planning services, maternal-newborn care, referral, and protection as components of crisis response [16,17]. Evidence from displaced and crisis-affected populations similarly shows that menstrual hygiene depends on the combined availability of menstrual materials, safe water and sanitation, privacy, disposal options, and practical information [40-43]. Pregnancy and the perinatal period may also be affected through service interruption, environmental disruption, stress, and constrained access to routine or urgent care [44-49]. The present study does not test whether a particular intervention would have prevented the difficulties described; it provides contextual evidence about how reproductive and caregiving needs converged within the same households.</w:t>
      </w:r>
    </w:p>
    <w:p w14:paraId="770F327F" w14:textId="77777777" w:rsidR="0027146C" w:rsidRDefault="00000000">
      <w:pPr>
        <w:pStyle w:val="05-ArticleText"/>
      </w:pPr>
      <w:r>
        <w:t>The second major finding concerns the gendered distribution of domestic exposure and unpaid care work. Participants were often inside homes because they were cooking, breastfeeding, or caring for children when the earthquake occurred. The accounts of returning for children, providing care while injured, and continuing community cooking or caregiving during postpartum recovery illustrate how gendered expectations can shape exposure and recovery burden. Similar work has shown that disasters amplify existing gendered divisions of labor and may increase women’s physical and psychosocial burdens [3-6,9,37,50,51]. Traditional Javanese housing and kitchen arrangements may also shape spatial exposure, although the present qualitative study cannot quantify whether specific house types increased women’s injury risk [52].</w:t>
      </w:r>
    </w:p>
    <w:p w14:paraId="1D113650" w14:textId="77777777" w:rsidR="0027146C" w:rsidRDefault="00000000">
      <w:pPr>
        <w:pStyle w:val="05-ArticleText"/>
      </w:pPr>
      <w:r>
        <w:t xml:space="preserve">Administrative and logistical barriers were also prominent. Participants described delayed or uneven aid, eligibility problems related to family registration, overloaded services, blocked roads, and dependence on local intermediaries. The Java Reconstruction Fund and post-disaster assessments documented the complexity of housing reconstruction and recovery after the 2006 earthquake [12,53]. Our findings add a survivor-centered perspective by showing how such procedures were experienced at household level. However, retrospective interviews cannot establish whether all reported irregularities reflected formal policy, implementation gaps, </w:t>
      </w:r>
      <w:r>
        <w:lastRenderedPageBreak/>
        <w:t>local discretion, or individual misunderstanding. This distinction is important when interpreting participants’ accounts of aid distribution.</w:t>
      </w:r>
    </w:p>
    <w:p w14:paraId="385D5E6D" w14:textId="77777777" w:rsidR="0027146C" w:rsidRDefault="00000000">
      <w:pPr>
        <w:pStyle w:val="05-ArticleText"/>
      </w:pPr>
      <w:r>
        <w:t>A third contribution is the emphasis on women’s agency. Participants described reopening trade, sharing agricultural products, organizing food preparation, mobilizing extended-family support, adapting shelter arrangements, participating in neighborhood decisions, and using religious and women’s community groups for psychosocial support. These forms of local action resemble findings that women frequently contribute to community resilience through informal care, social capital, and economic activity [5,11,54-57]. Their role in local recovery should therefore be recognized in disaster-health planning, including formal representation in village disaster teams, health clusters, shelter planning, and risk-communication systems.</w:t>
      </w:r>
    </w:p>
    <w:p w14:paraId="70FC3A63" w14:textId="77777777" w:rsidR="0027146C" w:rsidRDefault="00000000">
      <w:pPr>
        <w:pStyle w:val="05-ArticleText"/>
      </w:pPr>
      <w:r>
        <w:rPr>
          <w:highlight w:val="yellow"/>
        </w:rPr>
        <w:t>The accounts of persistent fear, emotional numbness, sleep-related vigilance, and maternal anxiety also show the close connection between reproductive, caregiving, and mental health. Disaster exposure is associated with substantial psychological morbidity, and pregnancy-related stress can affect maternal well-being [1,2,58]. Because this study did not use diagnostic instruments, clinical examinations, or contemporaneous medical records, reported reproductive-health symptoms and psychological experiences are interpreted as self-reported needs and trauma-related experiences rather than clinically verified conditions or diagnoses. This limits causal and diagnostic interpretation and narrows the practice implications to assessment, service accessibility, referral, communication, privacy, and continuity of care. Community and spiritual practices described by participants may have supported coping and social connection, but they should complement rather than replace professional mental-health care when needed. Post-traumatic growth and positive reappraisal have been documented after severe adversity, although such processes vary considerably between individuals [59]. Large reviews of disaster-exposed populations show wide variation in psychological outcomes and caution against assuming that all survivors develop psychiatric disorders [60,61]. Principles proposed for early and mid-term post-disaster support emphasize safety, calming, efficacy, connectedness, and hope, while contemporary resilience scholarship treats adaptation as dynamic and context dependent rather than a fixed personal trait [62,63].</w:t>
      </w:r>
    </w:p>
    <w:p w14:paraId="1758CA0C" w14:textId="77777777" w:rsidR="0027146C" w:rsidRDefault="00000000">
      <w:r>
        <w:rPr>
          <w:b/>
          <w:highlight w:val="yellow"/>
        </w:rPr>
        <w:t>4.1. Implications for Nursing and Midwifery Practice</w:t>
      </w:r>
    </w:p>
    <w:p w14:paraId="444BFF5B" w14:textId="77777777" w:rsidR="0027146C" w:rsidRPr="00146C58" w:rsidRDefault="00000000">
      <w:pPr>
        <w:pStyle w:val="07-Heading-2"/>
        <w:keepNext/>
        <w:rPr>
          <w:b w:val="0"/>
          <w:bCs/>
        </w:rPr>
      </w:pPr>
      <w:r w:rsidRPr="00146C58">
        <w:rPr>
          <w:b w:val="0"/>
          <w:bCs/>
          <w:highlight w:val="yellow"/>
        </w:rPr>
        <w:t xml:space="preserve">The findings suggest several practice considerations for nurses, midwives, and interdisciplinary disaster-health teams, but these should be interpreted as context-informed recommendations rather than tested interventions. For nurses and midwives, rapid needs assessment may include menstruation, pregnancy, postpartum recovery, breastfeeding, contraception continuity, newborn needs, privacy, safe referral routes, and caregiving responsibilities. Midwifery literature in humanitarian settings identifies midwives as important frontline providers of sexual, reproductive, maternal, and newborn care, while also documenting constraints related to safety, infrastructure, supplies, training, supervision, and coordination [78,79]. </w:t>
      </w:r>
      <w:r w:rsidRPr="00146C58">
        <w:rPr>
          <w:b w:val="0"/>
          <w:bCs/>
          <w:highlight w:val="yellow"/>
        </w:rPr>
        <w:t>The present small, single-district study adds survivor perspectives that may inform, but cannot establish the effectiveness of, particular service models.</w:t>
      </w:r>
    </w:p>
    <w:p w14:paraId="32902D76" w14:textId="77777777" w:rsidR="0027146C" w:rsidRDefault="00000000">
      <w:pPr>
        <w:pStyle w:val="05-ArticleText"/>
      </w:pPr>
      <w:r>
        <w:rPr>
          <w:highlight w:val="yellow"/>
        </w:rPr>
        <w:t>A second practice consideration is continuity of reproductive-health care within broader disaster-health operations. Participant accounts of interrupted or uncertain contraception are consistent with MISP priorities to prevent unintended pregnancies and maintain access to family-planning methods during crises [16,17]. In practice, this may involve early mapping of available contraceptive methods, referral pathways, commodity supply, and communication channels, alongside maternal and newborn services. These recommendations are derived from established humanitarian guidance and the wider literature; the present qualitative data illustrate their local relevance rather than testing their clinical effectiveness.</w:t>
      </w:r>
    </w:p>
    <w:p w14:paraId="602CD4D1" w14:textId="77777777" w:rsidR="0027146C" w:rsidRDefault="00000000">
      <w:pPr>
        <w:pStyle w:val="05-ArticleText"/>
      </w:pPr>
      <w:r>
        <w:rPr>
          <w:highlight w:val="yellow"/>
        </w:rPr>
        <w:t>Privacy and dignity also warrant attention as clinical and safety considerations. Participants linked crowded shelter conditions with difficulties in menstruation, breastfeeding, postpartum care, rest, and intimate family life. Nurses and midwives may contribute to rapid identification of privacy-sensitive needs and referral risks, while shelter, WASH, logistics, and protection teams retain responsibility for structural solutions. The study does not support a specific shelter design; rather, it indicates that women should be consulted about privacy, infant care, mobility, and access when temporary living arrangements are planned.</w:t>
      </w:r>
    </w:p>
    <w:p w14:paraId="32ED44AC" w14:textId="77777777" w:rsidR="0027146C" w:rsidRDefault="00000000">
      <w:pPr>
        <w:pStyle w:val="05-ArticleText"/>
      </w:pPr>
      <w:r>
        <w:rPr>
          <w:highlight w:val="yellow"/>
        </w:rPr>
        <w:t xml:space="preserve">Community networks can support communication and recovery without transferring institutional responsibilities onto women. Participants described extended-family support, PKK activities, neighborhood networks, </w:t>
      </w:r>
      <w:proofErr w:type="spellStart"/>
      <w:r>
        <w:rPr>
          <w:highlight w:val="yellow"/>
        </w:rPr>
        <w:t>Yasinan</w:t>
      </w:r>
      <w:proofErr w:type="spellEnd"/>
      <w:r>
        <w:rPr>
          <w:highlight w:val="yellow"/>
        </w:rPr>
        <w:t xml:space="preserve">, and </w:t>
      </w:r>
      <w:proofErr w:type="spellStart"/>
      <w:r>
        <w:rPr>
          <w:highlight w:val="yellow"/>
        </w:rPr>
        <w:t>Asmaul</w:t>
      </w:r>
      <w:proofErr w:type="spellEnd"/>
      <w:r>
        <w:rPr>
          <w:highlight w:val="yellow"/>
        </w:rPr>
        <w:t xml:space="preserve"> Husna recitation as sources of practical or psychosocial support. Such networks may help disseminate verified information and identify unmet needs, but formal health services remain responsible for clinical assessment, referral, contraception, maternal-newborn care, and protection.</w:t>
      </w:r>
    </w:p>
    <w:p w14:paraId="53703FCB" w14:textId="77777777" w:rsidR="0027146C" w:rsidRDefault="00000000">
      <w:pPr>
        <w:pStyle w:val="05-ArticleText"/>
      </w:pPr>
      <w:r>
        <w:rPr>
          <w:highlight w:val="yellow"/>
        </w:rPr>
        <w:t>Women's participation in preparedness and recovery decisions is also relevant because participants described practical knowledge about household routines, caregiving, privacy, evacuation, aid access, and local communication. Their reported 'aid advocacy' refers here to efforts to seek, clarify, negotiate, or communicate about access to assistance for themselves, their households, or neighbors. The study does not establish that any particular participatory mechanism improves outcomes; it supports considering women as informants and partners when locally appropriate preparedness and recovery processes are designed.</w:t>
      </w:r>
    </w:p>
    <w:p w14:paraId="144C2943" w14:textId="77777777" w:rsidR="0027146C" w:rsidRDefault="00000000">
      <w:pPr>
        <w:pStyle w:val="05-ArticleText"/>
      </w:pPr>
      <w:r>
        <w:rPr>
          <w:highlight w:val="yellow"/>
        </w:rPr>
        <w:t xml:space="preserve">Across the disaster cycle, these findings are best treated as prompts for assessment rather than prescriptive protocols. Preparedness activities may review reproductive-health referral pathways, family-planning commodity continuity, privacy needs, and communication channels. During response, teams may use rapid assessment to identify urgent maternal, newborn, contraception, menstrual-health, and caregiving needs. During recovery, services may reassess longer-term access barriers and include survivor perspectives in local evaluation. Specific interventions should follow </w:t>
      </w:r>
      <w:r>
        <w:rPr>
          <w:highlight w:val="yellow"/>
        </w:rPr>
        <w:lastRenderedPageBreak/>
        <w:t>applicable national and humanitarian guidance and be adapted to local resources.</w:t>
      </w:r>
    </w:p>
    <w:p w14:paraId="48D7B300" w14:textId="77777777" w:rsidR="0027146C" w:rsidRDefault="00000000">
      <w:pPr>
        <w:pStyle w:val="05-ArticleText"/>
      </w:pPr>
      <w:r>
        <w:t>For nursing and midwifery education, the cases described by participants offer concrete situations for discussion of person-</w:t>
      </w:r>
      <w:proofErr w:type="spellStart"/>
      <w:r>
        <w:t>centred</w:t>
      </w:r>
      <w:proofErr w:type="spellEnd"/>
      <w:r>
        <w:t xml:space="preserve"> assessment, communication, referral, privacy, continuity of reproductive care, psychosocial support, and interprofessional coordination. Simulation or case-based learning can use such situations to examine how clinical priorities intersect with caregiving, shelter conditions, transport, misinformation, and administrative access. Training should avoid presenting women as a uniform risk group; reproductive phase, household responsibilities, available support, and access constraints differed across participants. This approach preserves the study's central finding that vulnerability and agency coexisted and that professional support should respond to both rather than reducing women either to passive victims or to substitutes for functioning services.</w:t>
      </w:r>
    </w:p>
    <w:p w14:paraId="15FAE1AB" w14:textId="77777777" w:rsidR="0027146C" w:rsidRDefault="00000000">
      <w:r>
        <w:rPr>
          <w:b/>
          <w:highlight w:val="yellow"/>
        </w:rPr>
        <w:t>4.2. Strengths and Limitations</w:t>
      </w:r>
    </w:p>
    <w:p w14:paraId="54B0085B" w14:textId="77777777" w:rsidR="0027146C" w:rsidRPr="00EC5542" w:rsidRDefault="00000000">
      <w:pPr>
        <w:pStyle w:val="07-Heading-2"/>
        <w:keepNext/>
        <w:rPr>
          <w:b w:val="0"/>
          <w:bCs/>
          <w:i w:val="0"/>
          <w:iCs/>
        </w:rPr>
      </w:pPr>
      <w:r w:rsidRPr="00EC5542">
        <w:rPr>
          <w:b w:val="0"/>
          <w:bCs/>
          <w:i w:val="0"/>
          <w:iCs/>
          <w:highlight w:val="yellow"/>
        </w:rPr>
        <w:t>A strength of this study is its survivor-centered focus on the intersection of reproductive health, gendered responsibilities, institutional access, and self-directed recovery. The long interval since the earthquake allowed participants to reflect on adaptations that persisted into later life, while the use of verbatim transcripts, participant feedback, and transparent description of the analytic process supported interpretive credibility. The study also explicitly distinguishes participants' recollections from independently verified historical or clinical facts.</w:t>
      </w:r>
    </w:p>
    <w:p w14:paraId="003D5D7C" w14:textId="77777777" w:rsidR="0027146C" w:rsidRDefault="00000000">
      <w:pPr>
        <w:pStyle w:val="05-ArticleText"/>
      </w:pPr>
      <w:r>
        <w:rPr>
          <w:highlight w:val="yellow"/>
        </w:rPr>
        <w:t>Several limitations require caution. First, interviews were conducted approximately 20 years after the earthquake, creating substantial potential for recall bias, memory reconstruction, and influence from subsequent experiences and present-day interpretations. The analytic distinction between event-focused recollections and current reflections, together with participant feedback, may improve transparency but cannot remove recall bias. Second, the sample was small, purposive, and drawn from a single rural locality in Bantul; findings are not intended to estimate prevalence or be statistically generalized. Third, educational attainment was not recorded for most participants. Fourth, the study included only women survivors and did not triangulate accounts with men, health workers, government officials, contemporaneous records, or clinical data. Self-reported reproductive-health symptoms and needs were therefore not clinically verified, and causal or diagnostic conclusions cannot be drawn. Fifth, although field assistants left before substantive interviews, their familiarity with the local community and role in arranging technical access may have introduced social-desirability effects. Sixth, formal reflexive journals were not maintained. Seventh, online interviewing, even with technical support, may have shaped disclosure or interaction. Finally, coding density or NVivo visualization was used for data management and mapping only and was not interpreted as a quantitative measure of the importance of themes.</w:t>
      </w:r>
    </w:p>
    <w:p w14:paraId="4D380A08" w14:textId="77777777" w:rsidR="0027146C" w:rsidRDefault="00000000">
      <w:pPr>
        <w:pStyle w:val="06-Heading-1"/>
        <w:keepNext/>
      </w:pPr>
      <w:r>
        <w:t>5. CONCLUSION</w:t>
      </w:r>
    </w:p>
    <w:p w14:paraId="79E5A048" w14:textId="77777777" w:rsidR="0027146C" w:rsidRDefault="00000000">
      <w:pPr>
        <w:pStyle w:val="05-ArticleText"/>
      </w:pPr>
      <w:r>
        <w:t>Women survivors of the 2006 Bantul earthquake described reproductive health vulnerability as an interaction between bodily needs, gendered caregiving responsibilities, disrupted services, shelter conditions, and administrative or logistical barriers. They also described agency through household adaptation, community organization, economic recovery, reproductive decision-making, spatial preparedness, and social or spiritual support. For disaster nursing and midwifery, the findings point to the value of making menstrual, maternal, postpartum, breastfeeding, contraception, privacy, caregiving, and psychosocial needs visible in early assessment and continuity-of-care planning. Women's participation in shelter, logistics, risk communication, and recovery planning may improve the contextual relevance of response arrangements, but this qualitative study does not test the effectiveness of specific interventions. Recognizing women's agency should strengthen, rather than replace, institutional responsibility for equitable health services and protection.</w:t>
      </w:r>
    </w:p>
    <w:p w14:paraId="7942EE67" w14:textId="77777777" w:rsidR="0027146C" w:rsidRDefault="00000000">
      <w:pPr>
        <w:pStyle w:val="06-Heading-1"/>
        <w:keepNext/>
      </w:pPr>
      <w:r>
        <w:t>AUTHORS' CONTRIBUTIONS</w:t>
      </w:r>
    </w:p>
    <w:p w14:paraId="17C0D630" w14:textId="77777777" w:rsidR="0027146C" w:rsidRDefault="00000000">
      <w:pPr>
        <w:pStyle w:val="05-ArticleText"/>
      </w:pPr>
      <w:r>
        <w:t>The first author: Conceptualization, Methodology, Investigation, Formal Analysis, Interpretation, Writing - Original Draft, Writing - Review &amp; Editing, Supervision, and Project Administration. The second author: Methodology, Investigation, Data Collection, Formal Analysis, Interpretation, and Writing - Review &amp; Editing. The third author: Investigation, Data Collection, Formal Analysis, Interpretation, and Writing - Review &amp; Editing. The fourth author: Formal Analysis, Interpretation, Writing - Original Draft, and Writing - Review &amp; Editing. All authors read and approved the final version of the manuscript.</w:t>
      </w:r>
    </w:p>
    <w:p w14:paraId="5BE5B126" w14:textId="77777777" w:rsidR="0027146C" w:rsidRDefault="00000000">
      <w:r>
        <w:rPr>
          <w:b/>
          <w:highlight w:val="yellow"/>
        </w:rPr>
        <w:t>ETHICS APPROVAL AND CONSENT TO PARTICIPATE</w:t>
      </w:r>
    </w:p>
    <w:p w14:paraId="15C9E41C" w14:textId="77777777" w:rsidR="0027146C" w:rsidRDefault="00000000">
      <w:pPr>
        <w:pStyle w:val="05-ArticleText"/>
        <w:keepNext/>
      </w:pPr>
      <w:r>
        <w:rPr>
          <w:highlight w:val="yellow"/>
        </w:rPr>
        <w:t>The study was conducted in accordance with the Declaration of Helsinki and was approved by the Research Ethics Committee of Universitas '</w:t>
      </w:r>
      <w:proofErr w:type="spellStart"/>
      <w:r>
        <w:rPr>
          <w:highlight w:val="yellow"/>
        </w:rPr>
        <w:t>Aisyiyah</w:t>
      </w:r>
      <w:proofErr w:type="spellEnd"/>
      <w:r>
        <w:rPr>
          <w:highlight w:val="yellow"/>
        </w:rPr>
        <w:t xml:space="preserve"> Yogyakarta (No. 4965/KEP-UNISA/XII/2025) on 5 December 2025. The approved protocol included a two-stage verbal informed-consent procedure. Participants first received a face-to-face explanation of the study and later reconfirmed consent immediately before the online interview; explicit verbal consent was audio-recorded. The consent procedure was developed with reference to WHO ethics-review standards and the CIOMS 2016 guidelines [76,77].</w:t>
      </w:r>
    </w:p>
    <w:p w14:paraId="7D40CFD3" w14:textId="77777777" w:rsidR="0027146C" w:rsidRDefault="00000000">
      <w:r>
        <w:rPr>
          <w:b/>
          <w:highlight w:val="yellow"/>
        </w:rPr>
        <w:t>HUMAN AND ANIMAL RIGHTS</w:t>
      </w:r>
    </w:p>
    <w:p w14:paraId="3A71C0B2" w14:textId="77777777" w:rsidR="0027146C" w:rsidRDefault="00000000">
      <w:pPr>
        <w:pStyle w:val="05-ArticleText"/>
        <w:keepNext/>
      </w:pPr>
      <w:r>
        <w:rPr>
          <w:highlight w:val="yellow"/>
        </w:rPr>
        <w:t>This non-interventional qualitative study involved adult human participants. Ethical review and approval preceded recruitment and data collection. The study was conducted in accordance with the Declaration of Helsinki and applicable institutional ethical standards, with additional reference to WHO 2011 ethics-review standards and CIOMS 2016 guidance [76,77]. No animals were involved in the study.</w:t>
      </w:r>
    </w:p>
    <w:p w14:paraId="38FA4DFF" w14:textId="77777777" w:rsidR="0027146C" w:rsidRDefault="0027146C">
      <w:pPr>
        <w:pStyle w:val="05-ArticleText"/>
      </w:pPr>
    </w:p>
    <w:p w14:paraId="758F0799" w14:textId="77777777" w:rsidR="0027146C" w:rsidRDefault="00000000">
      <w:pPr>
        <w:pStyle w:val="06-Heading-1"/>
        <w:keepNext/>
      </w:pPr>
      <w:r>
        <w:lastRenderedPageBreak/>
        <w:t>CONSENT FOR PUBLICATION</w:t>
      </w:r>
    </w:p>
    <w:p w14:paraId="0B23823B" w14:textId="77777777" w:rsidR="0027146C" w:rsidRDefault="00000000">
      <w:pPr>
        <w:pStyle w:val="05-ArticleText"/>
      </w:pPr>
      <w:r>
        <w:t>No directly identifying personal material is included in this manuscript. Participant quotations are presented anonymously using study identifiers. Verbal informed consent for study participation and interview recording was obtained as described above; no photographs, videos, names, or other directly identifying materials are presented.</w:t>
      </w:r>
    </w:p>
    <w:p w14:paraId="6C47B878" w14:textId="77777777" w:rsidR="0027146C" w:rsidRDefault="00000000">
      <w:pPr>
        <w:pStyle w:val="06-Heading-1"/>
        <w:keepNext/>
      </w:pPr>
      <w:r>
        <w:t>STANDARDS OF REPORTING</w:t>
      </w:r>
    </w:p>
    <w:p w14:paraId="167CC5CA" w14:textId="77777777" w:rsidR="0027146C" w:rsidRDefault="00000000">
      <w:pPr>
        <w:pStyle w:val="05-ArticleText"/>
      </w:pPr>
      <w:r>
        <w:t>The manuscript was prepared with reference to the Consolidated Criteria for Reporting Qualitative Research (COREQ) [34]. Sex- and gender-related terminology, analysis, and interpretation were also reviewed in line with SAGER principles. Reporting items not documented in the study records were not inferred or retrospectively invented.</w:t>
      </w:r>
    </w:p>
    <w:p w14:paraId="4BBC82F7" w14:textId="77777777" w:rsidR="0027146C" w:rsidRDefault="00000000">
      <w:pPr>
        <w:pStyle w:val="06-Heading-1"/>
        <w:keepNext/>
      </w:pPr>
      <w:r>
        <w:t>AVAILABILITY OF DATA AND MATERIALS</w:t>
      </w:r>
    </w:p>
    <w:p w14:paraId="19F91A7F" w14:textId="77777777" w:rsidR="0027146C" w:rsidRDefault="00000000">
      <w:pPr>
        <w:pStyle w:val="05-ArticleText"/>
      </w:pPr>
      <w:r>
        <w:t>Anonymized interview transcripts supporting the findings may be available from the corresponding author upon reasonable request, subject to participant confidentiality, ethical commitments, and institutional requirements.</w:t>
      </w:r>
    </w:p>
    <w:p w14:paraId="047A28AC" w14:textId="77777777" w:rsidR="0027146C" w:rsidRDefault="00000000">
      <w:pPr>
        <w:pStyle w:val="06-Heading-1"/>
        <w:keepNext/>
      </w:pPr>
      <w:r>
        <w:t>FUNDING</w:t>
      </w:r>
    </w:p>
    <w:p w14:paraId="5D76FA3E" w14:textId="77777777" w:rsidR="0027146C" w:rsidRDefault="00000000">
      <w:pPr>
        <w:pStyle w:val="05-ArticleText"/>
      </w:pPr>
      <w:r>
        <w:t>This research was funded by the Center for Women, Family, and Disaster Studies (PSPKB), Universitas ‘</w:t>
      </w:r>
      <w:proofErr w:type="spellStart"/>
      <w:r>
        <w:t>Aisyiyah</w:t>
      </w:r>
      <w:proofErr w:type="spellEnd"/>
      <w:r>
        <w:t xml:space="preserve"> Yogyakarta. The interpretations and conclusions presented in this manuscript are the responsibility of the authors and do not necessarily represent the position of the funding center.</w:t>
      </w:r>
    </w:p>
    <w:p w14:paraId="386AF95C" w14:textId="77777777" w:rsidR="0027146C" w:rsidRDefault="00000000">
      <w:pPr>
        <w:pStyle w:val="06-Heading-1"/>
        <w:keepNext/>
      </w:pPr>
      <w:r>
        <w:t>CONFLICT OF INTEREST</w:t>
      </w:r>
    </w:p>
    <w:p w14:paraId="7AED1A48" w14:textId="77777777" w:rsidR="0027146C" w:rsidRDefault="00000000">
      <w:pPr>
        <w:pStyle w:val="05-ArticleText"/>
      </w:pPr>
      <w:r>
        <w:t>The authors confirm that there is no conflict of interest related to this manuscript.</w:t>
      </w:r>
    </w:p>
    <w:p w14:paraId="75163084" w14:textId="77777777" w:rsidR="0027146C" w:rsidRDefault="00000000">
      <w:pPr>
        <w:pStyle w:val="06-Heading-1"/>
        <w:keepNext/>
      </w:pPr>
      <w:r>
        <w:t>ACKNOWLEDGEMENTS</w:t>
      </w:r>
    </w:p>
    <w:p w14:paraId="6F503B99" w14:textId="77777777" w:rsidR="0027146C" w:rsidRDefault="00000000">
      <w:pPr>
        <w:pStyle w:val="05-ArticleText"/>
      </w:pPr>
      <w:r>
        <w:t>The authors thank all women who shared their experiences of the 2006 Bantul earthquake and the local field assistants who supported secure digital access and follow-up communication.</w:t>
      </w:r>
    </w:p>
    <w:p w14:paraId="740B6254" w14:textId="77777777" w:rsidR="0027146C" w:rsidRDefault="00000000">
      <w:pPr>
        <w:pStyle w:val="06-Heading-1"/>
        <w:keepNext/>
      </w:pPr>
      <w:r>
        <w:t>REFERENCES</w:t>
      </w:r>
    </w:p>
    <w:p w14:paraId="73C81331" w14:textId="77777777" w:rsidR="0027146C" w:rsidRDefault="00000000">
      <w:pPr>
        <w:pStyle w:val="05-ArticleText"/>
        <w:spacing w:after="40"/>
        <w:ind w:left="259" w:hanging="259"/>
      </w:pPr>
      <w:r>
        <w:t xml:space="preserve">1. Galea S, Nandi A, </w:t>
      </w:r>
      <w:proofErr w:type="spellStart"/>
      <w:r>
        <w:t>Vlahov</w:t>
      </w:r>
      <w:proofErr w:type="spellEnd"/>
      <w:r>
        <w:t xml:space="preserve"> D. The epidemiology of post-traumatic stress disorder after disasters. Epidemiol Rev. </w:t>
      </w:r>
      <w:proofErr w:type="gramStart"/>
      <w:r>
        <w:t>2005;27:78</w:t>
      </w:r>
      <w:proofErr w:type="gramEnd"/>
      <w:r>
        <w:t>–91. doi:10.1093/</w:t>
      </w:r>
      <w:proofErr w:type="spellStart"/>
      <w:r>
        <w:t>epirev</w:t>
      </w:r>
      <w:proofErr w:type="spellEnd"/>
      <w:r>
        <w:t>/mxi003.</w:t>
      </w:r>
    </w:p>
    <w:p w14:paraId="5D95478B" w14:textId="77777777" w:rsidR="0027146C" w:rsidRDefault="00000000">
      <w:pPr>
        <w:pStyle w:val="05-ArticleText"/>
        <w:spacing w:after="40"/>
        <w:ind w:left="259" w:hanging="259"/>
      </w:pPr>
      <w:r>
        <w:t xml:space="preserve">2. Goldmann E, Galea S. Mental health consequences of disasters. Annu Rev Public Health. </w:t>
      </w:r>
      <w:proofErr w:type="gramStart"/>
      <w:r>
        <w:t>2014;35:169</w:t>
      </w:r>
      <w:proofErr w:type="gramEnd"/>
      <w:r>
        <w:t>–183. doi:10.1146/annurev-publhealth-032013-182435.</w:t>
      </w:r>
    </w:p>
    <w:p w14:paraId="42E68C5E" w14:textId="77777777" w:rsidR="0027146C" w:rsidRDefault="00000000" w:rsidP="00716DF8">
      <w:pPr>
        <w:jc w:val="both"/>
      </w:pPr>
      <w:r>
        <w:rPr>
          <w:highlight w:val="yellow"/>
        </w:rPr>
        <w:t xml:space="preserve">3. Neumayer E, </w:t>
      </w:r>
      <w:proofErr w:type="spellStart"/>
      <w:r>
        <w:rPr>
          <w:highlight w:val="yellow"/>
        </w:rPr>
        <w:t>Plümper</w:t>
      </w:r>
      <w:proofErr w:type="spellEnd"/>
      <w:r>
        <w:rPr>
          <w:highlight w:val="yellow"/>
        </w:rPr>
        <w:t xml:space="preserve"> T. The gendered nature of natural disasters: the impact of catastrophic events on the gender gap in life expectancy, 1981-2002. Ann Assoc Am </w:t>
      </w:r>
      <w:proofErr w:type="spellStart"/>
      <w:r>
        <w:rPr>
          <w:highlight w:val="yellow"/>
        </w:rPr>
        <w:t>Geogr</w:t>
      </w:r>
      <w:proofErr w:type="spellEnd"/>
      <w:r>
        <w:rPr>
          <w:highlight w:val="yellow"/>
        </w:rPr>
        <w:t>. 2007;97(3):551-566. doi:10.1111/j.1467-8306.2007.</w:t>
      </w:r>
      <w:proofErr w:type="gramStart"/>
      <w:r>
        <w:rPr>
          <w:highlight w:val="yellow"/>
        </w:rPr>
        <w:t>00563.x.</w:t>
      </w:r>
      <w:proofErr w:type="gramEnd"/>
    </w:p>
    <w:p w14:paraId="21A3C911" w14:textId="77777777" w:rsidR="0027146C" w:rsidRDefault="00000000" w:rsidP="00716DF8">
      <w:pPr>
        <w:pStyle w:val="05-ArticleText"/>
        <w:spacing w:after="40"/>
        <w:ind w:left="259" w:hanging="259"/>
      </w:pPr>
      <w:r>
        <w:rPr>
          <w:highlight w:val="yellow"/>
        </w:rPr>
        <w:t>4. Enarson E, Chakrabarti PGD, editors. Women, Gender and Disaster: Global Issues and Initiatives. New Delhi: SAGE Publications; 2009.</w:t>
      </w:r>
    </w:p>
    <w:p w14:paraId="23655FA1" w14:textId="77777777" w:rsidR="0027146C" w:rsidRDefault="00000000">
      <w:pPr>
        <w:pStyle w:val="05-ArticleText"/>
        <w:spacing w:after="40"/>
        <w:ind w:left="259" w:hanging="259"/>
      </w:pPr>
      <w:r>
        <w:t xml:space="preserve">5. Arora-Jonsson S. Virtue and vulnerability: discourses on women, gender and climate change. Glob Environ Change. 2011;21(2):744–751. </w:t>
      </w:r>
      <w:proofErr w:type="gramStart"/>
      <w:r>
        <w:t>doi:10.1016/j.gloenvcha</w:t>
      </w:r>
      <w:proofErr w:type="gramEnd"/>
      <w:r>
        <w:t>.2011.01.005.</w:t>
      </w:r>
    </w:p>
    <w:p w14:paraId="03125DC9" w14:textId="77777777" w:rsidR="0027146C" w:rsidRDefault="00000000">
      <w:pPr>
        <w:pStyle w:val="05-ArticleText"/>
        <w:spacing w:after="40"/>
        <w:ind w:left="259" w:hanging="259"/>
      </w:pPr>
      <w:r>
        <w:t>6. Bradshaw S. Gender, Development and Disasters. Cheltenham: Edward Elgar Publishing; 2013. doi:10.4337/9781782548232.</w:t>
      </w:r>
    </w:p>
    <w:p w14:paraId="72A4A7A2" w14:textId="77777777" w:rsidR="0027146C" w:rsidRDefault="00000000">
      <w:pPr>
        <w:pStyle w:val="05-ArticleText"/>
        <w:spacing w:after="40"/>
        <w:ind w:left="259" w:hanging="259"/>
      </w:pPr>
      <w:r>
        <w:t xml:space="preserve">7. Sommer M, </w:t>
      </w:r>
      <w:proofErr w:type="spellStart"/>
      <w:r>
        <w:t>Chandraratna</w:t>
      </w:r>
      <w:proofErr w:type="spellEnd"/>
      <w:r>
        <w:t xml:space="preserve"> S, Cavill S, Mahon T, Phillips-Howard P. Managing menstruation in the workplace: an overlooked issue in low- and middle-income countries. Int J Equity Health. </w:t>
      </w:r>
      <w:proofErr w:type="gramStart"/>
      <w:r>
        <w:t>2016;15:86</w:t>
      </w:r>
      <w:proofErr w:type="gramEnd"/>
      <w:r>
        <w:t>. doi:10.1186/s12939-016-0379-8.</w:t>
      </w:r>
    </w:p>
    <w:p w14:paraId="31BFD3DC" w14:textId="77777777" w:rsidR="0027146C" w:rsidRDefault="00000000">
      <w:pPr>
        <w:pStyle w:val="05-ArticleText"/>
        <w:spacing w:after="40"/>
        <w:ind w:left="259" w:hanging="259"/>
      </w:pPr>
      <w:r>
        <w:t xml:space="preserve">8. Chaudhary P, Vallese G, Thapa M, Alvarez VB, Pradhan LM, Bajracharya K, et al. Humanitarian response to reproductive and sexual health needs in a disaster: the 2015 Nepal earthquake case study. </w:t>
      </w:r>
      <w:proofErr w:type="spellStart"/>
      <w:r>
        <w:t>Reprod</w:t>
      </w:r>
      <w:proofErr w:type="spellEnd"/>
      <w:r>
        <w:t xml:space="preserve"> Health Matters. 2017;25(51):25–39. doi:10.1080/09688080.2017.1405664.</w:t>
      </w:r>
    </w:p>
    <w:p w14:paraId="272F7FF5" w14:textId="77777777" w:rsidR="0027146C" w:rsidRDefault="00000000">
      <w:pPr>
        <w:pStyle w:val="05-ArticleText"/>
        <w:spacing w:after="40"/>
        <w:ind w:left="259" w:hanging="259"/>
      </w:pPr>
      <w:r>
        <w:t>9. Thurston AM, Stöckl H, Ranganathan M. Natural hazards, disasters and violence against women and girls: a global mixed-methods systematic review. BMJ Glob Health. 2021;6(5</w:t>
      </w:r>
      <w:proofErr w:type="gramStart"/>
      <w:r>
        <w:t>):e</w:t>
      </w:r>
      <w:proofErr w:type="gramEnd"/>
      <w:r>
        <w:t>004377. doi:10.1136/bmjgh-2020-004377.</w:t>
      </w:r>
    </w:p>
    <w:p w14:paraId="644C9618" w14:textId="77777777" w:rsidR="0027146C" w:rsidRDefault="00000000">
      <w:pPr>
        <w:pStyle w:val="05-ArticleText"/>
        <w:spacing w:after="40"/>
        <w:ind w:left="259" w:hanging="259"/>
      </w:pPr>
      <w:r>
        <w:t xml:space="preserve">10. Muñoz-Nieves C, Greaves L, Huber E, </w:t>
      </w:r>
      <w:proofErr w:type="spellStart"/>
      <w:r>
        <w:t>Brabete</w:t>
      </w:r>
      <w:proofErr w:type="spellEnd"/>
      <w:r>
        <w:t xml:space="preserve"> AC, Wolfson L, Poole N. Sex and gender influences on the impacts of disasters: a rapid review of evidence. Int J Environ Res Public Health. 2025;22(9):1417. doi:10.3390/ijerph22091417.</w:t>
      </w:r>
    </w:p>
    <w:p w14:paraId="69270A7B" w14:textId="77777777" w:rsidR="0027146C" w:rsidRDefault="00000000">
      <w:r>
        <w:rPr>
          <w:highlight w:val="yellow"/>
        </w:rPr>
        <w:t>11. Gaillard JC, Sanz K, Balgos BC, Dalisay SNM, Gorman-Murray A, Smith F, et al. Beyond men and women: a critical perspective on gender and disaster. Disasters. 2017;41(3):429-447. doi:10.1111/disa.12209.</w:t>
      </w:r>
    </w:p>
    <w:p w14:paraId="19CA02E1" w14:textId="77777777" w:rsidR="0027146C" w:rsidRDefault="00000000">
      <w:pPr>
        <w:pStyle w:val="05-ArticleText"/>
        <w:spacing w:after="40"/>
        <w:ind w:left="259" w:hanging="259"/>
      </w:pPr>
      <w:r>
        <w:rPr>
          <w:highlight w:val="yellow"/>
        </w:rPr>
        <w:t>12. BAPPENAS, Provincial and Local Governments of D.I. Yogyakarta and Central Java, and International Partners. Preliminary Damage and Loss Assessment: Yogyakarta and Central Java Natural Disaster. Jakarta: National Development Planning Agency; 2006. Available from: https://www.adb.org/publications/preliminary-damage-and-loss-assessment-yogyakarta-and-central-java-natural-disaster</w:t>
      </w:r>
    </w:p>
    <w:p w14:paraId="75DD1E51" w14:textId="77777777" w:rsidR="0027146C" w:rsidRDefault="00000000">
      <w:pPr>
        <w:pStyle w:val="05-ArticleText"/>
        <w:spacing w:after="40"/>
        <w:ind w:left="259" w:hanging="259"/>
      </w:pPr>
      <w:r>
        <w:rPr>
          <w:highlight w:val="yellow"/>
        </w:rPr>
        <w:t>13. World Bank. More Than Mainstreaming: Promoting Gender Equality and Empowering Women Through Post-Disaster Reconstruction. MDF-JRF Working Paper Series No. 4. Washington, DC: World Bank; 2012. Report No. 83902.</w:t>
      </w:r>
    </w:p>
    <w:p w14:paraId="3EE10C8D" w14:textId="77777777" w:rsidR="0027146C" w:rsidRDefault="00000000">
      <w:pPr>
        <w:pStyle w:val="05-ArticleText"/>
        <w:spacing w:after="40"/>
        <w:ind w:left="259" w:hanging="259"/>
      </w:pPr>
      <w:r>
        <w:rPr>
          <w:highlight w:val="yellow"/>
        </w:rPr>
        <w:t xml:space="preserve">14. </w:t>
      </w:r>
      <w:proofErr w:type="spellStart"/>
      <w:r>
        <w:rPr>
          <w:highlight w:val="yellow"/>
        </w:rPr>
        <w:t>Anantasari</w:t>
      </w:r>
      <w:proofErr w:type="spellEnd"/>
      <w:r>
        <w:rPr>
          <w:highlight w:val="yellow"/>
        </w:rPr>
        <w:t xml:space="preserve"> E, Davies S. Gender-sensitive disaster risk reduction in Indonesia. Lower Hutt, New Zealand: GNS Science; 2019. International Consultancy Report 2019/11.</w:t>
      </w:r>
    </w:p>
    <w:p w14:paraId="5AAB5244" w14:textId="77777777" w:rsidR="0027146C" w:rsidRDefault="00000000">
      <w:pPr>
        <w:pStyle w:val="05-ArticleText"/>
        <w:spacing w:after="40"/>
        <w:ind w:left="259" w:hanging="259"/>
      </w:pPr>
      <w:r>
        <w:rPr>
          <w:highlight w:val="yellow"/>
        </w:rPr>
        <w:t>15. National Disaster Management Agency of Indonesia (BNPB). Regulation of the Head of the National Disaster Management Agency No. 13 of 2014 on Gender Mainstreaming in Disaster Management. Jakarta: BNPB; 2014.</w:t>
      </w:r>
    </w:p>
    <w:p w14:paraId="797FDAC2" w14:textId="77777777" w:rsidR="0027146C" w:rsidRDefault="00000000">
      <w:pPr>
        <w:pStyle w:val="05-ArticleText"/>
        <w:spacing w:after="40"/>
        <w:ind w:left="259" w:hanging="259"/>
      </w:pPr>
      <w:r>
        <w:rPr>
          <w:highlight w:val="yellow"/>
        </w:rPr>
        <w:t>16. Women's Refugee Commission, Inter-Agency Working Group on Reproductive Health in Crises. Minimum Initial Service Package (MISP) for Sexual and Reproductive Health in Crisis Situations: A Distance Learning Module. New York: Women's Refugee Commission/IAWG; 2020.</w:t>
      </w:r>
    </w:p>
    <w:p w14:paraId="38F83F6F" w14:textId="77777777" w:rsidR="0027146C" w:rsidRDefault="00000000">
      <w:pPr>
        <w:pStyle w:val="05-ArticleText"/>
        <w:spacing w:after="40"/>
        <w:ind w:left="259" w:hanging="259"/>
      </w:pPr>
      <w:r>
        <w:rPr>
          <w:highlight w:val="yellow"/>
        </w:rPr>
        <w:t xml:space="preserve">17. UNFPA Indonesia, Association of Indonesian Public Health Higher Education Institutions (AIPTKMI), Ministry of Health of the Republic of Indonesia. </w:t>
      </w:r>
      <w:proofErr w:type="spellStart"/>
      <w:r>
        <w:rPr>
          <w:highlight w:val="yellow"/>
        </w:rPr>
        <w:t>Buku</w:t>
      </w:r>
      <w:proofErr w:type="spellEnd"/>
      <w:r>
        <w:rPr>
          <w:highlight w:val="yellow"/>
        </w:rPr>
        <w:t xml:space="preserve"> Ajar Kesehatan </w:t>
      </w:r>
      <w:proofErr w:type="spellStart"/>
      <w:r>
        <w:rPr>
          <w:highlight w:val="yellow"/>
        </w:rPr>
        <w:t>Reproduksi</w:t>
      </w:r>
      <w:proofErr w:type="spellEnd"/>
      <w:r>
        <w:rPr>
          <w:highlight w:val="yellow"/>
        </w:rPr>
        <w:t xml:space="preserve"> pada </w:t>
      </w:r>
      <w:proofErr w:type="spellStart"/>
      <w:r>
        <w:rPr>
          <w:highlight w:val="yellow"/>
        </w:rPr>
        <w:t>Situasi</w:t>
      </w:r>
      <w:proofErr w:type="spellEnd"/>
      <w:r>
        <w:rPr>
          <w:highlight w:val="yellow"/>
        </w:rPr>
        <w:t xml:space="preserve"> </w:t>
      </w:r>
      <w:proofErr w:type="spellStart"/>
      <w:r>
        <w:rPr>
          <w:highlight w:val="yellow"/>
        </w:rPr>
        <w:t>Krisis</w:t>
      </w:r>
      <w:proofErr w:type="spellEnd"/>
      <w:r>
        <w:rPr>
          <w:highlight w:val="yellow"/>
        </w:rPr>
        <w:t xml:space="preserve"> Kesehatan: Paket </w:t>
      </w:r>
      <w:proofErr w:type="spellStart"/>
      <w:r>
        <w:rPr>
          <w:highlight w:val="yellow"/>
        </w:rPr>
        <w:t>Pelayanan</w:t>
      </w:r>
      <w:proofErr w:type="spellEnd"/>
      <w:r>
        <w:rPr>
          <w:highlight w:val="yellow"/>
        </w:rPr>
        <w:t xml:space="preserve"> Awal Minimum (PPAM) </w:t>
      </w:r>
      <w:r>
        <w:rPr>
          <w:highlight w:val="yellow"/>
        </w:rPr>
        <w:lastRenderedPageBreak/>
        <w:t xml:space="preserve">Kesehatan </w:t>
      </w:r>
      <w:proofErr w:type="spellStart"/>
      <w:r>
        <w:rPr>
          <w:highlight w:val="yellow"/>
        </w:rPr>
        <w:t>Reproduksi</w:t>
      </w:r>
      <w:proofErr w:type="spellEnd"/>
      <w:r>
        <w:rPr>
          <w:highlight w:val="yellow"/>
        </w:rPr>
        <w:t xml:space="preserve"> pada </w:t>
      </w:r>
      <w:proofErr w:type="spellStart"/>
      <w:r>
        <w:rPr>
          <w:highlight w:val="yellow"/>
        </w:rPr>
        <w:t>Situasi</w:t>
      </w:r>
      <w:proofErr w:type="spellEnd"/>
      <w:r>
        <w:rPr>
          <w:highlight w:val="yellow"/>
        </w:rPr>
        <w:t xml:space="preserve"> </w:t>
      </w:r>
      <w:proofErr w:type="spellStart"/>
      <w:r>
        <w:rPr>
          <w:highlight w:val="yellow"/>
        </w:rPr>
        <w:t>Krisis</w:t>
      </w:r>
      <w:proofErr w:type="spellEnd"/>
      <w:r>
        <w:rPr>
          <w:highlight w:val="yellow"/>
        </w:rPr>
        <w:t xml:space="preserve"> Kesehatan, Seri B. Jakarta: UNFPA Indonesia; 2026.</w:t>
      </w:r>
    </w:p>
    <w:p w14:paraId="26A66203" w14:textId="77777777" w:rsidR="0027146C" w:rsidRDefault="00000000">
      <w:pPr>
        <w:pStyle w:val="05-ArticleText"/>
        <w:spacing w:after="40"/>
        <w:ind w:left="259" w:hanging="259"/>
      </w:pPr>
      <w:r>
        <w:rPr>
          <w:highlight w:val="yellow"/>
        </w:rPr>
        <w:t>18. Sphere Association. The Sphere Handbook: Humanitarian Charter and Minimum Standards in Humanitarian Response. 4th ed. Geneva: Sphere Association; 2018.</w:t>
      </w:r>
    </w:p>
    <w:p w14:paraId="580ADB04" w14:textId="77777777" w:rsidR="0027146C" w:rsidRDefault="00000000">
      <w:pPr>
        <w:pStyle w:val="05-ArticleText"/>
        <w:spacing w:after="40"/>
        <w:ind w:left="259" w:hanging="259"/>
      </w:pPr>
      <w:r>
        <w:t>19. United Nations Office for Disaster Risk Reduction. Global Assessment Report on Disaster Risk Reduction 2019. Geneva: UNDRR; 2019.</w:t>
      </w:r>
    </w:p>
    <w:p w14:paraId="3380FEB2" w14:textId="77777777" w:rsidR="0027146C" w:rsidRDefault="00000000">
      <w:pPr>
        <w:pStyle w:val="05-ArticleText"/>
        <w:spacing w:after="40"/>
        <w:ind w:left="259" w:hanging="259"/>
      </w:pPr>
      <w:r>
        <w:t xml:space="preserve">20. </w:t>
      </w:r>
      <w:proofErr w:type="spellStart"/>
      <w:r>
        <w:t>Labrague</w:t>
      </w:r>
      <w:proofErr w:type="spellEnd"/>
      <w:r>
        <w:t xml:space="preserve"> LJ, Hammad K, Gloe DS, et al. Disaster preparedness among nurses: a systematic review of literature. Int Nurs Rev. 2018;65(1):41-53. doi:10.1111/inr.12369.</w:t>
      </w:r>
    </w:p>
    <w:p w14:paraId="76B7CF1F" w14:textId="77777777" w:rsidR="0027146C" w:rsidRDefault="00000000">
      <w:pPr>
        <w:pStyle w:val="05-ArticleText"/>
        <w:spacing w:after="40"/>
        <w:ind w:left="259" w:hanging="259"/>
      </w:pPr>
      <w:r>
        <w:t xml:space="preserve">21. Said NB, Chiang VCL. The knowledge, skill competencies, and psychological preparedness of nurses for disasters: a systematic review. Int Emerg Nurs. </w:t>
      </w:r>
      <w:proofErr w:type="gramStart"/>
      <w:r>
        <w:t>2020;48:100806</w:t>
      </w:r>
      <w:proofErr w:type="gramEnd"/>
      <w:r>
        <w:t xml:space="preserve">. </w:t>
      </w:r>
      <w:proofErr w:type="gramStart"/>
      <w:r>
        <w:t>doi:10.1016/j.ienj</w:t>
      </w:r>
      <w:proofErr w:type="gramEnd"/>
      <w:r>
        <w:t>.2019.100806.</w:t>
      </w:r>
    </w:p>
    <w:p w14:paraId="0491DE03" w14:textId="77777777" w:rsidR="0027146C" w:rsidRDefault="00000000">
      <w:pPr>
        <w:pStyle w:val="05-ArticleText"/>
        <w:spacing w:after="40"/>
        <w:ind w:left="259" w:hanging="259"/>
      </w:pPr>
      <w:r>
        <w:t xml:space="preserve">22. Al </w:t>
      </w:r>
      <w:proofErr w:type="spellStart"/>
      <w:r>
        <w:t>Thobaity</w:t>
      </w:r>
      <w:proofErr w:type="spellEnd"/>
      <w:r>
        <w:t xml:space="preserve"> A, Plummer V, Williams B. What are the most common domains of the core competencies of disaster nursing? A scoping review. Int Emerg Nurs. </w:t>
      </w:r>
      <w:proofErr w:type="gramStart"/>
      <w:r>
        <w:t>2017;31:64</w:t>
      </w:r>
      <w:proofErr w:type="gramEnd"/>
      <w:r>
        <w:t xml:space="preserve">-71. </w:t>
      </w:r>
      <w:proofErr w:type="gramStart"/>
      <w:r>
        <w:t>doi:10.1016/j.ienj</w:t>
      </w:r>
      <w:proofErr w:type="gramEnd"/>
      <w:r>
        <w:t>.2016.10.003.</w:t>
      </w:r>
    </w:p>
    <w:p w14:paraId="6AFED568" w14:textId="77777777" w:rsidR="0027146C" w:rsidRDefault="00000000">
      <w:pPr>
        <w:pStyle w:val="05-ArticleText"/>
        <w:spacing w:after="40"/>
        <w:ind w:left="259" w:hanging="259"/>
      </w:pPr>
      <w:r>
        <w:t xml:space="preserve">23. Hutton A, Veenema TG, Gebbie K. Review of the International Council of Nurses (ICN) Framework of Disaster Nursing Competencies. </w:t>
      </w:r>
      <w:proofErr w:type="spellStart"/>
      <w:r>
        <w:t>Prehosp</w:t>
      </w:r>
      <w:proofErr w:type="spellEnd"/>
      <w:r>
        <w:t xml:space="preserve"> Disaster Med. 2016;31(6):680-683. doi:10.1017/S1049023X1600100X.</w:t>
      </w:r>
    </w:p>
    <w:p w14:paraId="4D4DD916" w14:textId="77777777" w:rsidR="0027146C" w:rsidRDefault="00000000">
      <w:pPr>
        <w:pStyle w:val="05-ArticleText"/>
        <w:spacing w:after="40"/>
        <w:ind w:left="259" w:hanging="259"/>
      </w:pPr>
      <w:r>
        <w:t xml:space="preserve">24. </w:t>
      </w:r>
      <w:proofErr w:type="spellStart"/>
      <w:r>
        <w:t>Labrague</w:t>
      </w:r>
      <w:proofErr w:type="spellEnd"/>
      <w:r>
        <w:t xml:space="preserve"> LJ, Hammad K. Disaster preparedness among nurses in disaster-prone countries: a systematic review. </w:t>
      </w:r>
      <w:proofErr w:type="spellStart"/>
      <w:r>
        <w:t>Australas</w:t>
      </w:r>
      <w:proofErr w:type="spellEnd"/>
      <w:r>
        <w:t xml:space="preserve"> Emerg Care. 2024;27(2):88-96. </w:t>
      </w:r>
      <w:proofErr w:type="gramStart"/>
      <w:r>
        <w:t>doi:10.1016/j.auec</w:t>
      </w:r>
      <w:proofErr w:type="gramEnd"/>
      <w:r>
        <w:t>.2023.09.002.</w:t>
      </w:r>
    </w:p>
    <w:p w14:paraId="3E8E06D2" w14:textId="77777777" w:rsidR="0027146C" w:rsidRDefault="00000000">
      <w:pPr>
        <w:pStyle w:val="05-ArticleText"/>
        <w:spacing w:after="40"/>
        <w:ind w:left="259" w:hanging="259"/>
      </w:pPr>
      <w:r>
        <w:t xml:space="preserve">25. Singh NS, Smith J, </w:t>
      </w:r>
      <w:proofErr w:type="spellStart"/>
      <w:r>
        <w:t>Aryasinghe</w:t>
      </w:r>
      <w:proofErr w:type="spellEnd"/>
      <w:r>
        <w:t xml:space="preserve"> S, Khosla R, Say L, Blanchet K. Evaluating the effectiveness of sexual and reproductive health services during humanitarian crises: a systematic review. </w:t>
      </w:r>
      <w:proofErr w:type="spellStart"/>
      <w:r>
        <w:t>PLoS</w:t>
      </w:r>
      <w:proofErr w:type="spellEnd"/>
      <w:r>
        <w:t xml:space="preserve"> One. 2018;13(7</w:t>
      </w:r>
      <w:proofErr w:type="gramStart"/>
      <w:r>
        <w:t>):e</w:t>
      </w:r>
      <w:proofErr w:type="gramEnd"/>
      <w:r>
        <w:t xml:space="preserve">0199300. </w:t>
      </w:r>
      <w:proofErr w:type="gramStart"/>
      <w:r>
        <w:t>doi:10.1371/journal.pone</w:t>
      </w:r>
      <w:proofErr w:type="gramEnd"/>
      <w:r>
        <w:t>.0199300.</w:t>
      </w:r>
    </w:p>
    <w:p w14:paraId="69A87A5B" w14:textId="77777777" w:rsidR="0027146C" w:rsidRDefault="00000000">
      <w:pPr>
        <w:pStyle w:val="05-ArticleText"/>
        <w:spacing w:after="40"/>
        <w:ind w:left="259" w:hanging="259"/>
      </w:pPr>
      <w:r>
        <w:t>26. Warren E, Post N, Hossain M, Blanchet K, Roberts B. Systematic review of the evidence on the effectiveness of sexual and reproductive health interventions in humanitarian crises. BMJ Open. 2015;5(12</w:t>
      </w:r>
      <w:proofErr w:type="gramStart"/>
      <w:r>
        <w:t>):e</w:t>
      </w:r>
      <w:proofErr w:type="gramEnd"/>
      <w:r>
        <w:t>008226. doi:10.1136/bmjopen-2015-008226.</w:t>
      </w:r>
    </w:p>
    <w:p w14:paraId="7F6AED9D" w14:textId="77777777" w:rsidR="0027146C" w:rsidRDefault="00000000">
      <w:pPr>
        <w:pStyle w:val="05-ArticleText"/>
        <w:spacing w:after="40"/>
        <w:ind w:left="259" w:hanging="259"/>
      </w:pPr>
      <w:r>
        <w:t xml:space="preserve">27. Singh NS, </w:t>
      </w:r>
      <w:proofErr w:type="spellStart"/>
      <w:r>
        <w:t>Aryasinghe</w:t>
      </w:r>
      <w:proofErr w:type="spellEnd"/>
      <w:r>
        <w:t xml:space="preserve"> S, Smith J, Khosla R, Say L, Blanchet K. A long way to go: a systematic review to assess the </w:t>
      </w:r>
      <w:proofErr w:type="spellStart"/>
      <w:r>
        <w:t>utilisation</w:t>
      </w:r>
      <w:proofErr w:type="spellEnd"/>
      <w:r>
        <w:t xml:space="preserve"> of sexual and reproductive health services during humanitarian crises. BMJ Glob Health. 2018;3(2</w:t>
      </w:r>
      <w:proofErr w:type="gramStart"/>
      <w:r>
        <w:t>):e</w:t>
      </w:r>
      <w:proofErr w:type="gramEnd"/>
      <w:r>
        <w:t>000682. doi:10.1136/bmjgh-2017-000682.</w:t>
      </w:r>
    </w:p>
    <w:p w14:paraId="442AAA34" w14:textId="77777777" w:rsidR="0027146C" w:rsidRDefault="00000000">
      <w:pPr>
        <w:pStyle w:val="05-ArticleText"/>
        <w:spacing w:after="40"/>
        <w:ind w:left="259" w:hanging="259"/>
      </w:pPr>
      <w:r>
        <w:t xml:space="preserve">28. Stephens JH, Lassa JA. Sexual and reproductive health during disasters: a scoping review of the evidence. Int J Disaster Risk </w:t>
      </w:r>
      <w:proofErr w:type="spellStart"/>
      <w:r>
        <w:t>Reduct</w:t>
      </w:r>
      <w:proofErr w:type="spellEnd"/>
      <w:r>
        <w:t xml:space="preserve">. </w:t>
      </w:r>
      <w:proofErr w:type="gramStart"/>
      <w:r>
        <w:t>2020;50:101733</w:t>
      </w:r>
      <w:proofErr w:type="gramEnd"/>
      <w:r>
        <w:t xml:space="preserve">. </w:t>
      </w:r>
      <w:proofErr w:type="gramStart"/>
      <w:r>
        <w:t>doi:10.1016/j.ijdrr</w:t>
      </w:r>
      <w:proofErr w:type="gramEnd"/>
      <w:r>
        <w:t>.2020.101733.</w:t>
      </w:r>
    </w:p>
    <w:p w14:paraId="33D064A2" w14:textId="77777777" w:rsidR="0027146C" w:rsidRDefault="00000000">
      <w:pPr>
        <w:pStyle w:val="05-ArticleText"/>
        <w:spacing w:after="40"/>
        <w:ind w:left="259" w:hanging="259"/>
      </w:pPr>
      <w:r>
        <w:t xml:space="preserve">29. </w:t>
      </w:r>
      <w:proofErr w:type="spellStart"/>
      <w:r>
        <w:t>Malterud</w:t>
      </w:r>
      <w:proofErr w:type="spellEnd"/>
      <w:r>
        <w:t xml:space="preserve"> K, Siersma VD, Guassora AD. Sample size in qualitative interview studies: guided by information power. Qual Health Res. 2016;26(13):1753-1760. doi:10.1177/1049732315617444.</w:t>
      </w:r>
    </w:p>
    <w:p w14:paraId="5CB1693A" w14:textId="77777777" w:rsidR="0027146C" w:rsidRDefault="00000000">
      <w:pPr>
        <w:pStyle w:val="05-ArticleText"/>
        <w:spacing w:after="40"/>
        <w:ind w:left="259" w:hanging="259"/>
      </w:pPr>
      <w:r>
        <w:t xml:space="preserve">30. </w:t>
      </w:r>
      <w:proofErr w:type="spellStart"/>
      <w:r>
        <w:t>Hennink</w:t>
      </w:r>
      <w:proofErr w:type="spellEnd"/>
      <w:r>
        <w:t xml:space="preserve"> MM, Kaiser BN, Marconi VC. Code saturation versus meaning saturation: how many interviews are enough? Qual Health Res. 2017;27(4):591-608. doi:10.1177/1049732316665344.</w:t>
      </w:r>
    </w:p>
    <w:p w14:paraId="1D1EAFC3" w14:textId="77777777" w:rsidR="0027146C" w:rsidRDefault="00000000">
      <w:pPr>
        <w:pStyle w:val="05-ArticleText"/>
        <w:spacing w:after="40"/>
        <w:ind w:left="259" w:hanging="259"/>
      </w:pPr>
      <w:r>
        <w:t>31. Braun V, Clarke V. Using thematic analysis in psychology. Qual Res Psychol. 2006;3(2):77–101. doi:10.1191/1478088706qp063oa.</w:t>
      </w:r>
    </w:p>
    <w:p w14:paraId="3D498F93" w14:textId="77777777" w:rsidR="0027146C" w:rsidRDefault="00000000">
      <w:pPr>
        <w:pStyle w:val="05-ArticleText"/>
        <w:spacing w:after="40"/>
        <w:ind w:left="259" w:hanging="259"/>
      </w:pPr>
      <w:r>
        <w:t xml:space="preserve">32. Braun V, Clarke V. Reflecting on reflexive thematic analysis. Qual Res Sport </w:t>
      </w:r>
      <w:proofErr w:type="spellStart"/>
      <w:r>
        <w:t>Exerc</w:t>
      </w:r>
      <w:proofErr w:type="spellEnd"/>
      <w:r>
        <w:t xml:space="preserve"> Health. 2019;11(4):589–597. doi:10.1080/2159676X.2019.1628806.</w:t>
      </w:r>
    </w:p>
    <w:p w14:paraId="4A15DC09" w14:textId="77777777" w:rsidR="0027146C" w:rsidRDefault="00000000">
      <w:pPr>
        <w:pStyle w:val="05-ArticleText"/>
        <w:spacing w:after="40"/>
        <w:ind w:left="259" w:hanging="259"/>
      </w:pPr>
      <w:r>
        <w:t>33. Braun V, Clarke V. One size fits all? What counts as quality practice in (reflexive) thematic analysis? Qual Res Psychol. 2021;18(3):328-352. doi:10.1080/14780887.2020.1769238.</w:t>
      </w:r>
    </w:p>
    <w:p w14:paraId="43A712BF" w14:textId="77777777" w:rsidR="0027146C" w:rsidRDefault="00000000">
      <w:pPr>
        <w:pStyle w:val="05-ArticleText"/>
        <w:spacing w:after="40"/>
        <w:ind w:left="259" w:hanging="259"/>
      </w:pPr>
      <w:r>
        <w:t>34. Tong A, Sainsbury P, Craig J. Consolidated criteria for reporting qualitative research (COREQ): a 32-item checklist for interviews and focus groups. Int J Qual Health Care. 2007;19(6):349–357. doi:10.1093/</w:t>
      </w:r>
      <w:proofErr w:type="spellStart"/>
      <w:r>
        <w:t>intqhc</w:t>
      </w:r>
      <w:proofErr w:type="spellEnd"/>
      <w:r>
        <w:t>/mzm042.</w:t>
      </w:r>
    </w:p>
    <w:p w14:paraId="7B86FC2E" w14:textId="77777777" w:rsidR="0027146C" w:rsidRDefault="00000000">
      <w:pPr>
        <w:pStyle w:val="05-ArticleText"/>
        <w:spacing w:after="40"/>
        <w:ind w:left="259" w:hanging="259"/>
      </w:pPr>
      <w:r>
        <w:t xml:space="preserve">35. Nowell LS, Norris JM, White DE, Moules NJ. Thematic analysis: striving to meet the trustworthiness criteria. Int J Qual Methods. </w:t>
      </w:r>
      <w:proofErr w:type="gramStart"/>
      <w:r>
        <w:t>2017;16:1</w:t>
      </w:r>
      <w:proofErr w:type="gramEnd"/>
      <w:r>
        <w:t>-13. doi:10.1177/1609406917733847.</w:t>
      </w:r>
    </w:p>
    <w:p w14:paraId="048565E7" w14:textId="77777777" w:rsidR="0027146C" w:rsidRDefault="00000000">
      <w:pPr>
        <w:pStyle w:val="05-ArticleText"/>
        <w:spacing w:after="40"/>
        <w:ind w:left="259" w:hanging="259"/>
      </w:pPr>
      <w:r>
        <w:t xml:space="preserve">36. </w:t>
      </w:r>
      <w:proofErr w:type="spellStart"/>
      <w:r>
        <w:t>Korstjens</w:t>
      </w:r>
      <w:proofErr w:type="spellEnd"/>
      <w:r>
        <w:t xml:space="preserve"> I, Moser A. Series: practical guidance to qualitative research. Part 4: trustworthiness and publishing. </w:t>
      </w:r>
      <w:proofErr w:type="spellStart"/>
      <w:r>
        <w:t>Eur</w:t>
      </w:r>
      <w:proofErr w:type="spellEnd"/>
      <w:r>
        <w:t xml:space="preserve"> J Gen </w:t>
      </w:r>
      <w:proofErr w:type="spellStart"/>
      <w:r>
        <w:t>Pract</w:t>
      </w:r>
      <w:proofErr w:type="spellEnd"/>
      <w:r>
        <w:t>. 2018;24(1):120-124. doi:10.1080/13814788.2017.1375092.</w:t>
      </w:r>
    </w:p>
    <w:p w14:paraId="0CA305B2" w14:textId="77777777" w:rsidR="0027146C" w:rsidRDefault="00000000">
      <w:pPr>
        <w:pStyle w:val="05-ArticleText"/>
        <w:spacing w:after="40"/>
        <w:ind w:left="259" w:hanging="259"/>
      </w:pPr>
      <w:r>
        <w:t xml:space="preserve">37. Erman A, De Vries </w:t>
      </w:r>
      <w:proofErr w:type="spellStart"/>
      <w:r>
        <w:t>Robbé</w:t>
      </w:r>
      <w:proofErr w:type="spellEnd"/>
      <w:r>
        <w:t xml:space="preserve"> SA, Thies SF, Kabir K, Maruo M. Gender Dimensions of Disaster Risk and Resilience. Washington, DC: World Bank; 2021. doi:10.1596/35202.</w:t>
      </w:r>
    </w:p>
    <w:p w14:paraId="651E28AC" w14:textId="77777777" w:rsidR="0027146C" w:rsidRDefault="00000000">
      <w:pPr>
        <w:pStyle w:val="05-ArticleText"/>
        <w:spacing w:after="40"/>
        <w:ind w:left="259" w:hanging="259"/>
      </w:pPr>
      <w:r>
        <w:t xml:space="preserve">38. </w:t>
      </w:r>
      <w:proofErr w:type="spellStart"/>
      <w:r>
        <w:t>Sochas</w:t>
      </w:r>
      <w:proofErr w:type="spellEnd"/>
      <w:r>
        <w:t xml:space="preserve"> L, Channon AA, Nam S. Counting indirect crisis-related deaths in the context of a low-resilience health system: the case of maternal deaths during the Ebola epidemic. Health Policy Plan. 2017;32(Suppl 3</w:t>
      </w:r>
      <w:proofErr w:type="gramStart"/>
      <w:r>
        <w:t>):iii</w:t>
      </w:r>
      <w:proofErr w:type="gramEnd"/>
      <w:r>
        <w:t>32–iii39. doi:10.1093/</w:t>
      </w:r>
      <w:proofErr w:type="spellStart"/>
      <w:r>
        <w:t>heapol</w:t>
      </w:r>
      <w:proofErr w:type="spellEnd"/>
      <w:r>
        <w:t>/czx108.</w:t>
      </w:r>
    </w:p>
    <w:p w14:paraId="510B325D" w14:textId="77777777" w:rsidR="0027146C" w:rsidRDefault="00000000">
      <w:pPr>
        <w:pStyle w:val="05-ArticleText"/>
        <w:spacing w:after="40"/>
        <w:ind w:left="259" w:hanging="259"/>
      </w:pPr>
      <w:r>
        <w:t xml:space="preserve">39. Casey SE. Evaluations of reproductive health programs in humanitarian settings: a systematic review. </w:t>
      </w:r>
      <w:proofErr w:type="spellStart"/>
      <w:r>
        <w:t>Confl</w:t>
      </w:r>
      <w:proofErr w:type="spellEnd"/>
      <w:r>
        <w:t xml:space="preserve"> Health. 2015;9(Suppl 1</w:t>
      </w:r>
      <w:proofErr w:type="gramStart"/>
      <w:r>
        <w:t>):S</w:t>
      </w:r>
      <w:proofErr w:type="gramEnd"/>
      <w:r>
        <w:t>1. doi:10.1186/1752-1505-9-S1-S1.</w:t>
      </w:r>
    </w:p>
    <w:p w14:paraId="3597F87F" w14:textId="77777777" w:rsidR="0027146C" w:rsidRDefault="00000000">
      <w:pPr>
        <w:pStyle w:val="05-ArticleText"/>
        <w:spacing w:after="40"/>
        <w:ind w:left="259" w:hanging="259"/>
      </w:pPr>
      <w:r>
        <w:t xml:space="preserve">40. Schmitt ML, Clatworthy D, Ratnayake R, et al. Understanding the menstrual hygiene management challenges facing displaced girls and women: findings from qualitative assessments in Myanmar and Lebanon. </w:t>
      </w:r>
      <w:proofErr w:type="spellStart"/>
      <w:r>
        <w:t>Confl</w:t>
      </w:r>
      <w:proofErr w:type="spellEnd"/>
      <w:r>
        <w:t xml:space="preserve"> Health. </w:t>
      </w:r>
      <w:proofErr w:type="gramStart"/>
      <w:r>
        <w:t>2017;11:19</w:t>
      </w:r>
      <w:proofErr w:type="gramEnd"/>
      <w:r>
        <w:t>. doi:10.1186/s13031-017-0121-1.</w:t>
      </w:r>
    </w:p>
    <w:p w14:paraId="2224EA65" w14:textId="77777777" w:rsidR="0027146C" w:rsidRDefault="00000000">
      <w:pPr>
        <w:pStyle w:val="05-ArticleText"/>
        <w:spacing w:after="40"/>
        <w:ind w:left="259" w:hanging="259"/>
      </w:pPr>
      <w:r>
        <w:t xml:space="preserve">41. Sommer M, Schmitt ML, </w:t>
      </w:r>
      <w:proofErr w:type="spellStart"/>
      <w:r>
        <w:t>Ogello</w:t>
      </w:r>
      <w:proofErr w:type="spellEnd"/>
      <w:r>
        <w:t xml:space="preserve"> T, et al. Pilot testing and evaluation of a toolkit for menstrual hygiene management in emergencies in three refugee camps in Northwest Tanzania. Int J </w:t>
      </w:r>
      <w:proofErr w:type="spellStart"/>
      <w:r>
        <w:t>Humanit</w:t>
      </w:r>
      <w:proofErr w:type="spellEnd"/>
      <w:r>
        <w:t xml:space="preserve"> Action. </w:t>
      </w:r>
      <w:proofErr w:type="gramStart"/>
      <w:r>
        <w:t>2018;3:6</w:t>
      </w:r>
      <w:proofErr w:type="gramEnd"/>
      <w:r>
        <w:t>. doi:10.1186/s41018-018-0034-7.</w:t>
      </w:r>
    </w:p>
    <w:p w14:paraId="7D40D863" w14:textId="77777777" w:rsidR="0027146C" w:rsidRDefault="00000000">
      <w:pPr>
        <w:pStyle w:val="05-ArticleText"/>
        <w:spacing w:after="40"/>
        <w:ind w:left="259" w:hanging="259"/>
      </w:pPr>
      <w:r>
        <w:t xml:space="preserve">42. Patel K, Panda N, Sahoo KC, et al. A systematic review of menstrual hygiene management (MHM) during humanitarian crises and/or emergencies in low- and middle-income countries. Front Public Health. </w:t>
      </w:r>
      <w:proofErr w:type="gramStart"/>
      <w:r>
        <w:t>2022;10:1018092</w:t>
      </w:r>
      <w:proofErr w:type="gramEnd"/>
      <w:r>
        <w:t>. doi:10.3389/fpubh.2022.1018092.</w:t>
      </w:r>
    </w:p>
    <w:p w14:paraId="3BBA5AE8" w14:textId="77777777" w:rsidR="0027146C" w:rsidRDefault="00000000">
      <w:pPr>
        <w:pStyle w:val="05-ArticleText"/>
        <w:spacing w:after="40"/>
        <w:ind w:left="259" w:hanging="259"/>
      </w:pPr>
      <w:r>
        <w:t>43. Sommer M. Menstrual hygiene management in humanitarian emergencies: gaps and recommendations. Waterlines. 2012;31(1-2):83-104. doi:10.3362/1756-3488.2012.008.</w:t>
      </w:r>
    </w:p>
    <w:p w14:paraId="773E4361" w14:textId="77777777" w:rsidR="0027146C" w:rsidRDefault="00000000">
      <w:pPr>
        <w:pStyle w:val="05-ArticleText"/>
        <w:spacing w:after="40"/>
        <w:ind w:left="259" w:hanging="259"/>
      </w:pPr>
      <w:r>
        <w:t xml:space="preserve">44. </w:t>
      </w:r>
      <w:proofErr w:type="spellStart"/>
      <w:r>
        <w:t>Aktoz</w:t>
      </w:r>
      <w:proofErr w:type="spellEnd"/>
      <w:r>
        <w:t xml:space="preserve"> F, Gunes AC, Yakin K. The effect of earthquake experience on pregnancy outcomes: a systematic review </w:t>
      </w:r>
      <w:r>
        <w:lastRenderedPageBreak/>
        <w:t xml:space="preserve">and meta-analysis. </w:t>
      </w:r>
      <w:proofErr w:type="spellStart"/>
      <w:r>
        <w:t>Eur</w:t>
      </w:r>
      <w:proofErr w:type="spellEnd"/>
      <w:r>
        <w:t xml:space="preserve"> J </w:t>
      </w:r>
      <w:proofErr w:type="spellStart"/>
      <w:r>
        <w:t>Obstet</w:t>
      </w:r>
      <w:proofErr w:type="spellEnd"/>
      <w:r>
        <w:t xml:space="preserve"> </w:t>
      </w:r>
      <w:proofErr w:type="spellStart"/>
      <w:r>
        <w:t>Gynecol</w:t>
      </w:r>
      <w:proofErr w:type="spellEnd"/>
      <w:r>
        <w:t xml:space="preserve"> </w:t>
      </w:r>
      <w:proofErr w:type="spellStart"/>
      <w:r>
        <w:t>Reprod</w:t>
      </w:r>
      <w:proofErr w:type="spellEnd"/>
      <w:r>
        <w:t xml:space="preserve"> Biol. </w:t>
      </w:r>
      <w:proofErr w:type="gramStart"/>
      <w:r>
        <w:t>2023;291:70</w:t>
      </w:r>
      <w:proofErr w:type="gramEnd"/>
      <w:r>
        <w:t xml:space="preserve">-75. </w:t>
      </w:r>
      <w:proofErr w:type="gramStart"/>
      <w:r>
        <w:t>doi:10.1016/j.ejogrb</w:t>
      </w:r>
      <w:proofErr w:type="gramEnd"/>
      <w:r>
        <w:t>.2023.10.002.</w:t>
      </w:r>
    </w:p>
    <w:p w14:paraId="2AABDCEC" w14:textId="77777777" w:rsidR="0027146C" w:rsidRDefault="00000000">
      <w:pPr>
        <w:pStyle w:val="05-ArticleText"/>
        <w:spacing w:after="40"/>
        <w:ind w:left="259" w:hanging="259"/>
      </w:pPr>
      <w:r>
        <w:t xml:space="preserve">45. Harville EW, Xiong X, </w:t>
      </w:r>
      <w:proofErr w:type="spellStart"/>
      <w:r>
        <w:t>Buekens</w:t>
      </w:r>
      <w:proofErr w:type="spellEnd"/>
      <w:r>
        <w:t xml:space="preserve"> P. Disasters and perinatal health: a systematic review. </w:t>
      </w:r>
      <w:proofErr w:type="spellStart"/>
      <w:r>
        <w:t>Obstet</w:t>
      </w:r>
      <w:proofErr w:type="spellEnd"/>
      <w:r>
        <w:t xml:space="preserve"> </w:t>
      </w:r>
      <w:proofErr w:type="spellStart"/>
      <w:r>
        <w:t>Gynecol</w:t>
      </w:r>
      <w:proofErr w:type="spellEnd"/>
      <w:r>
        <w:t xml:space="preserve"> Surv. 2010;65(11):713-728. </w:t>
      </w:r>
      <w:proofErr w:type="gramStart"/>
      <w:r>
        <w:t>doi:10.1097/OGX.0b013e31820eddbe</w:t>
      </w:r>
      <w:proofErr w:type="gramEnd"/>
      <w:r>
        <w:t>.</w:t>
      </w:r>
    </w:p>
    <w:p w14:paraId="1E4706CE" w14:textId="77777777" w:rsidR="0027146C" w:rsidRDefault="00000000">
      <w:pPr>
        <w:pStyle w:val="05-ArticleText"/>
        <w:spacing w:after="40"/>
        <w:ind w:left="259" w:hanging="259"/>
      </w:pPr>
      <w:r>
        <w:t>46. Callaghan WM, Rasmussen SA, Jamieson DJ, et al. Health concerns of women and infants in times of natural disasters: lessons learned from Hurricane Katrina. Matern Child Health J. 2007;11(4):307-311. doi:10.1007/s10995-007-0177-4.</w:t>
      </w:r>
    </w:p>
    <w:p w14:paraId="25DCC1BD" w14:textId="77777777" w:rsidR="0027146C" w:rsidRDefault="00000000">
      <w:pPr>
        <w:pStyle w:val="05-ArticleText"/>
        <w:spacing w:after="40"/>
        <w:ind w:left="259" w:hanging="259"/>
      </w:pPr>
      <w:r>
        <w:t>47. Zotti ME, Williams AM, Robertson M, Horney J, Hsia J. Post-disaster reproductive health outcomes. Matern Child Health J. 2013;17(5):783-796. doi:10.1007/s10995-012-1068-x.</w:t>
      </w:r>
    </w:p>
    <w:p w14:paraId="21012C48" w14:textId="77777777" w:rsidR="0027146C" w:rsidRDefault="00000000">
      <w:pPr>
        <w:pStyle w:val="05-ArticleText"/>
        <w:spacing w:after="40"/>
        <w:ind w:left="259" w:hanging="259"/>
      </w:pPr>
      <w:r>
        <w:t xml:space="preserve">48. Liu S, Han J, Xiao D, Ma C, Chen B. A report on the reproductive health of women after the massive 2008 Wenchuan earthquake. Int J </w:t>
      </w:r>
      <w:proofErr w:type="spellStart"/>
      <w:r>
        <w:t>Gynaecol</w:t>
      </w:r>
      <w:proofErr w:type="spellEnd"/>
      <w:r>
        <w:t xml:space="preserve"> Obstet. 2010;108(2):161-164. </w:t>
      </w:r>
      <w:proofErr w:type="gramStart"/>
      <w:r>
        <w:t>doi:10.1016/j.ijgo</w:t>
      </w:r>
      <w:proofErr w:type="gramEnd"/>
      <w:r>
        <w:t>.2009.08.030.</w:t>
      </w:r>
    </w:p>
    <w:p w14:paraId="450C779C" w14:textId="77777777" w:rsidR="0027146C" w:rsidRDefault="00000000">
      <w:pPr>
        <w:pStyle w:val="05-ArticleText"/>
        <w:spacing w:after="40"/>
        <w:ind w:left="259" w:hanging="259"/>
      </w:pPr>
      <w:r>
        <w:t xml:space="preserve">49. </w:t>
      </w:r>
      <w:proofErr w:type="spellStart"/>
      <w:r>
        <w:t>Swatzyna</w:t>
      </w:r>
      <w:proofErr w:type="spellEnd"/>
      <w:r>
        <w:t xml:space="preserve"> RJ, Pillai VK. The effects of disaster on women's reproductive health in developing countries. Glob J Health Sci. 2013;5(4):106-113. doi:10.5539/</w:t>
      </w:r>
      <w:proofErr w:type="gramStart"/>
      <w:r>
        <w:t>gjhs.v</w:t>
      </w:r>
      <w:proofErr w:type="gramEnd"/>
      <w:r>
        <w:t>5n4p106.</w:t>
      </w:r>
    </w:p>
    <w:p w14:paraId="0A557105" w14:textId="77777777" w:rsidR="0027146C" w:rsidRDefault="00000000">
      <w:pPr>
        <w:pStyle w:val="05-ArticleText"/>
        <w:spacing w:after="40"/>
        <w:ind w:left="259" w:hanging="259"/>
      </w:pPr>
      <w:r>
        <w:t>50. Fisher S. Violence against women and natural disasters: findings from post-tsunami Sri Lanka. Violence Against Women. 2010;16(8):902–918. doi:10.1177/1077801210377649.</w:t>
      </w:r>
    </w:p>
    <w:p w14:paraId="0ADD7C06" w14:textId="77777777" w:rsidR="0027146C" w:rsidRDefault="00000000" w:rsidP="00716DF8">
      <w:pPr>
        <w:jc w:val="both"/>
      </w:pPr>
      <w:r>
        <w:rPr>
          <w:highlight w:val="yellow"/>
        </w:rPr>
        <w:t xml:space="preserve">51. Parkinson D. Investigating the increase in domestic violence post disaster: an Australian case study. J </w:t>
      </w:r>
      <w:proofErr w:type="spellStart"/>
      <w:r>
        <w:rPr>
          <w:highlight w:val="yellow"/>
        </w:rPr>
        <w:t>Interpers</w:t>
      </w:r>
      <w:proofErr w:type="spellEnd"/>
      <w:r>
        <w:rPr>
          <w:highlight w:val="yellow"/>
        </w:rPr>
        <w:t xml:space="preserve"> Violence. 2019;34(11):2333-2362. doi:10.1177/0886260517696876.</w:t>
      </w:r>
    </w:p>
    <w:p w14:paraId="6DEBB649" w14:textId="77777777" w:rsidR="0027146C" w:rsidRDefault="00000000" w:rsidP="00716DF8">
      <w:pPr>
        <w:pStyle w:val="05-ArticleText"/>
        <w:spacing w:after="40"/>
        <w:ind w:left="259" w:hanging="259"/>
      </w:pPr>
      <w:r>
        <w:rPr>
          <w:highlight w:val="yellow"/>
        </w:rPr>
        <w:t xml:space="preserve">52. </w:t>
      </w:r>
      <w:proofErr w:type="spellStart"/>
      <w:r>
        <w:rPr>
          <w:highlight w:val="yellow"/>
        </w:rPr>
        <w:t>Prihatmaji</w:t>
      </w:r>
      <w:proofErr w:type="spellEnd"/>
      <w:r>
        <w:rPr>
          <w:highlight w:val="yellow"/>
        </w:rPr>
        <w:t xml:space="preserve"> YP. </w:t>
      </w:r>
      <w:proofErr w:type="spellStart"/>
      <w:r>
        <w:rPr>
          <w:highlight w:val="yellow"/>
        </w:rPr>
        <w:t>Perilaku</w:t>
      </w:r>
      <w:proofErr w:type="spellEnd"/>
      <w:r>
        <w:rPr>
          <w:highlight w:val="yellow"/>
        </w:rPr>
        <w:t xml:space="preserve"> </w:t>
      </w:r>
      <w:proofErr w:type="spellStart"/>
      <w:r>
        <w:rPr>
          <w:highlight w:val="yellow"/>
        </w:rPr>
        <w:t>rumah</w:t>
      </w:r>
      <w:proofErr w:type="spellEnd"/>
      <w:r>
        <w:rPr>
          <w:highlight w:val="yellow"/>
        </w:rPr>
        <w:t xml:space="preserve"> </w:t>
      </w:r>
      <w:proofErr w:type="spellStart"/>
      <w:r>
        <w:rPr>
          <w:highlight w:val="yellow"/>
        </w:rPr>
        <w:t>tradisional</w:t>
      </w:r>
      <w:proofErr w:type="spellEnd"/>
      <w:r>
        <w:rPr>
          <w:highlight w:val="yellow"/>
        </w:rPr>
        <w:t xml:space="preserve"> Jawa '</w:t>
      </w:r>
      <w:proofErr w:type="spellStart"/>
      <w:r>
        <w:rPr>
          <w:highlight w:val="yellow"/>
        </w:rPr>
        <w:t>Joglo</w:t>
      </w:r>
      <w:proofErr w:type="spellEnd"/>
      <w:r>
        <w:rPr>
          <w:highlight w:val="yellow"/>
        </w:rPr>
        <w:t xml:space="preserve">' </w:t>
      </w:r>
      <w:proofErr w:type="spellStart"/>
      <w:r>
        <w:rPr>
          <w:highlight w:val="yellow"/>
        </w:rPr>
        <w:t>terhadap</w:t>
      </w:r>
      <w:proofErr w:type="spellEnd"/>
      <w:r>
        <w:rPr>
          <w:highlight w:val="yellow"/>
        </w:rPr>
        <w:t xml:space="preserve"> </w:t>
      </w:r>
      <w:proofErr w:type="spellStart"/>
      <w:r>
        <w:rPr>
          <w:highlight w:val="yellow"/>
        </w:rPr>
        <w:t>gempa</w:t>
      </w:r>
      <w:proofErr w:type="spellEnd"/>
      <w:r>
        <w:rPr>
          <w:highlight w:val="yellow"/>
        </w:rPr>
        <w:t xml:space="preserve"> [</w:t>
      </w:r>
      <w:proofErr w:type="spellStart"/>
      <w:r>
        <w:rPr>
          <w:highlight w:val="yellow"/>
        </w:rPr>
        <w:t>Behaviour</w:t>
      </w:r>
      <w:proofErr w:type="spellEnd"/>
      <w:r>
        <w:rPr>
          <w:highlight w:val="yellow"/>
        </w:rPr>
        <w:t xml:space="preserve"> of Javanese traditional </w:t>
      </w:r>
      <w:proofErr w:type="spellStart"/>
      <w:r>
        <w:rPr>
          <w:highlight w:val="yellow"/>
        </w:rPr>
        <w:t>Joglo</w:t>
      </w:r>
      <w:proofErr w:type="spellEnd"/>
      <w:r>
        <w:rPr>
          <w:highlight w:val="yellow"/>
        </w:rPr>
        <w:t xml:space="preserve"> houses during earthquakes]. DIMENSI: Journal of Architecture and Built Environment. 2007;35(1):1–12. doi:10.9744/dimensi.35.1.1-12.</w:t>
      </w:r>
    </w:p>
    <w:p w14:paraId="06BD12FF" w14:textId="77777777" w:rsidR="0027146C" w:rsidRDefault="00000000" w:rsidP="00716DF8">
      <w:pPr>
        <w:pStyle w:val="05-ArticleText"/>
        <w:spacing w:after="40"/>
        <w:ind w:left="259" w:hanging="259"/>
      </w:pPr>
      <w:r>
        <w:rPr>
          <w:highlight w:val="yellow"/>
        </w:rPr>
        <w:t>53. World Bank. Java Reconstruction Fund Final Report 2012. Washington, DC: World Bank; 2012. Report No. 84035.</w:t>
      </w:r>
    </w:p>
    <w:p w14:paraId="1E8E7982" w14:textId="77777777" w:rsidR="0027146C" w:rsidRDefault="00000000" w:rsidP="00716DF8">
      <w:pPr>
        <w:pStyle w:val="05-ArticleText"/>
        <w:spacing w:after="40"/>
        <w:ind w:left="259" w:hanging="259"/>
      </w:pPr>
      <w:r>
        <w:rPr>
          <w:highlight w:val="yellow"/>
        </w:rPr>
        <w:t>54. UN Women. The Effect of Gender Equality Programming on Humanitarian Outcomes. New York: United Nations Entity for Gender Equality and the Empowerment of Women; 2015.</w:t>
      </w:r>
    </w:p>
    <w:p w14:paraId="5AD844E5" w14:textId="77777777" w:rsidR="0027146C" w:rsidRDefault="00000000" w:rsidP="00716DF8">
      <w:pPr>
        <w:jc w:val="both"/>
      </w:pPr>
      <w:r>
        <w:rPr>
          <w:highlight w:val="yellow"/>
        </w:rPr>
        <w:t xml:space="preserve">55. Rao N, Singh C, Solomon D, Camfield L, Sidiki R, Angula M, et al. Managing risk, changing aspirations and household dynamics: implications for wellbeing and adaptation in semi-arid Africa and India. World Dev. </w:t>
      </w:r>
      <w:proofErr w:type="gramStart"/>
      <w:r>
        <w:rPr>
          <w:highlight w:val="yellow"/>
        </w:rPr>
        <w:t>2020;125:104667</w:t>
      </w:r>
      <w:proofErr w:type="gramEnd"/>
      <w:r>
        <w:rPr>
          <w:highlight w:val="yellow"/>
        </w:rPr>
        <w:t xml:space="preserve">. </w:t>
      </w:r>
      <w:proofErr w:type="gramStart"/>
      <w:r>
        <w:rPr>
          <w:highlight w:val="yellow"/>
        </w:rPr>
        <w:t>doi:10.1016/j.worlddev</w:t>
      </w:r>
      <w:proofErr w:type="gramEnd"/>
      <w:r>
        <w:rPr>
          <w:highlight w:val="yellow"/>
        </w:rPr>
        <w:t>.2019.104667.</w:t>
      </w:r>
    </w:p>
    <w:p w14:paraId="35D7E8C6" w14:textId="77777777" w:rsidR="0027146C" w:rsidRDefault="00000000" w:rsidP="00716DF8">
      <w:pPr>
        <w:pStyle w:val="05-ArticleText"/>
        <w:spacing w:after="40"/>
        <w:ind w:left="259" w:hanging="259"/>
      </w:pPr>
      <w:r>
        <w:rPr>
          <w:highlight w:val="yellow"/>
        </w:rPr>
        <w:t xml:space="preserve">56. </w:t>
      </w:r>
      <w:proofErr w:type="spellStart"/>
      <w:r>
        <w:rPr>
          <w:highlight w:val="yellow"/>
        </w:rPr>
        <w:t>Resurrección</w:t>
      </w:r>
      <w:proofErr w:type="spellEnd"/>
      <w:r>
        <w:rPr>
          <w:highlight w:val="yellow"/>
        </w:rPr>
        <w:t xml:space="preserve"> BP, Elmhirst R, editors. Gender and Natural Resource Management: Livelihoods, Mobility and Interventions. London: Earthscan; 2008. ISBN: 978-1-84407-580-5.</w:t>
      </w:r>
    </w:p>
    <w:p w14:paraId="3709B6C4" w14:textId="77777777" w:rsidR="0027146C" w:rsidRDefault="00000000">
      <w:pPr>
        <w:pStyle w:val="05-ArticleText"/>
        <w:spacing w:after="40"/>
        <w:ind w:left="259" w:hanging="259"/>
      </w:pPr>
      <w:r>
        <w:t xml:space="preserve">57. Hafez S, Samson SS, Tanner L, Pendle N. Self-care for maternal and reproductive health in conflict settings: a qualitative case study in the Nuba Mountains, Sudan. Front Glob </w:t>
      </w:r>
      <w:proofErr w:type="spellStart"/>
      <w:r>
        <w:t>Womens</w:t>
      </w:r>
      <w:proofErr w:type="spellEnd"/>
      <w:r>
        <w:t xml:space="preserve"> Health. </w:t>
      </w:r>
      <w:proofErr w:type="gramStart"/>
      <w:r>
        <w:t>2024;5:1367559</w:t>
      </w:r>
      <w:proofErr w:type="gramEnd"/>
      <w:r>
        <w:t>. doi:10.3389/fgwh.2024.1367559.</w:t>
      </w:r>
    </w:p>
    <w:p w14:paraId="0AB557F2" w14:textId="77777777" w:rsidR="0027146C" w:rsidRDefault="00000000">
      <w:pPr>
        <w:pStyle w:val="05-ArticleText"/>
        <w:spacing w:after="40"/>
        <w:ind w:left="259" w:hanging="259"/>
      </w:pPr>
      <w:r>
        <w:t xml:space="preserve">58. Dunkel Schetter C. Psychological science on pregnancy: stress processes, biopsychosocial models, and emerging research issues. Annu Rev Psychol. </w:t>
      </w:r>
      <w:proofErr w:type="gramStart"/>
      <w:r>
        <w:t>2011;62:531</w:t>
      </w:r>
      <w:proofErr w:type="gramEnd"/>
      <w:r>
        <w:t xml:space="preserve">–558. </w:t>
      </w:r>
      <w:proofErr w:type="gramStart"/>
      <w:r>
        <w:t>doi:10.1146/annurev.psych</w:t>
      </w:r>
      <w:proofErr w:type="gramEnd"/>
      <w:r>
        <w:t>.031809.130727.</w:t>
      </w:r>
    </w:p>
    <w:p w14:paraId="69FB911D" w14:textId="77777777" w:rsidR="0027146C" w:rsidRDefault="00000000">
      <w:pPr>
        <w:pStyle w:val="05-ArticleText"/>
        <w:spacing w:after="40"/>
        <w:ind w:left="259" w:hanging="259"/>
      </w:pPr>
      <w:r>
        <w:t xml:space="preserve">59. Wu X, </w:t>
      </w:r>
      <w:proofErr w:type="spellStart"/>
      <w:r>
        <w:t>Kaminga</w:t>
      </w:r>
      <w:proofErr w:type="spellEnd"/>
      <w:r>
        <w:t xml:space="preserve"> AC, Dai W, Deng J, Wang Z, Pan X, et al. The prevalence of moderate-to-high posttraumatic growth: a systematic review and meta-analysis. J Affect </w:t>
      </w:r>
      <w:proofErr w:type="spellStart"/>
      <w:r>
        <w:t>Disord</w:t>
      </w:r>
      <w:proofErr w:type="spellEnd"/>
      <w:r>
        <w:t xml:space="preserve">. </w:t>
      </w:r>
      <w:proofErr w:type="gramStart"/>
      <w:r>
        <w:t>2019;243:408</w:t>
      </w:r>
      <w:proofErr w:type="gramEnd"/>
      <w:r>
        <w:t xml:space="preserve">–415. </w:t>
      </w:r>
      <w:proofErr w:type="gramStart"/>
      <w:r>
        <w:t>doi:10.1016/j.jad</w:t>
      </w:r>
      <w:proofErr w:type="gramEnd"/>
      <w:r>
        <w:t>.2018.09.023.</w:t>
      </w:r>
    </w:p>
    <w:p w14:paraId="72FAFA32" w14:textId="77777777" w:rsidR="0027146C" w:rsidRDefault="00000000">
      <w:pPr>
        <w:pStyle w:val="05-ArticleText"/>
        <w:spacing w:after="40"/>
        <w:ind w:left="259" w:hanging="259"/>
      </w:pPr>
      <w:r>
        <w:t xml:space="preserve">60. Norris FH, Friedman MJ, Watson PJ, Byrne CM, Diaz E, </w:t>
      </w:r>
      <w:proofErr w:type="spellStart"/>
      <w:r>
        <w:t>Kaniasty</w:t>
      </w:r>
      <w:proofErr w:type="spellEnd"/>
      <w:r>
        <w:t xml:space="preserve"> K. 60,000 disaster victims speak: Part I. An empirical review of the empirical literature, 1981-2001. Psychiatry. 2002;65(3):207-239. doi:10.1521/psyc.65.3.207.20173.</w:t>
      </w:r>
    </w:p>
    <w:p w14:paraId="215D4940" w14:textId="77777777" w:rsidR="0027146C" w:rsidRDefault="00000000">
      <w:pPr>
        <w:pStyle w:val="05-ArticleText"/>
        <w:spacing w:after="40"/>
        <w:ind w:left="259" w:hanging="259"/>
      </w:pPr>
      <w:r>
        <w:t xml:space="preserve">61. Bonanno GA, Brewin CR, </w:t>
      </w:r>
      <w:proofErr w:type="spellStart"/>
      <w:r>
        <w:t>Kaniasty</w:t>
      </w:r>
      <w:proofErr w:type="spellEnd"/>
      <w:r>
        <w:t xml:space="preserve"> K, La Greca AM. Weighing the costs of disaster: consequences, risks, and resilience in individuals, families, and communities. Psychol Sci Public Interest. 2010;11(1):1-49. doi:10.1177/1529100610387086.</w:t>
      </w:r>
    </w:p>
    <w:p w14:paraId="12CFE41C" w14:textId="77777777" w:rsidR="0027146C" w:rsidRDefault="00000000">
      <w:pPr>
        <w:pStyle w:val="05-ArticleText"/>
        <w:spacing w:after="40"/>
        <w:ind w:left="259" w:hanging="259"/>
      </w:pPr>
      <w:r>
        <w:t xml:space="preserve">62. </w:t>
      </w:r>
      <w:proofErr w:type="spellStart"/>
      <w:r>
        <w:t>Hobfoll</w:t>
      </w:r>
      <w:proofErr w:type="spellEnd"/>
      <w:r>
        <w:t xml:space="preserve"> SE, Watson P, Bell CC, et al. Five essential elements of immediate and mid-term mass trauma intervention: empirical evidence. Psychiatry. 2007;70(4):283-315; discussion 316-369. doi:10.1521/psyc.2007.70.4.283.</w:t>
      </w:r>
    </w:p>
    <w:p w14:paraId="4C6EC111" w14:textId="77777777" w:rsidR="0027146C" w:rsidRDefault="00000000">
      <w:pPr>
        <w:pStyle w:val="05-ArticleText"/>
        <w:spacing w:after="40"/>
        <w:ind w:left="259" w:hanging="259"/>
      </w:pPr>
      <w:r>
        <w:t xml:space="preserve">63. Southwick SM, Bonanno GA, Masten AS, Panter-Brick C, Yehuda R. Resilience definitions, theory, and challenges: interdisciplinary perspectives. </w:t>
      </w:r>
      <w:proofErr w:type="spellStart"/>
      <w:r>
        <w:t>Eur</w:t>
      </w:r>
      <w:proofErr w:type="spellEnd"/>
      <w:r>
        <w:t xml:space="preserve"> J </w:t>
      </w:r>
      <w:proofErr w:type="spellStart"/>
      <w:r>
        <w:t>Psychotraumatol</w:t>
      </w:r>
      <w:proofErr w:type="spellEnd"/>
      <w:r>
        <w:t xml:space="preserve">. </w:t>
      </w:r>
      <w:proofErr w:type="gramStart"/>
      <w:r>
        <w:t>2014;5:25338</w:t>
      </w:r>
      <w:proofErr w:type="gramEnd"/>
      <w:r>
        <w:t>. doi:10.3402/</w:t>
      </w:r>
      <w:proofErr w:type="gramStart"/>
      <w:r>
        <w:t>ejpt.v</w:t>
      </w:r>
      <w:proofErr w:type="gramEnd"/>
      <w:r>
        <w:t>5.25338.</w:t>
      </w:r>
    </w:p>
    <w:p w14:paraId="4FF17A2C" w14:textId="77777777" w:rsidR="0027146C" w:rsidRDefault="00000000">
      <w:pPr>
        <w:pStyle w:val="05-ArticleText"/>
        <w:spacing w:after="40"/>
        <w:ind w:left="259" w:hanging="259"/>
      </w:pPr>
      <w:r>
        <w:t xml:space="preserve">64. Luo Y, Yan H, Tang Y, et al. Levels of nurse disaster preparedness: a systematic review and meta-analysis. Nurse Educ </w:t>
      </w:r>
      <w:proofErr w:type="spellStart"/>
      <w:r>
        <w:t>Pract</w:t>
      </w:r>
      <w:proofErr w:type="spellEnd"/>
      <w:r>
        <w:t xml:space="preserve">. </w:t>
      </w:r>
      <w:proofErr w:type="gramStart"/>
      <w:r>
        <w:t>2025;85:104372</w:t>
      </w:r>
      <w:proofErr w:type="gramEnd"/>
      <w:r>
        <w:t xml:space="preserve">. </w:t>
      </w:r>
      <w:proofErr w:type="gramStart"/>
      <w:r>
        <w:t>doi:10.1016/j.nepr</w:t>
      </w:r>
      <w:proofErr w:type="gramEnd"/>
      <w:r>
        <w:t>.2025.104372.</w:t>
      </w:r>
    </w:p>
    <w:p w14:paraId="7DE8D162" w14:textId="77777777" w:rsidR="0027146C" w:rsidRDefault="00000000">
      <w:pPr>
        <w:pStyle w:val="05-ArticleText"/>
        <w:spacing w:after="40"/>
        <w:ind w:left="259" w:hanging="259"/>
      </w:pPr>
      <w:r>
        <w:t xml:space="preserve">65. Pires ECG, Henriques MA, Costa AS, Nogueira P, Mexia R. Nurses in disaster, the ICN perspective: a scoping review. Int Emerg Nurs. </w:t>
      </w:r>
      <w:proofErr w:type="gramStart"/>
      <w:r>
        <w:t>2026;86:101781</w:t>
      </w:r>
      <w:proofErr w:type="gramEnd"/>
      <w:r>
        <w:t xml:space="preserve">. </w:t>
      </w:r>
      <w:proofErr w:type="gramStart"/>
      <w:r>
        <w:t>doi:10.1016/j.ienj</w:t>
      </w:r>
      <w:proofErr w:type="gramEnd"/>
      <w:r>
        <w:t>.2026.101781.</w:t>
      </w:r>
    </w:p>
    <w:p w14:paraId="67B58FEA" w14:textId="77777777" w:rsidR="0027146C" w:rsidRDefault="00000000">
      <w:pPr>
        <w:pStyle w:val="05-ArticleText"/>
        <w:spacing w:after="40"/>
        <w:ind w:left="259" w:hanging="259"/>
      </w:pPr>
      <w:r>
        <w:t xml:space="preserve">66. Feng J, Zhang C, Fang S, Zhao R, Wang H, Li D. Influencing factors of nurses' disaster preparedness: a systematic review and meta-analysis. BMC Public Health. </w:t>
      </w:r>
      <w:proofErr w:type="gramStart"/>
      <w:r>
        <w:t>2025;25:2673</w:t>
      </w:r>
      <w:proofErr w:type="gramEnd"/>
      <w:r>
        <w:t>. doi:10.1186/s12889-025-23981-w.</w:t>
      </w:r>
    </w:p>
    <w:p w14:paraId="3B5EF2D4" w14:textId="77777777" w:rsidR="0027146C" w:rsidRDefault="00000000">
      <w:pPr>
        <w:pStyle w:val="05-ArticleText"/>
        <w:spacing w:after="40"/>
        <w:ind w:left="259" w:hanging="259"/>
      </w:pPr>
      <w:r>
        <w:t xml:space="preserve">67. Abu </w:t>
      </w:r>
      <w:proofErr w:type="spellStart"/>
      <w:r>
        <w:t>Hasheesh</w:t>
      </w:r>
      <w:proofErr w:type="spellEnd"/>
      <w:r>
        <w:t xml:space="preserve"> MO. Jordanian nurses' perceived disaster preparedness: factors influencing successful planning. </w:t>
      </w:r>
      <w:proofErr w:type="spellStart"/>
      <w:r>
        <w:t>ScientificWorldJournal</w:t>
      </w:r>
      <w:proofErr w:type="spellEnd"/>
      <w:r>
        <w:t xml:space="preserve">. </w:t>
      </w:r>
      <w:proofErr w:type="gramStart"/>
      <w:r>
        <w:t>2023;2023:5473777</w:t>
      </w:r>
      <w:proofErr w:type="gramEnd"/>
      <w:r>
        <w:t>. doi:10.1155/2023/5473777.</w:t>
      </w:r>
    </w:p>
    <w:p w14:paraId="44967B4B" w14:textId="77777777" w:rsidR="0027146C" w:rsidRDefault="00000000">
      <w:pPr>
        <w:pStyle w:val="05-ArticleText"/>
        <w:spacing w:after="40"/>
        <w:ind w:left="259" w:hanging="259"/>
      </w:pPr>
      <w:r>
        <w:t xml:space="preserve">68. Al </w:t>
      </w:r>
      <w:proofErr w:type="spellStart"/>
      <w:r>
        <w:t>Khalaileh</w:t>
      </w:r>
      <w:proofErr w:type="spellEnd"/>
      <w:r>
        <w:t xml:space="preserve"> MA, Bond E, </w:t>
      </w:r>
      <w:proofErr w:type="spellStart"/>
      <w:r>
        <w:t>Alasad</w:t>
      </w:r>
      <w:proofErr w:type="spellEnd"/>
      <w:r>
        <w:t xml:space="preserve"> JA. Jordanian nurses' perceptions of their preparedness for disaster management. Int Emerg Nurs. 2012;20(1):14-23. </w:t>
      </w:r>
      <w:proofErr w:type="gramStart"/>
      <w:r>
        <w:t>doi:10.1016/j.ienj</w:t>
      </w:r>
      <w:proofErr w:type="gramEnd"/>
      <w:r>
        <w:t>.2011.01.001.</w:t>
      </w:r>
    </w:p>
    <w:p w14:paraId="5C04C2A3" w14:textId="77777777" w:rsidR="0027146C" w:rsidRDefault="00000000">
      <w:pPr>
        <w:pStyle w:val="05-ArticleText"/>
        <w:spacing w:after="40"/>
        <w:ind w:left="259" w:hanging="259"/>
      </w:pPr>
      <w:r>
        <w:t xml:space="preserve">69. Daily E, Padjen P, Birnbaum M. A review of competencies developed for disaster healthcare providers: limitations of current processes and applicability. </w:t>
      </w:r>
      <w:proofErr w:type="spellStart"/>
      <w:r>
        <w:t>Prehosp</w:t>
      </w:r>
      <w:proofErr w:type="spellEnd"/>
      <w:r>
        <w:t xml:space="preserve"> Disaster Med. 2010;25(5):387-395. doi:10.1017/S1049023X00008438.</w:t>
      </w:r>
    </w:p>
    <w:p w14:paraId="3DABD19D" w14:textId="77777777" w:rsidR="0027146C" w:rsidRDefault="00000000">
      <w:pPr>
        <w:pStyle w:val="05-ArticleText"/>
        <w:spacing w:after="40"/>
        <w:ind w:left="259" w:hanging="259"/>
      </w:pPr>
      <w:r>
        <w:t xml:space="preserve">70. Aldrich DP, Meyer MA. Social capital and community resilience. Am </w:t>
      </w:r>
      <w:proofErr w:type="spellStart"/>
      <w:r>
        <w:t>Behav</w:t>
      </w:r>
      <w:proofErr w:type="spellEnd"/>
      <w:r>
        <w:t xml:space="preserve"> Sci. 2015;59(2):254-269. doi:10.1177/0002764214550299.</w:t>
      </w:r>
    </w:p>
    <w:p w14:paraId="03954B2E" w14:textId="77777777" w:rsidR="0027146C" w:rsidRDefault="00000000">
      <w:pPr>
        <w:pStyle w:val="05-ArticleText"/>
        <w:spacing w:after="40"/>
        <w:ind w:left="259" w:hanging="259"/>
      </w:pPr>
      <w:r>
        <w:lastRenderedPageBreak/>
        <w:t>71. Mayer B. A review of the literature on community resilience and disaster recovery. Curr Environ Health Rep. 2019;6(3):167-173. doi:10.1007/s40572-019-00239-3.</w:t>
      </w:r>
    </w:p>
    <w:p w14:paraId="1171E0B5" w14:textId="77777777" w:rsidR="0027146C" w:rsidRDefault="00000000">
      <w:pPr>
        <w:pStyle w:val="05-ArticleText"/>
        <w:spacing w:after="40"/>
        <w:ind w:left="259" w:hanging="259"/>
      </w:pPr>
      <w:r>
        <w:t xml:space="preserve">72. Hall CE, Wehling H, Stansfield J, et al. Examining the role of community resilience and social capital on mental health in public health emergency and disaster response: a scoping review. BMC Public Health. </w:t>
      </w:r>
      <w:proofErr w:type="gramStart"/>
      <w:r>
        <w:t>2023;23:2482</w:t>
      </w:r>
      <w:proofErr w:type="gramEnd"/>
      <w:r>
        <w:t>. doi:10.1186/s12889-023-17242-x.</w:t>
      </w:r>
    </w:p>
    <w:p w14:paraId="58C62DAF" w14:textId="77777777" w:rsidR="0027146C" w:rsidRDefault="00000000">
      <w:pPr>
        <w:pStyle w:val="05-ArticleText"/>
        <w:spacing w:after="40"/>
        <w:ind w:left="259" w:hanging="259"/>
      </w:pPr>
      <w:r>
        <w:t xml:space="preserve">73. Zhao G, Hui X, Zhao F, Feng L, Lu Y, Zhang Y. How does social capital facilitate community disaster resilience? A systematic review. Front Environ Sci. </w:t>
      </w:r>
      <w:proofErr w:type="gramStart"/>
      <w:r>
        <w:t>2025;12:1496813</w:t>
      </w:r>
      <w:proofErr w:type="gramEnd"/>
      <w:r>
        <w:t>. doi:10.3389/fenvs.2024.1496813.</w:t>
      </w:r>
    </w:p>
    <w:p w14:paraId="45D379AD" w14:textId="77777777" w:rsidR="0027146C" w:rsidRDefault="00000000">
      <w:pPr>
        <w:pStyle w:val="05-ArticleText"/>
        <w:spacing w:after="40"/>
        <w:ind w:left="259" w:hanging="259"/>
      </w:pPr>
      <w:r>
        <w:t xml:space="preserve">74. Susanto IW, </w:t>
      </w:r>
      <w:proofErr w:type="spellStart"/>
      <w:r>
        <w:t>Kusumasari</w:t>
      </w:r>
      <w:proofErr w:type="spellEnd"/>
      <w:r>
        <w:t xml:space="preserve"> B, Santoso AD, Bafadhal OM. Social capital in disaster management: a systematic literature review of research trends from 1998 to 2019. </w:t>
      </w:r>
      <w:proofErr w:type="spellStart"/>
      <w:r>
        <w:t>Indones</w:t>
      </w:r>
      <w:proofErr w:type="spellEnd"/>
      <w:r>
        <w:t xml:space="preserve"> J Geogr. 2023;55(2):179-189. doi:10.22146/ijg.71572.</w:t>
      </w:r>
    </w:p>
    <w:p w14:paraId="5CEFB94A" w14:textId="77777777" w:rsidR="0027146C" w:rsidRDefault="00000000" w:rsidP="00716DF8">
      <w:pPr>
        <w:pStyle w:val="05-ArticleText"/>
        <w:spacing w:after="40"/>
        <w:ind w:left="259" w:hanging="259"/>
      </w:pPr>
      <w:r>
        <w:t xml:space="preserve">75. Carmen E, Fazey I, Ross H, et al. Building community resilience in a context of climate change: the role of social capital. </w:t>
      </w:r>
      <w:proofErr w:type="spellStart"/>
      <w:r>
        <w:t>Ambio</w:t>
      </w:r>
      <w:proofErr w:type="spellEnd"/>
      <w:r>
        <w:t>. 2022;51(6):1371-1387. doi:10.1007/s13280-021-01678-9.</w:t>
      </w:r>
    </w:p>
    <w:p w14:paraId="73A424BF" w14:textId="77777777" w:rsidR="0027146C" w:rsidRDefault="00000000" w:rsidP="00716DF8">
      <w:pPr>
        <w:jc w:val="both"/>
      </w:pPr>
      <w:r>
        <w:rPr>
          <w:highlight w:val="yellow"/>
        </w:rPr>
        <w:t>76. World Health Organization. Standards and Operational Guidance for Ethics Review of Health-related Research with Human Participants. Geneva: World Health Organization; 2011.</w:t>
      </w:r>
    </w:p>
    <w:p w14:paraId="7B229D8F" w14:textId="77777777" w:rsidR="0027146C" w:rsidRDefault="00000000" w:rsidP="00716DF8">
      <w:pPr>
        <w:jc w:val="both"/>
      </w:pPr>
      <w:r>
        <w:rPr>
          <w:highlight w:val="yellow"/>
        </w:rPr>
        <w:t>77. Council for International Organizations of Medical Sciences (CIOMS). International Ethical Guidelines for Health-related Research Involving Humans. 4th ed. Geneva: CIOMS; 2016.</w:t>
      </w:r>
    </w:p>
    <w:p w14:paraId="7A035F9F" w14:textId="77777777" w:rsidR="0027146C" w:rsidRDefault="00000000" w:rsidP="00716DF8">
      <w:pPr>
        <w:jc w:val="both"/>
      </w:pPr>
      <w:r>
        <w:rPr>
          <w:highlight w:val="yellow"/>
        </w:rPr>
        <w:t xml:space="preserve">78. Beek K, McFadden A, Dawson A. The role and scope of practice of midwives in humanitarian settings: a systematic review and content analysis. Hum </w:t>
      </w:r>
      <w:proofErr w:type="spellStart"/>
      <w:r>
        <w:rPr>
          <w:highlight w:val="yellow"/>
        </w:rPr>
        <w:t>Resour</w:t>
      </w:r>
      <w:proofErr w:type="spellEnd"/>
      <w:r>
        <w:rPr>
          <w:highlight w:val="yellow"/>
        </w:rPr>
        <w:t xml:space="preserve"> Health. </w:t>
      </w:r>
      <w:proofErr w:type="gramStart"/>
      <w:r>
        <w:rPr>
          <w:highlight w:val="yellow"/>
        </w:rPr>
        <w:t>2019;17:5</w:t>
      </w:r>
      <w:proofErr w:type="gramEnd"/>
      <w:r>
        <w:rPr>
          <w:highlight w:val="yellow"/>
        </w:rPr>
        <w:t>. doi:10.1186/s12960-018-0341-5.</w:t>
      </w:r>
    </w:p>
    <w:p w14:paraId="6E784D85" w14:textId="77777777" w:rsidR="0027146C" w:rsidRDefault="00000000" w:rsidP="00716DF8">
      <w:pPr>
        <w:jc w:val="both"/>
      </w:pPr>
      <w:r>
        <w:rPr>
          <w:highlight w:val="yellow"/>
        </w:rPr>
        <w:t xml:space="preserve">79. Homer CSE, Turkmani S, Wilson AN, Vogel JP, Shah MG, </w:t>
      </w:r>
      <w:proofErr w:type="spellStart"/>
      <w:r>
        <w:rPr>
          <w:highlight w:val="yellow"/>
        </w:rPr>
        <w:t>Fogstad</w:t>
      </w:r>
      <w:proofErr w:type="spellEnd"/>
      <w:r>
        <w:rPr>
          <w:highlight w:val="yellow"/>
        </w:rPr>
        <w:t xml:space="preserve"> H, Langlois EV. Enhancing quality midwifery care in humanitarian and fragile settings: a systematic review of interventions, support systems and enabling environments. BMJ Glob Health. 2022;7(1</w:t>
      </w:r>
      <w:proofErr w:type="gramStart"/>
      <w:r>
        <w:rPr>
          <w:highlight w:val="yellow"/>
        </w:rPr>
        <w:t>):e</w:t>
      </w:r>
      <w:proofErr w:type="gramEnd"/>
      <w:r>
        <w:rPr>
          <w:highlight w:val="yellow"/>
        </w:rPr>
        <w:t>006872. doi:10.1136/bmjgh-2021-006872.</w:t>
      </w:r>
    </w:p>
    <w:sectPr w:rsidR="0027146C">
      <w:type w:val="continuous"/>
      <w:pgSz w:w="12240" w:h="15840"/>
      <w:pgMar w:top="1134" w:right="709" w:bottom="1134" w:left="1276" w:header="720" w:footer="964" w:gutter="0"/>
      <w:cols w:num="2" w:space="426"/>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2367" w14:textId="77777777" w:rsidR="00A7191F" w:rsidRDefault="00A7191F">
      <w:r>
        <w:separator/>
      </w:r>
    </w:p>
  </w:endnote>
  <w:endnote w:type="continuationSeparator" w:id="0">
    <w:p w14:paraId="398B4C02" w14:textId="77777777" w:rsidR="00A7191F" w:rsidRDefault="00A7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ta Bold LF">
    <w:charset w:val="86"/>
    <w:family w:val="roman"/>
    <w:pitch w:val="default"/>
    <w:sig w:usb0="00000000" w:usb1="00000000" w:usb2="00000010" w:usb3="00000000" w:csb0="00040001" w:csb1="00000000"/>
  </w:font>
  <w:font w:name="Relay">
    <w:panose1 w:val="00000000000000000000"/>
    <w:charset w:val="86"/>
    <w:family w:val="swiss"/>
    <w:notTrueType/>
    <w:pitch w:val="default"/>
    <w:sig w:usb0="00000003" w:usb1="080E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Lohit Devanagari">
    <w:charset w:val="01"/>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eta Normal LF">
    <w:panose1 w:val="00000000000000000000"/>
    <w:charset w:val="86"/>
    <w:family w:val="roman"/>
    <w:notTrueType/>
    <w:pitch w:val="default"/>
    <w:sig w:usb0="00000000" w:usb1="080E0000" w:usb2="00000010" w:usb3="00000000" w:csb0="00040000" w:csb1="00000000"/>
  </w:font>
  <w:font w:name="DejaVu Sans">
    <w:charset w:val="00"/>
    <w:family w:val="swiss"/>
    <w:pitch w:val="variable"/>
  </w:font>
  <w:font w:name="PMingLiU">
    <w:altName w:val="新細明體"/>
    <w:panose1 w:val="02010601000101010101"/>
    <w:charset w:val="88"/>
    <w:family w:val="auto"/>
    <w:notTrueType/>
    <w:pitch w:val="variable"/>
    <w:sig w:usb0="00000001" w:usb1="08080000" w:usb2="00000010" w:usb3="00000000" w:csb0="00100000" w:csb1="00000000"/>
  </w:font>
  <w:font w:name="Helv">
    <w:panose1 w:val="020B060402020203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D99F" w14:textId="77777777" w:rsidR="00A04996" w:rsidRDefault="00A049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6D45" w14:textId="77777777" w:rsidR="00A04996" w:rsidRDefault="00A049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2A92" w14:textId="77777777" w:rsidR="0027146C" w:rsidRDefault="00000000">
    <w:pPr>
      <w:pStyle w:val="Footer"/>
      <w:tabs>
        <w:tab w:val="clear" w:pos="4252"/>
        <w:tab w:val="right" w:pos="4900"/>
        <w:tab w:val="left" w:pos="5320"/>
      </w:tabs>
      <w:spacing w:before="240" w:after="360"/>
    </w:pPr>
    <w:r>
      <w:rPr>
        <w:rFonts w:ascii="Times New Roman" w:hAnsi="Times New Roman" w:cs="Times New Roman"/>
        <w:b/>
        <w:sz w:val="16"/>
      </w:rPr>
      <w:tab/>
      <w:t>1874-4346/</w:t>
    </w:r>
    <w:proofErr w:type="spellStart"/>
    <w:r>
      <w:rPr>
        <w:rFonts w:ascii="Times New Roman" w:hAnsi="Times New Roman" w:cs="Times New Roman"/>
        <w:b/>
        <w:sz w:val="16"/>
      </w:rPr>
      <w:t>year</w:t>
    </w:r>
    <w:proofErr w:type="spellEnd"/>
    <w:r>
      <w:rPr>
        <w:rFonts w:ascii="Times New Roman" w:hAnsi="Times New Roman" w:cs="Times New Roman"/>
        <w:b/>
        <w:sz w:val="16"/>
      </w:rPr>
      <w:tab/>
      <w:t xml:space="preserve">© </w:t>
    </w:r>
    <w:proofErr w:type="spellStart"/>
    <w:r>
      <w:rPr>
        <w:rFonts w:ascii="Times New Roman" w:hAnsi="Times New Roman" w:cs="Times New Roman"/>
        <w:b/>
        <w:sz w:val="16"/>
      </w:rPr>
      <w:t>Year</w:t>
    </w:r>
    <w:proofErr w:type="spellEnd"/>
    <w:r>
      <w:rPr>
        <w:rFonts w:ascii="Times New Roman" w:hAnsi="Times New Roman" w:cs="Times New Roman"/>
        <w:b/>
        <w:sz w:val="16"/>
      </w:rPr>
      <w:t xml:space="preserve"> Bentham Science </w:t>
    </w:r>
    <w:proofErr w:type="spellStart"/>
    <w:r>
      <w:rPr>
        <w:rFonts w:ascii="Times New Roman" w:hAnsi="Times New Roman" w:cs="Times New Roman"/>
        <w:b/>
        <w:sz w:val="16"/>
      </w:rPr>
      <w:t>Publishers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0FD2" w14:textId="77777777" w:rsidR="00A7191F" w:rsidRDefault="00A7191F">
      <w:r>
        <w:separator/>
      </w:r>
    </w:p>
  </w:footnote>
  <w:footnote w:type="continuationSeparator" w:id="0">
    <w:p w14:paraId="4677A1A7" w14:textId="77777777" w:rsidR="00A7191F" w:rsidRDefault="00A71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F0D3" w14:textId="77777777" w:rsidR="00A04996" w:rsidRDefault="00A049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D129" w14:textId="77777777" w:rsidR="0027146C" w:rsidRDefault="00000000">
    <w:pPr>
      <w:pStyle w:val="Header"/>
      <w:tabs>
        <w:tab w:val="clear" w:pos="4320"/>
        <w:tab w:val="clear" w:pos="8640"/>
        <w:tab w:val="right" w:pos="10200"/>
      </w:tabs>
    </w:pPr>
    <w:r>
      <w:rPr>
        <w:b/>
        <w:bCs/>
        <w:i/>
        <w:sz w:val="16"/>
        <w:szCs w:val="28"/>
      </w:rPr>
      <w:t>Reproductive Health and Agency After Earthquake</w:t>
    </w:r>
    <w:r>
      <w:rPr>
        <w:sz w:val="16"/>
      </w:rPr>
      <w:tab/>
    </w:r>
    <w:proofErr w:type="gramStart"/>
    <w:r>
      <w:rPr>
        <w:b/>
        <w:i/>
        <w:sz w:val="16"/>
      </w:rPr>
      <w:t>The</w:t>
    </w:r>
    <w:proofErr w:type="gramEnd"/>
    <w:r>
      <w:rPr>
        <w:b/>
        <w:i/>
        <w:sz w:val="16"/>
      </w:rPr>
      <w:t xml:space="preserve"> Open Nursing Journal, Year, Vol. 0, No. 0    </w:t>
    </w:r>
    <w:r>
      <w:rPr>
        <w:b/>
        <w:sz w:val="16"/>
      </w:rPr>
      <w:fldChar w:fldCharType="begin"/>
    </w:r>
    <w:r>
      <w:rPr>
        <w:b/>
        <w:sz w:val="16"/>
      </w:rPr>
      <w:instrText xml:space="preserve"> PAGE </w:instrText>
    </w:r>
    <w:r>
      <w:rPr>
        <w:b/>
        <w:sz w:val="16"/>
      </w:rPr>
      <w:fldChar w:fldCharType="separate"/>
    </w:r>
    <w:r>
      <w:rPr>
        <w:b/>
        <w:sz w:val="16"/>
      </w:rPr>
      <w:t>3</w:t>
    </w:r>
    <w:r>
      <w:rPr>
        <w:b/>
        <w:sz w:val="16"/>
      </w:rPr>
      <w:fldChar w:fldCharType="end"/>
    </w:r>
  </w:p>
  <w:p w14:paraId="6F090FC6" w14:textId="77777777" w:rsidR="0027146C" w:rsidRDefault="0027146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7990" w14:textId="77777777" w:rsidR="0027146C" w:rsidRDefault="00000000">
    <w:pPr>
      <w:pStyle w:val="Header"/>
      <w:tabs>
        <w:tab w:val="clear" w:pos="4320"/>
        <w:tab w:val="clear" w:pos="8640"/>
        <w:tab w:val="center" w:pos="5100"/>
        <w:tab w:val="right" w:pos="10200"/>
      </w:tabs>
      <w:spacing w:after="100" w:line="180" w:lineRule="exact"/>
      <w:jc w:val="right"/>
    </w:pPr>
    <w:r>
      <w:rPr>
        <w:b/>
        <w:i/>
        <w:sz w:val="18"/>
        <w:shd w:val="clear" w:color="auto" w:fill="CCCCCC"/>
      </w:rPr>
      <w:t>Send Orders for Reprints to reprints@benthamscience.</w:t>
    </w:r>
    <w:r>
      <w:rPr>
        <w:b/>
        <w:i/>
        <w:color w:val="000000"/>
        <w:sz w:val="18"/>
        <w:shd w:val="clear" w:color="auto" w:fill="CCCCCC"/>
      </w:rPr>
      <w:t>net</w:t>
    </w:r>
  </w:p>
  <w:p w14:paraId="36F44841" w14:textId="6C9AE3DC" w:rsidR="0027146C" w:rsidRDefault="00000000">
    <w:pPr>
      <w:pStyle w:val="Header"/>
      <w:tabs>
        <w:tab w:val="clear" w:pos="4320"/>
        <w:tab w:val="clear" w:pos="8640"/>
        <w:tab w:val="center" w:pos="5100"/>
        <w:tab w:val="right" w:pos="10200"/>
      </w:tabs>
      <w:spacing w:after="240"/>
    </w:pPr>
    <w:r>
      <w:rPr>
        <w:b/>
        <w:i/>
        <w:sz w:val="16"/>
      </w:rPr>
      <w:tab/>
    </w:r>
    <w:r w:rsidR="00A04996" w:rsidRPr="00A04996">
      <w:rPr>
        <w:b/>
        <w:i/>
        <w:sz w:val="16"/>
      </w:rPr>
      <w:t>The Open Nursing Journal, Year, Volume, Pagination</w:t>
    </w:r>
    <w:r>
      <w:rPr>
        <w:b/>
        <w:i/>
        <w:sz w:val="16"/>
      </w:rPr>
      <w:tab/>
    </w:r>
    <w:r>
      <w:rPr>
        <w:rStyle w:val="PageNumber"/>
        <w:b/>
        <w:sz w:val="16"/>
      </w:rPr>
      <w:fldChar w:fldCharType="begin"/>
    </w:r>
    <w:r>
      <w:rPr>
        <w:rStyle w:val="PageNumber"/>
        <w:b/>
        <w:sz w:val="16"/>
      </w:rPr>
      <w:instrText xml:space="preserve"> PAGE </w:instrText>
    </w:r>
    <w:r>
      <w:rPr>
        <w:rStyle w:val="PageNumber"/>
        <w:b/>
        <w:sz w:val="16"/>
      </w:rPr>
      <w:fldChar w:fldCharType="separate"/>
    </w:r>
    <w:r>
      <w:rPr>
        <w:rStyle w:val="PageNumber"/>
        <w:b/>
        <w:sz w:val="16"/>
      </w:rPr>
      <w:t>1</w:t>
    </w:r>
    <w:r>
      <w:rPr>
        <w:rStyle w:val="PageNumber"/>
        <w:b/>
        <w:sz w:val="16"/>
      </w:rPr>
      <w:fldChar w:fldCharType="end"/>
    </w:r>
  </w:p>
  <w:p w14:paraId="5484AF44" w14:textId="77777777" w:rsidR="0027146C" w:rsidRDefault="002714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64B2"/>
    <w:multiLevelType w:val="multilevel"/>
    <w:tmpl w:val="819CB822"/>
    <w:lvl w:ilvl="0">
      <w:start w:val="1"/>
      <w:numFmt w:val="decimal"/>
      <w:pStyle w:val="ColorfulList-Accent11"/>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00B2720"/>
    <w:multiLevelType w:val="multilevel"/>
    <w:tmpl w:val="7C9E60D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6F97937"/>
    <w:multiLevelType w:val="multilevel"/>
    <w:tmpl w:val="FF923E1E"/>
    <w:lvl w:ilvl="0">
      <w:start w:val="1"/>
      <w:numFmt w:val="none"/>
      <w:pStyle w:val="Heading1"/>
      <w:suff w:val="nothing"/>
      <w:lvlText w:val=""/>
      <w:lvlJc w:val="left"/>
      <w:pPr>
        <w:tabs>
          <w:tab w:val="num" w:pos="0"/>
        </w:tabs>
        <w:ind w:left="-1080" w:firstLine="0"/>
      </w:pPr>
    </w:lvl>
    <w:lvl w:ilvl="1">
      <w:start w:val="1"/>
      <w:numFmt w:val="none"/>
      <w:pStyle w:val="Heading2"/>
      <w:suff w:val="nothing"/>
      <w:lvlText w:val=""/>
      <w:lvlJc w:val="left"/>
      <w:pPr>
        <w:tabs>
          <w:tab w:val="num" w:pos="0"/>
        </w:tabs>
        <w:ind w:left="-1080" w:firstLine="0"/>
      </w:pPr>
    </w:lvl>
    <w:lvl w:ilvl="2">
      <w:start w:val="1"/>
      <w:numFmt w:val="none"/>
      <w:pStyle w:val="Heading3"/>
      <w:suff w:val="nothing"/>
      <w:lvlText w:val=""/>
      <w:lvlJc w:val="left"/>
      <w:pPr>
        <w:tabs>
          <w:tab w:val="num" w:pos="0"/>
        </w:tabs>
        <w:ind w:left="-1080" w:firstLine="0"/>
      </w:pPr>
    </w:lvl>
    <w:lvl w:ilvl="3">
      <w:start w:val="1"/>
      <w:numFmt w:val="none"/>
      <w:pStyle w:val="Heading4"/>
      <w:suff w:val="nothing"/>
      <w:lvlText w:val=""/>
      <w:lvlJc w:val="left"/>
      <w:pPr>
        <w:tabs>
          <w:tab w:val="num" w:pos="0"/>
        </w:tabs>
        <w:ind w:left="-1080" w:firstLine="0"/>
      </w:pPr>
    </w:lvl>
    <w:lvl w:ilvl="4">
      <w:start w:val="1"/>
      <w:numFmt w:val="none"/>
      <w:pStyle w:val="Heading5"/>
      <w:suff w:val="nothing"/>
      <w:lvlText w:val=""/>
      <w:lvlJc w:val="left"/>
      <w:pPr>
        <w:tabs>
          <w:tab w:val="num" w:pos="0"/>
        </w:tabs>
        <w:ind w:left="-1080" w:firstLine="0"/>
      </w:pPr>
    </w:lvl>
    <w:lvl w:ilvl="5">
      <w:start w:val="1"/>
      <w:numFmt w:val="none"/>
      <w:pStyle w:val="Heading6"/>
      <w:suff w:val="nothing"/>
      <w:lvlText w:val=""/>
      <w:lvlJc w:val="left"/>
      <w:pPr>
        <w:tabs>
          <w:tab w:val="num" w:pos="0"/>
        </w:tabs>
        <w:ind w:left="-1080" w:firstLine="0"/>
      </w:pPr>
    </w:lvl>
    <w:lvl w:ilvl="6">
      <w:start w:val="1"/>
      <w:numFmt w:val="none"/>
      <w:suff w:val="nothing"/>
      <w:lvlText w:val=""/>
      <w:lvlJc w:val="left"/>
      <w:pPr>
        <w:tabs>
          <w:tab w:val="num" w:pos="0"/>
        </w:tabs>
        <w:ind w:left="-1080" w:firstLine="0"/>
      </w:pPr>
    </w:lvl>
    <w:lvl w:ilvl="7">
      <w:start w:val="1"/>
      <w:numFmt w:val="none"/>
      <w:suff w:val="nothing"/>
      <w:lvlText w:val=""/>
      <w:lvlJc w:val="left"/>
      <w:pPr>
        <w:tabs>
          <w:tab w:val="num" w:pos="0"/>
        </w:tabs>
        <w:ind w:left="-1080" w:firstLine="0"/>
      </w:pPr>
    </w:lvl>
    <w:lvl w:ilvl="8">
      <w:start w:val="1"/>
      <w:numFmt w:val="none"/>
      <w:suff w:val="nothing"/>
      <w:lvlText w:val=""/>
      <w:lvlJc w:val="left"/>
      <w:pPr>
        <w:tabs>
          <w:tab w:val="num" w:pos="0"/>
        </w:tabs>
        <w:ind w:left="-1080" w:firstLine="0"/>
      </w:pPr>
    </w:lvl>
  </w:abstractNum>
  <w:abstractNum w:abstractNumId="3" w15:restartNumberingAfterBreak="0">
    <w:nsid w:val="59B246F2"/>
    <w:multiLevelType w:val="multilevel"/>
    <w:tmpl w:val="E27095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71AD5939"/>
    <w:multiLevelType w:val="multilevel"/>
    <w:tmpl w:val="61BAAC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95196955">
    <w:abstractNumId w:val="2"/>
  </w:num>
  <w:num w:numId="2" w16cid:durableId="262108769">
    <w:abstractNumId w:val="1"/>
  </w:num>
  <w:num w:numId="3" w16cid:durableId="1355881501">
    <w:abstractNumId w:val="0"/>
  </w:num>
  <w:num w:numId="4" w16cid:durableId="1522477771">
    <w:abstractNumId w:val="3"/>
  </w:num>
  <w:num w:numId="5" w16cid:durableId="1497451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46C"/>
    <w:rsid w:val="00043452"/>
    <w:rsid w:val="00146C58"/>
    <w:rsid w:val="0015194D"/>
    <w:rsid w:val="001D3950"/>
    <w:rsid w:val="001E57D8"/>
    <w:rsid w:val="0027146C"/>
    <w:rsid w:val="002B320A"/>
    <w:rsid w:val="00374C74"/>
    <w:rsid w:val="00416629"/>
    <w:rsid w:val="00437B21"/>
    <w:rsid w:val="004B0674"/>
    <w:rsid w:val="004C1DD5"/>
    <w:rsid w:val="00716DF8"/>
    <w:rsid w:val="00851AF4"/>
    <w:rsid w:val="009F0C5B"/>
    <w:rsid w:val="00A04996"/>
    <w:rsid w:val="00A7191F"/>
    <w:rsid w:val="00B720E1"/>
    <w:rsid w:val="00C1039B"/>
    <w:rsid w:val="00C34CD3"/>
    <w:rsid w:val="00CC24B2"/>
    <w:rsid w:val="00D25764"/>
    <w:rsid w:val="00D72414"/>
    <w:rsid w:val="00DB091D"/>
    <w:rsid w:val="00DC2792"/>
    <w:rsid w:val="00E2092A"/>
    <w:rsid w:val="00EC5542"/>
    <w:rsid w:val="00F4456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A4966"/>
  <w15:docId w15:val="{70065685-BF5D-4C7C-B0A1-E61F001C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lang w:eastAsia="zh-CN"/>
    </w:rPr>
  </w:style>
  <w:style w:type="paragraph" w:styleId="Heading1">
    <w:name w:val="heading 1"/>
    <w:basedOn w:val="Normal"/>
    <w:next w:val="BodyText"/>
    <w:qFormat/>
    <w:pPr>
      <w:numPr>
        <w:numId w:val="1"/>
      </w:numPr>
      <w:spacing w:before="280" w:after="280"/>
      <w:outlineLvl w:val="0"/>
    </w:pPr>
    <w:rPr>
      <w:rFonts w:eastAsia="Batang"/>
      <w:b/>
      <w:bCs/>
      <w:kern w:val="2"/>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paragraph" w:styleId="Heading3">
    <w:name w:val="heading 3"/>
    <w:basedOn w:val="Normal"/>
    <w:next w:val="BodyText"/>
    <w:qFormat/>
    <w:pPr>
      <w:numPr>
        <w:ilvl w:val="2"/>
        <w:numId w:val="1"/>
      </w:numPr>
      <w:spacing w:before="280" w:after="280"/>
      <w:outlineLvl w:val="2"/>
    </w:pPr>
    <w:rPr>
      <w:rFonts w:eastAsia="Batang"/>
      <w:b/>
      <w:bCs/>
      <w:sz w:val="27"/>
      <w:szCs w:val="27"/>
    </w:rPr>
  </w:style>
  <w:style w:type="paragraph" w:styleId="Heading4">
    <w:name w:val="heading 4"/>
    <w:basedOn w:val="Normal"/>
    <w:next w:val="Normal"/>
    <w:qFormat/>
    <w:pPr>
      <w:keepNext/>
      <w:widowControl w:val="0"/>
      <w:numPr>
        <w:ilvl w:val="3"/>
        <w:numId w:val="1"/>
      </w:numPr>
      <w:spacing w:before="240" w:after="60"/>
      <w:outlineLvl w:val="3"/>
    </w:pPr>
    <w:rPr>
      <w:rFonts w:ascii="Times" w:eastAsia="Batang" w:hAnsi="Times" w:cs="Times"/>
      <w:b/>
      <w:bCs/>
      <w:lang w:eastAsia="en-US"/>
    </w:rPr>
  </w:style>
  <w:style w:type="paragraph" w:styleId="Heading5">
    <w:name w:val="heading 5"/>
    <w:basedOn w:val="Normal"/>
    <w:next w:val="Normal"/>
    <w:qFormat/>
    <w:pPr>
      <w:keepNext/>
      <w:widowControl w:val="0"/>
      <w:numPr>
        <w:ilvl w:val="4"/>
        <w:numId w:val="1"/>
      </w:numPr>
      <w:spacing w:before="240" w:after="60"/>
      <w:outlineLvl w:val="4"/>
    </w:pPr>
    <w:rPr>
      <w:rFonts w:ascii="Times" w:eastAsia="Batang" w:hAnsi="Times" w:cs="Times"/>
      <w:b/>
      <w:bCs/>
      <w:lang w:eastAsia="en-US"/>
    </w:rPr>
  </w:style>
  <w:style w:type="paragraph" w:styleId="Heading6">
    <w:name w:val="heading 6"/>
    <w:basedOn w:val="Normal"/>
    <w:next w:val="Normal"/>
    <w:qFormat/>
    <w:pPr>
      <w:keepNext/>
      <w:widowControl w:val="0"/>
      <w:numPr>
        <w:ilvl w:val="5"/>
        <w:numId w:val="1"/>
      </w:numPr>
      <w:spacing w:before="240" w:after="60"/>
      <w:outlineLvl w:val="5"/>
    </w:pPr>
    <w:rPr>
      <w:rFonts w:ascii="Times" w:eastAsia="Batang" w:hAnsi="Times" w:cs="Times"/>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color w:val="000000"/>
      <w:sz w:val="20"/>
      <w:szCs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eastAsia="SimSun" w:hAnsi="Symbol" w:cs="Symbol"/>
      <w:sz w:val="20"/>
      <w:szCs w:val="20"/>
    </w:rPr>
  </w:style>
  <w:style w:type="character" w:customStyle="1" w:styleId="WW8Num3z1">
    <w:name w:val="WW8Num3z1"/>
    <w:qFormat/>
    <w:rPr>
      <w:rFonts w:ascii="Courier New" w:hAnsi="Courier New" w:cs="Times New Roman"/>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color w:val="000000"/>
      <w:sz w:val="20"/>
      <w:szCs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b/>
      <w:color w:val="0000CC"/>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color w:val="000000"/>
      <w:sz w:val="20"/>
      <w:szCs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color w:val="000000"/>
      <w:sz w:val="20"/>
      <w:szCs w:val="20"/>
    </w:rPr>
  </w:style>
  <w:style w:type="character" w:customStyle="1" w:styleId="WW8Num7z1">
    <w:name w:val="WW8Num7z1"/>
    <w:qFormat/>
    <w:rPr>
      <w:rFonts w:ascii="Courier New" w:hAnsi="Courier New" w:cs="Courier New"/>
      <w:sz w:val="20"/>
    </w:rPr>
  </w:style>
  <w:style w:type="character" w:customStyle="1" w:styleId="WW8Num7z2">
    <w:name w:val="WW8Num7z2"/>
    <w:qFormat/>
    <w:rPr>
      <w:rFonts w:ascii="Wingdings" w:hAnsi="Wingdings" w:cs="Wingdings"/>
      <w:sz w:val="20"/>
    </w:rPr>
  </w:style>
  <w:style w:type="character" w:customStyle="1" w:styleId="WW8Num8z0">
    <w:name w:val="WW8Num8z0"/>
    <w:qFormat/>
    <w:rPr>
      <w:rFonts w:ascii="Symbol" w:hAnsi="Symbol" w:cs="Symbol"/>
      <w:color w:val="000000"/>
      <w:sz w:val="20"/>
      <w:szCs w:val="20"/>
    </w:rPr>
  </w:style>
  <w:style w:type="character" w:customStyle="1" w:styleId="WW8Num8z1">
    <w:name w:val="WW8Num8z1"/>
    <w:qFormat/>
    <w:rPr>
      <w:rFonts w:ascii="Courier New" w:hAnsi="Courier New" w:cs="Courier New"/>
      <w:sz w:val="20"/>
    </w:rPr>
  </w:style>
  <w:style w:type="character" w:customStyle="1" w:styleId="WW8Num8z2">
    <w:name w:val="WW8Num8z2"/>
    <w:qFormat/>
    <w:rPr>
      <w:rFonts w:ascii="Wingdings" w:hAnsi="Wingdings" w:cs="Wingdings"/>
      <w:sz w:val="20"/>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color w:val="000000"/>
      <w:sz w:val="20"/>
      <w:szCs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color w:val="000000"/>
      <w:sz w:val="20"/>
      <w:szCs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color w:val="000000"/>
      <w:sz w:val="20"/>
      <w:szCs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styleId="Emphasis">
    <w:name w:val="Emphasis"/>
    <w:qFormat/>
    <w:rPr>
      <w:i/>
      <w:iCs/>
    </w:rPr>
  </w:style>
  <w:style w:type="character" w:customStyle="1" w:styleId="colorkey12">
    <w:name w:val="color_key_12"/>
    <w:qFormat/>
    <w:rPr>
      <w:shd w:val="clear" w:color="auto" w:fill="FFD700"/>
    </w:rPr>
  </w:style>
  <w:style w:type="character" w:customStyle="1" w:styleId="colorkey21">
    <w:name w:val="color_key_21"/>
    <w:qFormat/>
    <w:rPr>
      <w:shd w:val="clear" w:color="auto" w:fill="00FF00"/>
    </w:rPr>
  </w:style>
  <w:style w:type="character" w:styleId="Hyperlink">
    <w:name w:val="Hyperlink"/>
    <w:rPr>
      <w:color w:val="0000FF"/>
      <w:u w:val="single"/>
    </w:rPr>
  </w:style>
  <w:style w:type="character" w:customStyle="1" w:styleId="PiedepginaCar">
    <w:name w:val="Pie de página Car"/>
    <w:qFormat/>
    <w:rPr>
      <w:sz w:val="22"/>
      <w:szCs w:val="22"/>
    </w:rPr>
  </w:style>
  <w:style w:type="character" w:customStyle="1" w:styleId="hithilite1">
    <w:name w:val="hithilite1"/>
    <w:qFormat/>
    <w:rPr>
      <w:shd w:val="clear" w:color="auto" w:fill="FFF3C6"/>
    </w:rPr>
  </w:style>
  <w:style w:type="character" w:customStyle="1" w:styleId="databold1">
    <w:name w:val="data_bold1"/>
    <w:qFormat/>
    <w:rPr>
      <w:b/>
      <w:bCs/>
    </w:rPr>
  </w:style>
  <w:style w:type="character" w:styleId="Strong">
    <w:name w:val="Strong"/>
    <w:qFormat/>
    <w:rPr>
      <w:b/>
      <w:bCs/>
    </w:rPr>
  </w:style>
  <w:style w:type="character" w:customStyle="1" w:styleId="f1">
    <w:name w:val="f1"/>
    <w:qFormat/>
    <w:rPr>
      <w:color w:val="676767"/>
    </w:rPr>
  </w:style>
  <w:style w:type="character" w:customStyle="1" w:styleId="hit">
    <w:name w:val="hit"/>
    <w:basedOn w:val="DefaultParagraphFont"/>
    <w:qFormat/>
  </w:style>
  <w:style w:type="character" w:customStyle="1" w:styleId="smallv651">
    <w:name w:val="smallv651"/>
    <w:qFormat/>
    <w:rPr>
      <w:sz w:val="16"/>
      <w:szCs w:val="16"/>
    </w:rPr>
  </w:style>
  <w:style w:type="character" w:customStyle="1" w:styleId="frlabel1">
    <w:name w:val="fr_label1"/>
    <w:qFormat/>
    <w:rPr>
      <w:b/>
      <w:bCs/>
    </w:rPr>
  </w:style>
  <w:style w:type="character" w:customStyle="1" w:styleId="frsourcelabel1">
    <w:name w:val="fr_source_label1"/>
    <w:qFormat/>
    <w:rPr>
      <w:b/>
      <w:bCs/>
    </w:rPr>
  </w:style>
  <w:style w:type="character" w:styleId="PageNumber">
    <w:name w:val="page number"/>
    <w:basedOn w:val="DefaultParagraphFont"/>
    <w:qFormat/>
  </w:style>
  <w:style w:type="character" w:styleId="FollowedHyperlink">
    <w:name w:val="FollowedHyperlink"/>
    <w:rPr>
      <w:color w:val="800080"/>
      <w:u w:val="single"/>
    </w:rPr>
  </w:style>
  <w:style w:type="character" w:styleId="LineNumber">
    <w:name w:val="line number"/>
    <w:basedOn w:val="DefaultParagraphFont"/>
    <w:qFormat/>
  </w:style>
  <w:style w:type="character" w:customStyle="1" w:styleId="journalname">
    <w:name w:val="journalname"/>
    <w:basedOn w:val="DefaultParagraphFont"/>
    <w:qFormat/>
  </w:style>
  <w:style w:type="character" w:customStyle="1" w:styleId="yshortcuts">
    <w:name w:val="yshortcuts"/>
    <w:basedOn w:val="DefaultParagraphFont"/>
    <w:qFormat/>
  </w:style>
  <w:style w:type="character" w:styleId="HTMLCite">
    <w:name w:val="HTML Cite"/>
    <w:qFormat/>
    <w:rPr>
      <w:i/>
      <w:iCs/>
    </w:rPr>
  </w:style>
  <w:style w:type="character" w:customStyle="1" w:styleId="HeaderChar">
    <w:name w:val="Header Char"/>
    <w:qFormat/>
    <w:rPr>
      <w:sz w:val="24"/>
      <w:szCs w:val="24"/>
    </w:rPr>
  </w:style>
  <w:style w:type="character" w:customStyle="1" w:styleId="A2">
    <w:name w:val="A2"/>
    <w:qFormat/>
    <w:rPr>
      <w:rFonts w:cs="Meta Bold LF"/>
      <w:b/>
      <w:bCs/>
      <w:color w:val="211D1E"/>
      <w:sz w:val="15"/>
      <w:szCs w:val="15"/>
    </w:rPr>
  </w:style>
  <w:style w:type="character" w:customStyle="1" w:styleId="A7">
    <w:name w:val="A7"/>
    <w:qFormat/>
    <w:rPr>
      <w:rFonts w:cs="Relay"/>
      <w:b/>
      <w:bCs/>
      <w:color w:val="211D1E"/>
      <w:sz w:val="14"/>
      <w:szCs w:val="14"/>
    </w:rPr>
  </w:style>
  <w:style w:type="character" w:customStyle="1" w:styleId="BIEmailAddressChar">
    <w:name w:val="BI_Email_Address Char"/>
    <w:qFormat/>
    <w:rPr>
      <w:rFonts w:ascii="Times" w:eastAsia="SimSun" w:hAnsi="Times" w:cs="Times"/>
      <w:sz w:val="24"/>
      <w:lang w:val="en-US" w:bidi="ar-SA"/>
    </w:rPr>
  </w:style>
  <w:style w:type="character" w:customStyle="1" w:styleId="CharChar">
    <w:name w:val="Char Char"/>
    <w:qFormat/>
    <w:rPr>
      <w:rFonts w:ascii="Cambria" w:eastAsia="Times New Roman" w:hAnsi="Cambria" w:cs="Times New Roman"/>
      <w:b/>
      <w:bCs/>
      <w:i/>
      <w:iCs/>
      <w:sz w:val="28"/>
      <w:szCs w:val="28"/>
    </w:rPr>
  </w:style>
  <w:style w:type="character" w:customStyle="1" w:styleId="CharChar2">
    <w:name w:val="Char Char2"/>
    <w:qFormat/>
    <w:rPr>
      <w:rFonts w:ascii="Cambria" w:hAnsi="Cambria" w:cs="Cambria"/>
      <w:b/>
      <w:bCs/>
      <w:kern w:val="2"/>
      <w:sz w:val="32"/>
      <w:szCs w:val="32"/>
      <w:lang w:val="en-US" w:bidi="ar-SA"/>
    </w:rPr>
  </w:style>
  <w:style w:type="character" w:customStyle="1" w:styleId="CharChar1">
    <w:name w:val="Char Char1"/>
    <w:qFormat/>
    <w:rPr>
      <w:rFonts w:ascii="Cambria" w:eastAsia="Times New Roman" w:hAnsi="Cambria" w:cs="Times New Roman"/>
      <w:b/>
      <w:bCs/>
      <w:i/>
      <w:iCs/>
      <w:sz w:val="28"/>
      <w:szCs w:val="28"/>
    </w:rPr>
  </w:style>
  <w:style w:type="character" w:customStyle="1" w:styleId="xcitationtitle1">
    <w:name w:val="xcitationtitle1"/>
    <w:qFormat/>
    <w:rPr>
      <w:rFonts w:ascii="Verdana" w:hAnsi="Verdana" w:cs="Verdana"/>
      <w:b/>
      <w:bCs/>
      <w:sz w:val="21"/>
      <w:szCs w:val="21"/>
    </w:rPr>
  </w:style>
  <w:style w:type="character" w:customStyle="1" w:styleId="cit-sep2">
    <w:name w:val="cit-sep2"/>
    <w:basedOn w:val="DefaultParagraphFont"/>
    <w:qFormat/>
  </w:style>
  <w:style w:type="character" w:customStyle="1" w:styleId="cit-subtitle">
    <w:name w:val="cit-subtitle"/>
    <w:basedOn w:val="DefaultParagraphFont"/>
    <w:qFormat/>
  </w:style>
  <w:style w:type="character" w:customStyle="1" w:styleId="citation">
    <w:name w:val="citation"/>
    <w:basedOn w:val="DefaultParagraphFont"/>
    <w:qFormat/>
  </w:style>
  <w:style w:type="character" w:customStyle="1" w:styleId="article">
    <w:name w:val="article"/>
    <w:basedOn w:val="DefaultParagraphFont"/>
    <w:qFormat/>
  </w:style>
  <w:style w:type="character" w:customStyle="1" w:styleId="FootnoteCharacters">
    <w:name w:val="Footnote Characters"/>
    <w:qFormat/>
    <w:rPr>
      <w:vertAlign w:val="superscript"/>
    </w:rPr>
  </w:style>
  <w:style w:type="character" w:customStyle="1" w:styleId="volume">
    <w:name w:val="volume"/>
    <w:basedOn w:val="DefaultParagraphFont"/>
    <w:qFormat/>
  </w:style>
  <w:style w:type="character" w:customStyle="1" w:styleId="issue">
    <w:name w:val="issue"/>
    <w:basedOn w:val="DefaultParagraphFont"/>
    <w:qFormat/>
  </w:style>
  <w:style w:type="character" w:customStyle="1" w:styleId="pages">
    <w:name w:val="pages"/>
    <w:basedOn w:val="DefaultParagraphFont"/>
    <w:qFormat/>
  </w:style>
  <w:style w:type="character" w:customStyle="1" w:styleId="ti">
    <w:name w:val="ti"/>
    <w:basedOn w:val="DefaultParagraphFont"/>
    <w:qFormat/>
  </w:style>
  <w:style w:type="character" w:customStyle="1" w:styleId="linkbar">
    <w:name w:val="linkbar"/>
    <w:basedOn w:val="DefaultParagraphFont"/>
    <w:qFormat/>
  </w:style>
  <w:style w:type="character" w:customStyle="1" w:styleId="featuredlinkouts">
    <w:name w:val="featured_linkouts"/>
    <w:basedOn w:val="DefaultParagraphFont"/>
    <w:qFormat/>
  </w:style>
  <w:style w:type="character" w:customStyle="1" w:styleId="ti2">
    <w:name w:val="ti2"/>
    <w:qFormat/>
    <w:rPr>
      <w:sz w:val="22"/>
      <w:szCs w:val="22"/>
    </w:rPr>
  </w:style>
  <w:style w:type="character" w:customStyle="1" w:styleId="AlexionBodyTextChar">
    <w:name w:val="Alexion Body Text Char"/>
    <w:qFormat/>
    <w:rPr>
      <w:sz w:val="24"/>
      <w:lang w:val="en-US" w:bidi="ar-SA"/>
    </w:rPr>
  </w:style>
  <w:style w:type="character" w:customStyle="1" w:styleId="src1">
    <w:name w:val="src1"/>
    <w:qFormat/>
    <w:rPr>
      <w:vanish w:val="0"/>
    </w:rPr>
  </w:style>
  <w:style w:type="character" w:customStyle="1" w:styleId="jrnl">
    <w:name w:val="jrnl"/>
    <w:basedOn w:val="DefaultParagraphFont"/>
    <w:qFormat/>
  </w:style>
  <w:style w:type="character" w:customStyle="1" w:styleId="TitleChar">
    <w:name w:val="Title Char"/>
    <w:qFormat/>
    <w:rPr>
      <w:rFonts w:ascii="Cambria" w:eastAsia="Times New Roman" w:hAnsi="Cambria" w:cs="Times New Roman"/>
      <w:b/>
      <w:bCs/>
      <w:kern w:val="2"/>
      <w:sz w:val="32"/>
      <w:szCs w:val="32"/>
    </w:rPr>
  </w:style>
  <w:style w:type="character" w:customStyle="1" w:styleId="IntensivesAnfhrungszeichenZchn">
    <w:name w:val="Intensives Anführungszeichen Zchn"/>
    <w:qFormat/>
    <w:rPr>
      <w:b/>
      <w:bCs/>
      <w:i/>
      <w:iCs/>
      <w:color w:val="4F81BD"/>
      <w:sz w:val="24"/>
      <w:szCs w:val="24"/>
    </w:rPr>
  </w:style>
  <w:style w:type="character" w:customStyle="1" w:styleId="FooterChar">
    <w:name w:val="Footer Char"/>
    <w:qFormat/>
    <w:rPr>
      <w:sz w:val="24"/>
      <w:szCs w:val="24"/>
    </w:rPr>
  </w:style>
  <w:style w:type="character" w:customStyle="1" w:styleId="FootnoteTextChar">
    <w:name w:val="Footnote Text Char"/>
    <w:basedOn w:val="DefaultParagraphFont"/>
    <w:qFormat/>
  </w:style>
  <w:style w:type="character" w:customStyle="1" w:styleId="EndnoteTextChar">
    <w:name w:val="Endnote Text Char"/>
    <w:basedOn w:val="DefaultParagraphFont"/>
    <w:qFormat/>
  </w:style>
  <w:style w:type="character" w:customStyle="1" w:styleId="EndnoteCharacters">
    <w:name w:val="Endnote Characters"/>
    <w:qFormat/>
    <w:rPr>
      <w:vertAlign w:val="superscript"/>
    </w:rPr>
  </w:style>
  <w:style w:type="character" w:customStyle="1" w:styleId="IntensiveHervorhebung1">
    <w:name w:val="Intensive Hervorhebung1"/>
    <w:qFormat/>
    <w:rPr>
      <w:b/>
      <w:bCs/>
      <w:i/>
      <w:iCs/>
      <w:color w:val="4F81BD"/>
    </w:rPr>
  </w:style>
  <w:style w:type="character" w:customStyle="1" w:styleId="Heading1Char">
    <w:name w:val="Heading 1 Char"/>
    <w:qFormat/>
    <w:rPr>
      <w:rFonts w:ascii="Cambria" w:eastAsia="Times New Roman" w:hAnsi="Cambria" w:cs="Times New Roman"/>
      <w:b/>
      <w:bCs/>
      <w:kern w:val="2"/>
      <w:sz w:val="32"/>
      <w:szCs w:val="32"/>
    </w:rPr>
  </w:style>
  <w:style w:type="character" w:customStyle="1" w:styleId="ListBulletChar">
    <w:name w:val="List Bullet Char"/>
    <w:qFormat/>
    <w:rPr>
      <w:sz w:val="24"/>
      <w:szCs w:val="24"/>
      <w:lang w:val="de-DE" w:bidi="ar-SA"/>
    </w:rPr>
  </w:style>
  <w:style w:type="character" w:styleId="CommentReference">
    <w:name w:val="annotation reference"/>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customStyle="1" w:styleId="BalloonTextChar">
    <w:name w:val="Balloon Text Char"/>
    <w:qFormat/>
    <w:rPr>
      <w:rFonts w:ascii="Tahoma" w:hAnsi="Tahoma" w:cs="Tahoma"/>
      <w:sz w:val="16"/>
      <w:szCs w:val="16"/>
    </w:rPr>
  </w:style>
  <w:style w:type="character" w:customStyle="1" w:styleId="CharChar6">
    <w:name w:val="Char Char6"/>
    <w:qFormat/>
    <w:rPr>
      <w:b/>
      <w:bCs/>
      <w:kern w:val="2"/>
      <w:sz w:val="48"/>
      <w:szCs w:val="48"/>
    </w:rPr>
  </w:style>
  <w:style w:type="character" w:customStyle="1" w:styleId="CharChar5">
    <w:name w:val="Char Char5"/>
    <w:qFormat/>
    <w:rPr>
      <w:rFonts w:ascii="Cambria" w:eastAsia="Times New Roman" w:hAnsi="Cambria" w:cs="Times New Roman"/>
      <w:b/>
      <w:bCs/>
      <w:i/>
      <w:iCs/>
      <w:sz w:val="28"/>
      <w:szCs w:val="28"/>
    </w:rPr>
  </w:style>
  <w:style w:type="character" w:customStyle="1" w:styleId="CharChar3">
    <w:name w:val="Char Char3"/>
    <w:qFormat/>
    <w:rPr>
      <w:b/>
      <w:bCs/>
      <w:sz w:val="28"/>
      <w:szCs w:val="28"/>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black-text-b">
    <w:name w:val="black-text-b"/>
    <w:basedOn w:val="DefaultParagraphFont"/>
    <w:qFormat/>
  </w:style>
  <w:style w:type="character" w:customStyle="1" w:styleId="pagetext">
    <w:name w:val="page_text"/>
    <w:basedOn w:val="DefaultParagraphFont"/>
    <w:qFormat/>
  </w:style>
  <w:style w:type="character" w:customStyle="1" w:styleId="nbapihighlight">
    <w:name w:val="nbapihighlight"/>
    <w:basedOn w:val="DefaultParagraphFont"/>
    <w:qFormat/>
  </w:style>
  <w:style w:type="character" w:customStyle="1" w:styleId="citation-abbreviation">
    <w:name w:val="citation-abbreviation"/>
    <w:basedOn w:val="DefaultParagraphFont"/>
    <w:qFormat/>
  </w:style>
  <w:style w:type="character" w:customStyle="1" w:styleId="citation-publication-date">
    <w:name w:val="citation-publication-date"/>
    <w:basedOn w:val="DefaultParagraphFont"/>
    <w:qFormat/>
  </w:style>
  <w:style w:type="character" w:customStyle="1" w:styleId="citation-volume">
    <w:name w:val="citation-volume"/>
    <w:basedOn w:val="DefaultParagraphFont"/>
    <w:qFormat/>
  </w:style>
  <w:style w:type="character" w:customStyle="1" w:styleId="citation-issue">
    <w:name w:val="citation-issue"/>
    <w:basedOn w:val="DefaultParagraphFont"/>
    <w:qFormat/>
  </w:style>
  <w:style w:type="character" w:customStyle="1" w:styleId="citation-flpages">
    <w:name w:val="citation-flpages"/>
    <w:basedOn w:val="DefaultParagraphFont"/>
    <w:qFormat/>
  </w:style>
  <w:style w:type="character" w:customStyle="1" w:styleId="cit-auth2">
    <w:name w:val="cit-auth2"/>
    <w:basedOn w:val="DefaultParagraphFont"/>
    <w:qFormat/>
  </w:style>
  <w:style w:type="character" w:customStyle="1" w:styleId="cit-name-surname">
    <w:name w:val="cit-name-surname"/>
    <w:basedOn w:val="DefaultParagraphFont"/>
    <w:qFormat/>
  </w:style>
  <w:style w:type="character" w:customStyle="1" w:styleId="cit-name-given-names">
    <w:name w:val="cit-name-given-names"/>
    <w:basedOn w:val="DefaultParagraphFont"/>
    <w:qFormat/>
  </w:style>
  <w:style w:type="character" w:customStyle="1" w:styleId="cit-etal">
    <w:name w:val="cit-etal"/>
    <w:basedOn w:val="DefaultParagraphFont"/>
    <w:qFormat/>
  </w:style>
  <w:style w:type="character" w:customStyle="1" w:styleId="cit-pub-date">
    <w:name w:val="cit-pub-date"/>
    <w:basedOn w:val="DefaultParagraphFont"/>
    <w:qFormat/>
  </w:style>
  <w:style w:type="character" w:customStyle="1" w:styleId="cit-article-title">
    <w:name w:val="cit-article-title"/>
    <w:basedOn w:val="DefaultParagraphFont"/>
    <w:qFormat/>
  </w:style>
  <w:style w:type="character" w:customStyle="1" w:styleId="cit-vol3">
    <w:name w:val="cit-vol3"/>
    <w:basedOn w:val="DefaultParagraphFont"/>
    <w:qFormat/>
  </w:style>
  <w:style w:type="character" w:customStyle="1" w:styleId="cit-supplement">
    <w:name w:val="cit-supplement"/>
    <w:basedOn w:val="DefaultParagraphFont"/>
    <w:qFormat/>
  </w:style>
  <w:style w:type="character" w:customStyle="1" w:styleId="cit-fpage">
    <w:name w:val="cit-fpage"/>
    <w:basedOn w:val="DefaultParagraphFont"/>
    <w:qFormat/>
  </w:style>
  <w:style w:type="character" w:customStyle="1" w:styleId="cit-comment">
    <w:name w:val="cit-comment"/>
    <w:basedOn w:val="DefaultParagraphFont"/>
    <w:qFormat/>
  </w:style>
  <w:style w:type="character" w:customStyle="1" w:styleId="refpreview1">
    <w:name w:val="refpreview1"/>
    <w:qFormat/>
    <w:rPr>
      <w:vanish/>
      <w:shd w:val="clear" w:color="auto" w:fill="EEEEEE"/>
    </w:rPr>
  </w:style>
  <w:style w:type="character" w:customStyle="1" w:styleId="nbapihighlight2">
    <w:name w:val="nbapihighlight2"/>
    <w:basedOn w:val="DefaultParagraphFont"/>
    <w:qFormat/>
  </w:style>
  <w:style w:type="character" w:customStyle="1" w:styleId="referencetext1">
    <w:name w:val="referencetext1"/>
    <w:qFormat/>
    <w:rPr>
      <w:vanish w:val="0"/>
    </w:rPr>
  </w:style>
  <w:style w:type="character" w:customStyle="1" w:styleId="highlight">
    <w:name w:val="highlight"/>
    <w:basedOn w:val="DefaultParagraphFont"/>
    <w:qFormat/>
  </w:style>
  <w:style w:type="character" w:customStyle="1" w:styleId="citationbook">
    <w:name w:val="citation book"/>
    <w:basedOn w:val="DefaultParagraphFont"/>
    <w:qFormat/>
  </w:style>
  <w:style w:type="character" w:customStyle="1" w:styleId="citationjournal">
    <w:name w:val="citation journal"/>
    <w:basedOn w:val="DefaultParagraphFont"/>
    <w:qFormat/>
  </w:style>
  <w:style w:type="character" w:customStyle="1" w:styleId="spipsurligne">
    <w:name w:val="spip_surligne"/>
    <w:basedOn w:val="DefaultParagraphFont"/>
    <w:qFormat/>
  </w:style>
  <w:style w:type="character" w:customStyle="1" w:styleId="name">
    <w:name w:val="name"/>
    <w:basedOn w:val="DefaultParagraphFont"/>
    <w:qFormat/>
  </w:style>
  <w:style w:type="character" w:customStyle="1" w:styleId="slug-pub-date">
    <w:name w:val="slug-pub-date"/>
    <w:basedOn w:val="DefaultParagraphFont"/>
    <w:qFormat/>
  </w:style>
  <w:style w:type="character" w:customStyle="1" w:styleId="slug-vol">
    <w:name w:val="slug-vol"/>
    <w:basedOn w:val="DefaultParagraphFont"/>
    <w:qFormat/>
  </w:style>
  <w:style w:type="character" w:customStyle="1" w:styleId="slug-pages">
    <w:name w:val="slug-pages"/>
    <w:basedOn w:val="DefaultParagraphFont"/>
    <w:qFormat/>
  </w:style>
  <w:style w:type="character" w:customStyle="1" w:styleId="hidden1">
    <w:name w:val="hidden1"/>
    <w:basedOn w:val="DefaultParagraphFont"/>
    <w:qFormat/>
  </w:style>
  <w:style w:type="character" w:customStyle="1" w:styleId="hps">
    <w:name w:val="hps"/>
    <w:basedOn w:val="DefaultParagraphFont"/>
    <w:qFormat/>
  </w:style>
  <w:style w:type="character" w:customStyle="1" w:styleId="hpsatn">
    <w:name w:val="hps atn"/>
    <w:basedOn w:val="DefaultParagraphFont"/>
    <w:qFormat/>
  </w:style>
  <w:style w:type="character" w:customStyle="1" w:styleId="atn">
    <w:name w:val="atn"/>
    <w:basedOn w:val="DefaultParagraphFont"/>
    <w:qFormat/>
  </w:style>
  <w:style w:type="character" w:customStyle="1" w:styleId="printhide">
    <w:name w:val="printhide"/>
    <w:basedOn w:val="DefaultParagraphFont"/>
    <w:qFormat/>
  </w:style>
  <w:style w:type="character" w:customStyle="1" w:styleId="spelle">
    <w:name w:val="spelle"/>
    <w:basedOn w:val="DefaultParagraphFont"/>
    <w:qFormat/>
  </w:style>
  <w:style w:type="character" w:customStyle="1" w:styleId="Subtitle1">
    <w:name w:val="Subtitle1"/>
    <w:basedOn w:val="DefaultParagraphFont"/>
    <w:qFormat/>
  </w:style>
  <w:style w:type="character" w:customStyle="1" w:styleId="st">
    <w:name w:val="st"/>
    <w:basedOn w:val="DefaultParagraphFont"/>
    <w:qFormat/>
  </w:style>
  <w:style w:type="character" w:customStyle="1" w:styleId="Ttulo1Char">
    <w:name w:val="Título 1 Char"/>
    <w:qFormat/>
    <w:rPr>
      <w:rFonts w:cs="Arial"/>
      <w:b/>
      <w:bCs/>
      <w:kern w:val="2"/>
      <w:sz w:val="24"/>
      <w:szCs w:val="32"/>
      <w:lang w:val="en-US" w:bidi="ar-SA"/>
    </w:rPr>
  </w:style>
  <w:style w:type="character" w:customStyle="1" w:styleId="RodapChar">
    <w:name w:val="Rodapé Char"/>
    <w:qFormat/>
    <w:rPr>
      <w:sz w:val="24"/>
      <w:szCs w:val="24"/>
      <w:lang w:val="en-US" w:bidi="ar-SA"/>
    </w:rPr>
  </w:style>
  <w:style w:type="character" w:customStyle="1" w:styleId="BCAuthorAddressCarattere">
    <w:name w:val="BC_Author_Address Carattere"/>
    <w:qFormat/>
    <w:rPr>
      <w:sz w:val="24"/>
      <w:lang w:val="it-IT"/>
    </w:rPr>
  </w:style>
  <w:style w:type="character" w:customStyle="1" w:styleId="rwrro">
    <w:name w:val="rwrro"/>
    <w:basedOn w:val="DefaultParagraphFont"/>
    <w:qFormat/>
  </w:style>
  <w:style w:type="character" w:customStyle="1" w:styleId="ldacoc">
    <w:name w:val="ldacoc"/>
    <w:basedOn w:val="DefaultParagraphFont"/>
    <w:qFormat/>
  </w:style>
  <w:style w:type="character" w:customStyle="1" w:styleId="TextodenotaderodapChar">
    <w:name w:val="Texto de nota de rodapé Char"/>
    <w:qFormat/>
    <w:rPr>
      <w:rFonts w:ascii="Times" w:hAnsi="Times" w:cs="Times"/>
      <w:sz w:val="24"/>
      <w:lang w:val="en-US" w:bidi="ar-SA"/>
    </w:rPr>
  </w:style>
  <w:style w:type="character" w:customStyle="1" w:styleId="book-details-italic1">
    <w:name w:val="book-details-italic1"/>
    <w:qFormat/>
    <w:rPr>
      <w:rFonts w:ascii="Georgia" w:hAnsi="Georgia" w:cs="Georgia"/>
      <w:color w:val="999999"/>
      <w:sz w:val="12"/>
      <w:szCs w:val="12"/>
    </w:rPr>
  </w:style>
  <w:style w:type="character" w:customStyle="1" w:styleId="mediumtext1">
    <w:name w:val="medium_text1"/>
    <w:qFormat/>
    <w:rPr>
      <w:sz w:val="24"/>
      <w:szCs w:val="24"/>
    </w:rPr>
  </w:style>
  <w:style w:type="character" w:customStyle="1" w:styleId="shorttext1">
    <w:name w:val="short_text1"/>
    <w:qFormat/>
    <w:rPr>
      <w:sz w:val="20"/>
      <w:szCs w:val="20"/>
    </w:rPr>
  </w:style>
  <w:style w:type="character" w:customStyle="1" w:styleId="Recuodecorpodetexto3Char">
    <w:name w:val="Recuo de corpo de texto 3 Char"/>
    <w:qFormat/>
    <w:rPr>
      <w:sz w:val="16"/>
      <w:szCs w:val="16"/>
      <w:lang w:val="es-ES" w:bidi="he-IL"/>
    </w:rPr>
  </w:style>
  <w:style w:type="character" w:customStyle="1" w:styleId="googqs-tidbit1">
    <w:name w:val="goog_qs-tidbit1"/>
    <w:qFormat/>
    <w:rPr>
      <w:vanish w:val="0"/>
    </w:rPr>
  </w:style>
  <w:style w:type="character" w:customStyle="1" w:styleId="SubtitleChar">
    <w:name w:val="Subtitle Char"/>
    <w:qFormat/>
    <w:rPr>
      <w:rFonts w:ascii="Cambria" w:eastAsia="MS Gothic" w:hAnsi="Cambria" w:cs="Times New Roman"/>
      <w:i/>
      <w:iCs/>
      <w:color w:val="4F81BD"/>
      <w:spacing w:val="15"/>
      <w:sz w:val="24"/>
      <w:szCs w:val="24"/>
    </w:rPr>
  </w:style>
  <w:style w:type="character" w:customStyle="1" w:styleId="NoSpacingChar">
    <w:name w:val="No Spacing Char"/>
    <w:qFormat/>
    <w:rPr>
      <w:rFonts w:eastAsia="MS Mincho"/>
    </w:rPr>
  </w:style>
  <w:style w:type="character" w:customStyle="1" w:styleId="slug-pub-date3">
    <w:name w:val="slug-pub-date3"/>
    <w:qFormat/>
    <w:rPr>
      <w:b/>
      <w:bCs/>
    </w:rPr>
  </w:style>
  <w:style w:type="character" w:customStyle="1" w:styleId="slug-elocation">
    <w:name w:val="slug-elocation"/>
    <w:basedOn w:val="DefaultParagraphFont"/>
    <w:qFormat/>
  </w:style>
  <w:style w:type="character" w:customStyle="1" w:styleId="st1">
    <w:name w:val="st1"/>
    <w:basedOn w:val="DefaultParagraphFont"/>
    <w:qFormat/>
  </w:style>
  <w:style w:type="character" w:customStyle="1" w:styleId="author1">
    <w:name w:val="author1"/>
    <w:qFormat/>
    <w:rPr>
      <w:rFonts w:ascii="Verdana" w:hAnsi="Verdana" w:cs="Verdana"/>
      <w:strike w:val="0"/>
      <w:dstrike w:val="0"/>
      <w:color w:val="000000"/>
      <w:sz w:val="20"/>
      <w:szCs w:val="20"/>
      <w:u w:val="none"/>
    </w:rPr>
  </w:style>
  <w:style w:type="character" w:customStyle="1" w:styleId="blacksml1">
    <w:name w:val="blacksml1"/>
    <w:qFormat/>
    <w:rPr>
      <w:rFonts w:ascii="Verdana" w:hAnsi="Verdana" w:cs="Verdana"/>
      <w:strike w:val="0"/>
      <w:dstrike w:val="0"/>
      <w:color w:val="000000"/>
      <w:sz w:val="15"/>
      <w:szCs w:val="15"/>
      <w:u w:val="none"/>
    </w:rPr>
  </w:style>
  <w:style w:type="character" w:customStyle="1" w:styleId="maintitle">
    <w:name w:val="maintitle"/>
    <w:basedOn w:val="DefaultParagraphFont"/>
    <w:qFormat/>
  </w:style>
  <w:style w:type="character" w:customStyle="1" w:styleId="abscitationtitle">
    <w:name w:val="abs_citation_title"/>
    <w:basedOn w:val="DefaultParagraphFont"/>
    <w:qFormat/>
  </w:style>
  <w:style w:type="character" w:customStyle="1" w:styleId="slug-issue">
    <w:name w:val="slug-issue"/>
    <w:basedOn w:val="DefaultParagraphFont"/>
    <w:qFormat/>
  </w:style>
  <w:style w:type="character" w:customStyle="1" w:styleId="slug-pages3">
    <w:name w:val="slug-pages3"/>
    <w:qFormat/>
    <w:rPr>
      <w:b/>
      <w:bCs/>
    </w:rPr>
  </w:style>
  <w:style w:type="character" w:styleId="HTMLTypewriter">
    <w:name w:val="HTML Typewriter"/>
    <w:qFormat/>
    <w:rPr>
      <w:rFonts w:ascii="Courier New" w:eastAsia="Times New Roman" w:hAnsi="Courier New" w:cs="Courier New"/>
      <w:sz w:val="20"/>
      <w:szCs w:val="20"/>
    </w:rPr>
  </w:style>
  <w:style w:type="character" w:customStyle="1" w:styleId="highlight1">
    <w:name w:val="highlight1"/>
    <w:qFormat/>
    <w:rPr>
      <w:shd w:val="clear" w:color="auto" w:fill="FEDB6D"/>
    </w:rPr>
  </w:style>
  <w:style w:type="character" w:customStyle="1" w:styleId="citation-abbreviation2">
    <w:name w:val="citation-abbreviation2"/>
    <w:basedOn w:val="DefaultParagraphFont"/>
    <w:qFormat/>
  </w:style>
  <w:style w:type="character" w:customStyle="1" w:styleId="author">
    <w:name w:val="author"/>
    <w:qFormat/>
  </w:style>
  <w:style w:type="character" w:customStyle="1" w:styleId="citationyear1">
    <w:name w:val="citation_year1"/>
    <w:qFormat/>
    <w:rPr>
      <w:b/>
      <w:bCs/>
    </w:rPr>
  </w:style>
  <w:style w:type="character" w:customStyle="1" w:styleId="citationvolume1">
    <w:name w:val="citation_volume1"/>
    <w:qFormat/>
    <w:rPr>
      <w:i/>
      <w:iCs/>
    </w:rPr>
  </w:style>
  <w:style w:type="character" w:customStyle="1" w:styleId="resnumber">
    <w:name w:val="resnumber"/>
    <w:basedOn w:val="DefaultParagraphFont"/>
    <w:qFormat/>
  </w:style>
  <w:style w:type="character" w:customStyle="1" w:styleId="ref-journal">
    <w:name w:val="ref-journal"/>
    <w:basedOn w:val="DefaultParagraphFont"/>
    <w:qFormat/>
  </w:style>
  <w:style w:type="character" w:customStyle="1" w:styleId="ref-vol">
    <w:name w:val="ref-vol"/>
    <w:basedOn w:val="DefaultParagraphFont"/>
    <w:qFormat/>
  </w:style>
  <w:style w:type="character" w:customStyle="1" w:styleId="label">
    <w:name w:val="label"/>
    <w:qFormat/>
  </w:style>
  <w:style w:type="character" w:customStyle="1" w:styleId="tl-lowest-section">
    <w:name w:val="tl-lowest-section"/>
    <w:qFormat/>
  </w:style>
  <w:style w:type="character" w:styleId="PlaceholderText">
    <w:name w:val="Placeholder Text"/>
    <w:basedOn w:val="DefaultParagraphFont"/>
    <w:uiPriority w:val="99"/>
    <w:semiHidden/>
    <w:qFormat/>
    <w:rsid w:val="009D1AF1"/>
    <w:rPr>
      <w:color w:val="808080"/>
    </w:rPr>
  </w:style>
  <w:style w:type="paragraph" w:customStyle="1" w:styleId="Heading">
    <w:name w:val="Heading"/>
    <w:basedOn w:val="Normal"/>
    <w:next w:val="Normal"/>
    <w:qFormat/>
    <w:pPr>
      <w:spacing w:after="460" w:line="230" w:lineRule="exact"/>
    </w:pPr>
    <w:rPr>
      <w:rFonts w:eastAsia="MS Mincho"/>
      <w:b/>
      <w:sz w:val="22"/>
      <w:lang w:val="de-DE" w:eastAsia="ja-JP"/>
    </w:rPr>
  </w:style>
  <w:style w:type="paragraph" w:styleId="BodyText">
    <w:name w:val="Body Text"/>
    <w:basedOn w:val="Normal"/>
    <w:pPr>
      <w:jc w:val="both"/>
    </w:pPr>
    <w:rPr>
      <w:szCs w:val="20"/>
    </w:rPr>
  </w:style>
  <w:style w:type="paragraph" w:styleId="List">
    <w:name w:val="List"/>
    <w:basedOn w:val="BodyText"/>
    <w:rPr>
      <w:rFonts w:cs="Lohit Devanagari"/>
    </w:rPr>
  </w:style>
  <w:style w:type="paragraph" w:styleId="Caption">
    <w:name w:val="caption"/>
    <w:basedOn w:val="Normal"/>
    <w:next w:val="Normal"/>
    <w:qFormat/>
    <w:rPr>
      <w:b/>
      <w:bCs/>
      <w:szCs w:val="20"/>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252"/>
        <w:tab w:val="right" w:pos="8504"/>
      </w:tabs>
      <w:jc w:val="both"/>
    </w:pPr>
    <w:rPr>
      <w:rFonts w:ascii="Calibri" w:eastAsia="Calibri" w:hAnsi="Calibri" w:cs="Calibri"/>
      <w:sz w:val="22"/>
      <w:szCs w:val="22"/>
      <w:lang w:val="es-ES_tradnl"/>
    </w:rPr>
  </w:style>
  <w:style w:type="paragraph" w:styleId="NormalWeb">
    <w:name w:val="Normal (Web)"/>
    <w:basedOn w:val="Normal"/>
    <w:uiPriority w:val="99"/>
    <w:qFormat/>
    <w:pPr>
      <w:spacing w:before="280" w:after="280"/>
    </w:pPr>
    <w:rPr>
      <w:lang w:val="es-ES_tradnl"/>
    </w:rPr>
  </w:style>
  <w:style w:type="paragraph" w:customStyle="1" w:styleId="TableHead">
    <w:name w:val="TableHead"/>
    <w:basedOn w:val="Normal"/>
    <w:qFormat/>
    <w:pPr>
      <w:spacing w:before="120" w:after="120" w:line="200" w:lineRule="exact"/>
    </w:pPr>
    <w:rPr>
      <w:rFonts w:ascii="Arial" w:eastAsia="MS Mincho" w:hAnsi="Arial" w:cs="Arial"/>
      <w:sz w:val="16"/>
      <w:lang w:val="en-GB" w:eastAsia="ja-JP"/>
    </w:rPr>
  </w:style>
  <w:style w:type="paragraph" w:customStyle="1" w:styleId="TableBody">
    <w:name w:val="TableBody"/>
    <w:basedOn w:val="Normal"/>
    <w:qFormat/>
    <w:pPr>
      <w:spacing w:before="120" w:after="120" w:line="230" w:lineRule="exact"/>
    </w:pPr>
    <w:rPr>
      <w:rFonts w:ascii="Arial" w:eastAsia="MS Mincho" w:hAnsi="Arial" w:cs="Arial"/>
      <w:sz w:val="16"/>
      <w:lang w:val="de-DE" w:eastAsia="ja-JP"/>
    </w:rPr>
  </w:style>
  <w:style w:type="paragraph" w:customStyle="1" w:styleId="01-MainHeading">
    <w:name w:val="01-Main Heading"/>
    <w:basedOn w:val="Normal"/>
    <w:qFormat/>
    <w:pPr>
      <w:spacing w:after="200" w:line="216" w:lineRule="auto"/>
      <w:jc w:val="both"/>
    </w:pPr>
    <w:rPr>
      <w:rFonts w:eastAsia="Times"/>
      <w:b/>
      <w:sz w:val="32"/>
      <w:szCs w:val="20"/>
    </w:rPr>
  </w:style>
  <w:style w:type="paragraph" w:customStyle="1" w:styleId="02-Author">
    <w:name w:val="02-Author"/>
    <w:basedOn w:val="Normal"/>
    <w:qFormat/>
    <w:pPr>
      <w:spacing w:before="240" w:after="480" w:line="220" w:lineRule="exact"/>
      <w:ind w:right="567"/>
    </w:pPr>
    <w:rPr>
      <w:rFonts w:eastAsia="Times"/>
      <w:szCs w:val="20"/>
    </w:rPr>
  </w:style>
  <w:style w:type="paragraph" w:customStyle="1" w:styleId="03-Address">
    <w:name w:val="03-Address"/>
    <w:basedOn w:val="Normal"/>
    <w:qFormat/>
    <w:pPr>
      <w:spacing w:after="240"/>
      <w:ind w:right="567"/>
      <w:jc w:val="both"/>
    </w:pPr>
    <w:rPr>
      <w:rFonts w:eastAsia="Times"/>
      <w:i/>
      <w:szCs w:val="20"/>
    </w:rPr>
  </w:style>
  <w:style w:type="paragraph" w:customStyle="1" w:styleId="04-abstract">
    <w:name w:val="04-abstract"/>
    <w:basedOn w:val="Normal"/>
    <w:qFormat/>
    <w:pPr>
      <w:spacing w:after="360" w:line="220" w:lineRule="exact"/>
      <w:ind w:left="851" w:right="567"/>
      <w:jc w:val="both"/>
    </w:pPr>
    <w:rPr>
      <w:rFonts w:eastAsia="Times"/>
      <w:sz w:val="18"/>
      <w:szCs w:val="20"/>
    </w:rPr>
  </w:style>
  <w:style w:type="paragraph" w:customStyle="1" w:styleId="05-ArticleText">
    <w:name w:val="05-Article Text"/>
    <w:basedOn w:val="Normal"/>
    <w:qFormat/>
    <w:pPr>
      <w:tabs>
        <w:tab w:val="left" w:pos="284"/>
      </w:tabs>
      <w:spacing w:after="120" w:line="220" w:lineRule="exact"/>
      <w:jc w:val="both"/>
    </w:pPr>
    <w:rPr>
      <w:rFonts w:eastAsia="Times"/>
      <w:szCs w:val="20"/>
    </w:rPr>
  </w:style>
  <w:style w:type="paragraph" w:customStyle="1" w:styleId="06-Heading-1">
    <w:name w:val="06-Heading-1"/>
    <w:basedOn w:val="Normal"/>
    <w:qFormat/>
    <w:pPr>
      <w:spacing w:before="120" w:after="120" w:line="220" w:lineRule="exact"/>
      <w:jc w:val="both"/>
    </w:pPr>
    <w:rPr>
      <w:rFonts w:eastAsia="Times"/>
      <w:b/>
      <w:caps/>
      <w:szCs w:val="20"/>
    </w:rPr>
  </w:style>
  <w:style w:type="paragraph" w:customStyle="1" w:styleId="07-Heading-2">
    <w:name w:val="07-Heading-2"/>
    <w:basedOn w:val="Normal"/>
    <w:qFormat/>
    <w:pPr>
      <w:spacing w:before="120" w:after="120" w:line="220" w:lineRule="exact"/>
      <w:jc w:val="both"/>
    </w:pPr>
    <w:rPr>
      <w:rFonts w:eastAsia="Times"/>
      <w:b/>
      <w:i/>
      <w:szCs w:val="20"/>
    </w:rPr>
  </w:style>
  <w:style w:type="paragraph" w:customStyle="1" w:styleId="08-Heading-3">
    <w:name w:val="08-Heading-3"/>
    <w:basedOn w:val="07-Heading-2"/>
    <w:qFormat/>
  </w:style>
  <w:style w:type="paragraph" w:customStyle="1" w:styleId="09-Heading-4">
    <w:name w:val="09-Heading-4"/>
    <w:basedOn w:val="Normal"/>
    <w:qFormat/>
    <w:pPr>
      <w:spacing w:before="120" w:after="120" w:line="220" w:lineRule="exact"/>
      <w:jc w:val="both"/>
    </w:pPr>
    <w:rPr>
      <w:rFonts w:eastAsia="Times"/>
      <w:b/>
      <w:i/>
      <w:szCs w:val="20"/>
      <w:u w:val="single"/>
    </w:rPr>
  </w:style>
  <w:style w:type="paragraph" w:customStyle="1" w:styleId="10-Table-H">
    <w:name w:val="10-Table-H"/>
    <w:basedOn w:val="Normal"/>
    <w:qFormat/>
    <w:pPr>
      <w:tabs>
        <w:tab w:val="left" w:pos="851"/>
      </w:tabs>
      <w:spacing w:before="60" w:after="240"/>
      <w:jc w:val="both"/>
    </w:pPr>
    <w:rPr>
      <w:rFonts w:eastAsia="Times"/>
      <w:b/>
      <w:sz w:val="18"/>
      <w:szCs w:val="20"/>
    </w:rPr>
  </w:style>
  <w:style w:type="paragraph" w:customStyle="1" w:styleId="11-Table-T">
    <w:name w:val="11-Table-T"/>
    <w:basedOn w:val="Normal"/>
    <w:qFormat/>
    <w:pPr>
      <w:spacing w:before="60" w:after="60" w:line="220" w:lineRule="exact"/>
      <w:jc w:val="center"/>
    </w:pPr>
    <w:rPr>
      <w:rFonts w:eastAsia="Times"/>
      <w:sz w:val="16"/>
      <w:szCs w:val="20"/>
    </w:rPr>
  </w:style>
  <w:style w:type="paragraph" w:customStyle="1" w:styleId="12-References">
    <w:name w:val="12-References"/>
    <w:basedOn w:val="Normal"/>
    <w:qFormat/>
    <w:pPr>
      <w:tabs>
        <w:tab w:val="left" w:pos="567"/>
      </w:tabs>
      <w:spacing w:line="180" w:lineRule="exact"/>
      <w:ind w:left="567" w:hanging="567"/>
      <w:jc w:val="both"/>
    </w:pPr>
    <w:rPr>
      <w:rFonts w:eastAsia="Times"/>
      <w:sz w:val="16"/>
      <w:szCs w:val="20"/>
    </w:rPr>
  </w:style>
  <w:style w:type="paragraph" w:customStyle="1" w:styleId="13-Figure">
    <w:name w:val="13-Figure"/>
    <w:basedOn w:val="Normal"/>
    <w:qFormat/>
    <w:pPr>
      <w:spacing w:before="200" w:after="200" w:line="220" w:lineRule="exact"/>
      <w:jc w:val="both"/>
    </w:pPr>
    <w:rPr>
      <w:rFonts w:eastAsia="Times"/>
      <w:sz w:val="18"/>
      <w:szCs w:val="20"/>
    </w:rPr>
  </w:style>
  <w:style w:type="paragraph" w:styleId="Header">
    <w:name w:val="header"/>
    <w:basedOn w:val="Normal"/>
    <w:pPr>
      <w:tabs>
        <w:tab w:val="center" w:pos="4320"/>
        <w:tab w:val="right" w:pos="8640"/>
      </w:tabs>
    </w:pPr>
  </w:style>
  <w:style w:type="paragraph" w:customStyle="1" w:styleId="firstlast">
    <w:name w:val="first last"/>
    <w:basedOn w:val="Normal"/>
    <w:qFormat/>
    <w:pPr>
      <w:spacing w:before="280" w:after="280"/>
    </w:pPr>
    <w:rPr>
      <w:rFonts w:ascii="Arial" w:eastAsia="Batang" w:hAnsi="Arial" w:cs="Arial"/>
      <w:szCs w:val="20"/>
    </w:rPr>
  </w:style>
  <w:style w:type="paragraph" w:customStyle="1" w:styleId="Default">
    <w:name w:val="Default"/>
    <w:qFormat/>
    <w:rPr>
      <w:rFonts w:ascii="Arial Narrow" w:eastAsia="Batang" w:hAnsi="Arial Narrow" w:cs="Arial Narrow"/>
      <w:color w:val="000000"/>
      <w:sz w:val="24"/>
      <w:szCs w:val="24"/>
      <w:lang w:eastAsia="zh-CN"/>
    </w:rPr>
  </w:style>
  <w:style w:type="paragraph" w:customStyle="1" w:styleId="Heading21">
    <w:name w:val="Heading 21"/>
    <w:basedOn w:val="Normal"/>
    <w:qFormat/>
    <w:rPr>
      <w:rFonts w:eastAsia="Batang"/>
      <w:color w:val="FFFFFF"/>
    </w:rPr>
  </w:style>
  <w:style w:type="paragraph" w:customStyle="1" w:styleId="Heading11">
    <w:name w:val="Heading 11"/>
    <w:basedOn w:val="Normal"/>
    <w:qFormat/>
    <w:rPr>
      <w:rFonts w:eastAsia="Batang"/>
      <w:b/>
      <w:bCs/>
      <w:color w:val="FFFFFF"/>
      <w:spacing w:val="-12"/>
      <w:kern w:val="2"/>
      <w:sz w:val="40"/>
      <w:szCs w:val="40"/>
    </w:rPr>
  </w:style>
  <w:style w:type="paragraph" w:styleId="BalloonText">
    <w:name w:val="Balloon Text"/>
    <w:basedOn w:val="Normal"/>
    <w:qFormat/>
    <w:rPr>
      <w:rFonts w:ascii="Tahoma" w:hAnsi="Tahoma" w:cs="Tahoma"/>
      <w:sz w:val="16"/>
      <w:szCs w:val="16"/>
    </w:rPr>
  </w:style>
  <w:style w:type="paragraph" w:customStyle="1" w:styleId="Pa7">
    <w:name w:val="Pa7"/>
    <w:basedOn w:val="Default"/>
    <w:next w:val="Default"/>
    <w:qFormat/>
    <w:pPr>
      <w:widowControl w:val="0"/>
      <w:spacing w:line="241" w:lineRule="atLeast"/>
    </w:pPr>
    <w:rPr>
      <w:rFonts w:ascii="Relay" w:eastAsia="Relay" w:hAnsi="Relay" w:cs="Times New Roman"/>
    </w:rPr>
  </w:style>
  <w:style w:type="paragraph" w:customStyle="1" w:styleId="Pa25">
    <w:name w:val="Pa25"/>
    <w:basedOn w:val="Default"/>
    <w:next w:val="Default"/>
    <w:qFormat/>
    <w:pPr>
      <w:widowControl w:val="0"/>
      <w:spacing w:line="141" w:lineRule="atLeast"/>
    </w:pPr>
    <w:rPr>
      <w:rFonts w:ascii="Meta Normal LF" w:eastAsia="Meta Normal LF" w:hAnsi="Meta Normal LF" w:cs="Times New Roman"/>
    </w:rPr>
  </w:style>
  <w:style w:type="paragraph" w:customStyle="1" w:styleId="Pa9">
    <w:name w:val="Pa9"/>
    <w:basedOn w:val="Default"/>
    <w:next w:val="Default"/>
    <w:qFormat/>
    <w:pPr>
      <w:widowControl w:val="0"/>
      <w:spacing w:line="181" w:lineRule="atLeast"/>
    </w:pPr>
    <w:rPr>
      <w:rFonts w:ascii="Meta Normal LF" w:eastAsia="Meta Normal LF" w:hAnsi="Meta Normal LF" w:cs="Times New Roman"/>
    </w:rPr>
  </w:style>
  <w:style w:type="paragraph" w:customStyle="1" w:styleId="BIEmailAddress">
    <w:name w:val="BI_Email_Address"/>
    <w:basedOn w:val="Normal"/>
    <w:next w:val="Normal"/>
    <w:qFormat/>
    <w:pPr>
      <w:spacing w:after="200" w:line="480" w:lineRule="auto"/>
      <w:jc w:val="both"/>
    </w:pPr>
    <w:rPr>
      <w:rFonts w:ascii="Times" w:eastAsia="SimSun" w:hAnsi="Times" w:cs="Times"/>
      <w:szCs w:val="20"/>
    </w:rPr>
  </w:style>
  <w:style w:type="paragraph" w:customStyle="1" w:styleId="FACorrespondingAuthorFootnote">
    <w:name w:val="FA_Corresponding_Author_Footnote"/>
    <w:basedOn w:val="Normal"/>
    <w:next w:val="Normal"/>
    <w:qFormat/>
    <w:pPr>
      <w:spacing w:after="200" w:line="480" w:lineRule="auto"/>
      <w:jc w:val="both"/>
    </w:pPr>
    <w:rPr>
      <w:rFonts w:ascii="Times" w:eastAsia="SimSun" w:hAnsi="Times" w:cs="Times"/>
      <w:szCs w:val="20"/>
    </w:rPr>
  </w:style>
  <w:style w:type="paragraph" w:customStyle="1" w:styleId="mainheader">
    <w:name w:val="mainheader"/>
    <w:basedOn w:val="Normal"/>
    <w:qFormat/>
    <w:pPr>
      <w:spacing w:before="280" w:after="280"/>
    </w:pPr>
    <w:rPr>
      <w:rFonts w:ascii="Verdana" w:hAnsi="Verdana" w:cs="Verdana"/>
      <w:b/>
      <w:bCs/>
      <w:sz w:val="27"/>
      <w:szCs w:val="27"/>
    </w:rPr>
  </w:style>
  <w:style w:type="paragraph" w:customStyle="1" w:styleId="part">
    <w:name w:val="part"/>
    <w:basedOn w:val="Normal"/>
    <w:next w:val="Normal"/>
    <w:qFormat/>
    <w:pPr>
      <w:keepNext/>
      <w:widowControl w:val="0"/>
      <w:spacing w:before="240" w:after="60"/>
      <w:jc w:val="center"/>
    </w:pPr>
    <w:rPr>
      <w:rFonts w:ascii="Times" w:eastAsia="Batang" w:hAnsi="Times" w:cs="Times"/>
      <w:b/>
      <w:bCs/>
      <w:sz w:val="40"/>
      <w:szCs w:val="40"/>
      <w:lang w:eastAsia="en-US"/>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rPr>
  </w:style>
  <w:style w:type="paragraph" w:styleId="BodyTextIndent">
    <w:name w:val="Body Text Indent"/>
    <w:basedOn w:val="Normal"/>
    <w:pPr>
      <w:spacing w:line="360" w:lineRule="auto"/>
      <w:ind w:firstLine="708"/>
      <w:jc w:val="both"/>
    </w:pPr>
  </w:style>
  <w:style w:type="paragraph" w:customStyle="1" w:styleId="title1">
    <w:name w:val="title1"/>
    <w:basedOn w:val="Normal"/>
    <w:qFormat/>
    <w:rPr>
      <w:sz w:val="29"/>
      <w:szCs w:val="29"/>
      <w:lang w:val="it-IT"/>
    </w:rPr>
  </w:style>
  <w:style w:type="paragraph" w:customStyle="1" w:styleId="rprtbody1">
    <w:name w:val="rprtbody1"/>
    <w:basedOn w:val="Normal"/>
    <w:qFormat/>
    <w:pPr>
      <w:spacing w:before="34" w:after="34"/>
    </w:pPr>
    <w:rPr>
      <w:sz w:val="28"/>
      <w:szCs w:val="28"/>
      <w:lang w:val="it-IT"/>
    </w:rPr>
  </w:style>
  <w:style w:type="paragraph" w:customStyle="1" w:styleId="aux1">
    <w:name w:val="aux1"/>
    <w:basedOn w:val="Normal"/>
    <w:qFormat/>
    <w:pPr>
      <w:spacing w:line="320" w:lineRule="atLeast"/>
    </w:pPr>
    <w:rPr>
      <w:lang w:val="it-IT"/>
    </w:rPr>
  </w:style>
  <w:style w:type="paragraph" w:customStyle="1" w:styleId="IntensivesAnfhrungszeichen1">
    <w:name w:val="Intensives Anführungszeichen1"/>
    <w:basedOn w:val="Normal"/>
    <w:next w:val="Normal"/>
    <w:qFormat/>
    <w:pPr>
      <w:pBdr>
        <w:bottom w:val="single" w:sz="4" w:space="4" w:color="4F81BD"/>
      </w:pBdr>
      <w:spacing w:before="200" w:after="280"/>
      <w:ind w:left="936" w:right="936"/>
    </w:pPr>
    <w:rPr>
      <w:b/>
      <w:bCs/>
      <w:i/>
      <w:iCs/>
      <w:color w:val="4F81BD"/>
      <w:lang w:val="de-DE"/>
    </w:rPr>
  </w:style>
  <w:style w:type="paragraph" w:styleId="FootnoteText">
    <w:name w:val="footnote text"/>
    <w:basedOn w:val="Normal"/>
    <w:rPr>
      <w:szCs w:val="20"/>
      <w:lang w:val="de-DE"/>
    </w:rPr>
  </w:style>
  <w:style w:type="paragraph" w:styleId="EndnoteText">
    <w:name w:val="endnote text"/>
    <w:basedOn w:val="Normal"/>
    <w:rPr>
      <w:szCs w:val="20"/>
      <w:lang w:val="de-DE"/>
    </w:rPr>
  </w:style>
  <w:style w:type="paragraph" w:styleId="ListBullet">
    <w:name w:val="List Bullet"/>
    <w:basedOn w:val="Normal"/>
    <w:qFormat/>
    <w:pPr>
      <w:numPr>
        <w:numId w:val="2"/>
      </w:numPr>
    </w:pPr>
    <w:rPr>
      <w:lang w:val="de-DE"/>
    </w:rPr>
  </w:style>
  <w:style w:type="paragraph" w:styleId="CommentText">
    <w:name w:val="annotation text"/>
    <w:basedOn w:val="Normal"/>
    <w:qFormat/>
    <w:rPr>
      <w:szCs w:val="20"/>
      <w:lang w:val="de-DE"/>
    </w:rPr>
  </w:style>
  <w:style w:type="paragraph" w:styleId="CommentSubject">
    <w:name w:val="annotation subject"/>
    <w:basedOn w:val="CommentText"/>
    <w:next w:val="CommentText"/>
    <w:qFormat/>
    <w:rPr>
      <w:b/>
      <w:bCs/>
    </w:rPr>
  </w:style>
  <w:style w:type="paragraph" w:customStyle="1" w:styleId="a">
    <w:name w:val="Παράγραφος λίστας"/>
    <w:basedOn w:val="Normal"/>
    <w:qFormat/>
    <w:pPr>
      <w:ind w:left="720"/>
      <w:contextualSpacing/>
    </w:pPr>
    <w:rPr>
      <w:lang w:val="el-GR"/>
    </w:rPr>
  </w:style>
  <w:style w:type="paragraph" w:customStyle="1" w:styleId="authors1">
    <w:name w:val="authors1"/>
    <w:basedOn w:val="Normal"/>
    <w:qFormat/>
    <w:pPr>
      <w:spacing w:before="72" w:line="240" w:lineRule="atLeast"/>
      <w:ind w:left="825"/>
    </w:pPr>
    <w:rPr>
      <w:sz w:val="22"/>
      <w:szCs w:val="22"/>
      <w:lang w:val="el-GR"/>
    </w:rPr>
  </w:style>
  <w:style w:type="paragraph" w:customStyle="1" w:styleId="Title11">
    <w:name w:val="Title11"/>
    <w:basedOn w:val="Normal"/>
    <w:qFormat/>
    <w:pPr>
      <w:spacing w:before="280" w:after="280"/>
    </w:pPr>
    <w:rPr>
      <w:lang w:val="el-GR"/>
    </w:rPr>
  </w:style>
  <w:style w:type="paragraph" w:customStyle="1" w:styleId="orangebold2">
    <w:name w:val="orangebold2"/>
    <w:basedOn w:val="Normal"/>
    <w:qFormat/>
    <w:pPr>
      <w:spacing w:before="280" w:after="280"/>
    </w:pPr>
    <w:rPr>
      <w:lang w:val="el-GR"/>
    </w:rPr>
  </w:style>
  <w:style w:type="paragraph" w:customStyle="1" w:styleId="desc1">
    <w:name w:val="desc1"/>
    <w:basedOn w:val="Normal"/>
    <w:qFormat/>
    <w:pPr>
      <w:spacing w:before="280" w:after="280"/>
    </w:pPr>
    <w:rPr>
      <w:sz w:val="28"/>
      <w:szCs w:val="28"/>
      <w:lang w:val="el-GR"/>
    </w:rPr>
  </w:style>
  <w:style w:type="paragraph" w:customStyle="1" w:styleId="details1">
    <w:name w:val="details1"/>
    <w:basedOn w:val="Normal"/>
    <w:qFormat/>
    <w:pPr>
      <w:spacing w:before="280" w:after="280"/>
    </w:pPr>
    <w:rPr>
      <w:lang w:val="el-GR"/>
    </w:rPr>
  </w:style>
  <w:style w:type="paragraph" w:customStyle="1" w:styleId="desc">
    <w:name w:val="desc"/>
    <w:basedOn w:val="Normal"/>
    <w:qFormat/>
    <w:pPr>
      <w:spacing w:before="280" w:after="280"/>
    </w:pPr>
    <w:rPr>
      <w:lang w:val="el-GR"/>
    </w:rPr>
  </w:style>
  <w:style w:type="paragraph" w:customStyle="1" w:styleId="details">
    <w:name w:val="details"/>
    <w:basedOn w:val="Normal"/>
    <w:qFormat/>
    <w:pPr>
      <w:spacing w:before="280" w:after="280"/>
    </w:pPr>
    <w:rPr>
      <w:lang w:val="el-GR"/>
    </w:rPr>
  </w:style>
  <w:style w:type="paragraph" w:customStyle="1" w:styleId="yenexitesis">
    <w:name w:val="yenexi_tesis"/>
    <w:basedOn w:val="Normal"/>
    <w:qFormat/>
    <w:pPr>
      <w:spacing w:before="120" w:after="120" w:line="360" w:lineRule="auto"/>
      <w:jc w:val="both"/>
    </w:pPr>
    <w:rPr>
      <w:rFonts w:ascii="Arial" w:hAnsi="Arial" w:cs="Arial"/>
    </w:rPr>
  </w:style>
  <w:style w:type="paragraph" w:customStyle="1" w:styleId="MRMC">
    <w:name w:val="MRMC"/>
    <w:basedOn w:val="Normal"/>
    <w:qFormat/>
    <w:pPr>
      <w:widowControl w:val="0"/>
      <w:spacing w:line="480" w:lineRule="auto"/>
      <w:jc w:val="both"/>
    </w:pPr>
    <w:rPr>
      <w:rFonts w:eastAsia="DejaVu Sans"/>
    </w:rPr>
  </w:style>
  <w:style w:type="paragraph" w:styleId="BodyText2">
    <w:name w:val="Body Text 2"/>
    <w:basedOn w:val="Normal"/>
    <w:qFormat/>
    <w:pPr>
      <w:spacing w:line="480" w:lineRule="auto"/>
      <w:jc w:val="both"/>
    </w:pPr>
    <w:rPr>
      <w:szCs w:val="20"/>
    </w:rPr>
  </w:style>
  <w:style w:type="paragraph" w:customStyle="1" w:styleId="NormaleCorsivo">
    <w:name w:val="Normale + Corsivo"/>
    <w:basedOn w:val="Normal"/>
    <w:qFormat/>
    <w:rPr>
      <w:i/>
      <w:vertAlign w:val="superscript"/>
      <w:lang w:val="it-IT"/>
    </w:rPr>
  </w:style>
  <w:style w:type="paragraph" w:customStyle="1" w:styleId="TAMainText">
    <w:name w:val="TA_Main_Text"/>
    <w:basedOn w:val="Normal"/>
    <w:qFormat/>
    <w:pPr>
      <w:spacing w:line="480" w:lineRule="auto"/>
      <w:ind w:firstLine="202"/>
      <w:jc w:val="both"/>
    </w:pPr>
    <w:rPr>
      <w:rFonts w:ascii="Times" w:hAnsi="Times" w:cs="Times"/>
      <w:szCs w:val="20"/>
    </w:rPr>
  </w:style>
  <w:style w:type="paragraph" w:customStyle="1" w:styleId="BATitle">
    <w:name w:val="BA_Title"/>
    <w:basedOn w:val="Normal"/>
    <w:next w:val="Normal"/>
    <w:qFormat/>
    <w:pPr>
      <w:spacing w:before="720" w:after="360" w:line="480" w:lineRule="auto"/>
      <w:jc w:val="center"/>
    </w:pPr>
    <w:rPr>
      <w:sz w:val="44"/>
      <w:szCs w:val="20"/>
    </w:rPr>
  </w:style>
  <w:style w:type="paragraph" w:customStyle="1" w:styleId="BBAuthorName">
    <w:name w:val="BB_Author_Name"/>
    <w:basedOn w:val="Normal"/>
    <w:next w:val="Normal"/>
    <w:qFormat/>
    <w:pPr>
      <w:spacing w:after="240" w:line="480" w:lineRule="auto"/>
      <w:jc w:val="center"/>
    </w:pPr>
    <w:rPr>
      <w:rFonts w:ascii="Times" w:hAnsi="Times" w:cs="Times"/>
      <w:i/>
      <w:szCs w:val="20"/>
    </w:rPr>
  </w:style>
  <w:style w:type="paragraph" w:customStyle="1" w:styleId="BDAbstract">
    <w:name w:val="BD_Abstract"/>
    <w:basedOn w:val="Normal"/>
    <w:next w:val="Normal"/>
    <w:qFormat/>
    <w:pPr>
      <w:spacing w:before="360" w:after="360" w:line="480" w:lineRule="auto"/>
      <w:jc w:val="both"/>
    </w:pPr>
    <w:rPr>
      <w:rFonts w:ascii="Times" w:hAnsi="Times" w:cs="Times"/>
      <w:szCs w:val="20"/>
    </w:rPr>
  </w:style>
  <w:style w:type="paragraph" w:customStyle="1" w:styleId="TFReferencesSection">
    <w:name w:val="TF_References_Section"/>
    <w:basedOn w:val="Normal"/>
    <w:qFormat/>
    <w:pPr>
      <w:spacing w:after="200" w:line="480" w:lineRule="auto"/>
      <w:ind w:firstLine="187"/>
      <w:jc w:val="both"/>
    </w:pPr>
    <w:rPr>
      <w:rFonts w:ascii="Times" w:hAnsi="Times" w:cs="Times"/>
      <w:szCs w:val="20"/>
    </w:rPr>
  </w:style>
  <w:style w:type="paragraph" w:customStyle="1" w:styleId="BCAuthorAddress">
    <w:name w:val="BC_Author_Address"/>
    <w:basedOn w:val="Normal"/>
    <w:next w:val="BIEmailAddress"/>
    <w:qFormat/>
    <w:pPr>
      <w:spacing w:after="240" w:line="480" w:lineRule="auto"/>
      <w:jc w:val="center"/>
    </w:pPr>
    <w:rPr>
      <w:rFonts w:ascii="Times" w:hAnsi="Times" w:cs="Times"/>
      <w:szCs w:val="20"/>
    </w:rPr>
  </w:style>
  <w:style w:type="paragraph" w:customStyle="1" w:styleId="AIReceivedDate">
    <w:name w:val="AI_Received_Date"/>
    <w:basedOn w:val="Normal"/>
    <w:next w:val="BDAbstract"/>
    <w:qFormat/>
    <w:pPr>
      <w:spacing w:after="240" w:line="480" w:lineRule="auto"/>
      <w:jc w:val="both"/>
    </w:pPr>
    <w:rPr>
      <w:rFonts w:ascii="Times" w:hAnsi="Times" w:cs="Times"/>
      <w:b/>
      <w:szCs w:val="20"/>
    </w:rPr>
  </w:style>
  <w:style w:type="paragraph" w:customStyle="1" w:styleId="TDAcknowledgments">
    <w:name w:val="TD_Acknowledgments"/>
    <w:basedOn w:val="Normal"/>
    <w:next w:val="Normal"/>
    <w:qFormat/>
    <w:pPr>
      <w:spacing w:before="200" w:after="200" w:line="480" w:lineRule="auto"/>
      <w:ind w:firstLine="202"/>
      <w:jc w:val="both"/>
    </w:pPr>
    <w:rPr>
      <w:rFonts w:ascii="Times" w:hAnsi="Times" w:cs="Times"/>
      <w:szCs w:val="20"/>
    </w:rPr>
  </w:style>
  <w:style w:type="paragraph" w:customStyle="1" w:styleId="TESupportingInformation">
    <w:name w:val="TE_Supporting_Information"/>
    <w:basedOn w:val="Normal"/>
    <w:next w:val="Normal"/>
    <w:qFormat/>
    <w:pPr>
      <w:spacing w:after="200" w:line="480" w:lineRule="auto"/>
      <w:ind w:firstLine="187"/>
      <w:jc w:val="both"/>
    </w:pPr>
    <w:rPr>
      <w:rFonts w:ascii="Times" w:hAnsi="Times" w:cs="Times"/>
      <w:szCs w:val="20"/>
    </w:rPr>
  </w:style>
  <w:style w:type="paragraph" w:customStyle="1" w:styleId="VCSchemeTitle">
    <w:name w:val="VC_Scheme_Title"/>
    <w:basedOn w:val="Normal"/>
    <w:next w:val="Normal"/>
    <w:qFormat/>
    <w:pPr>
      <w:spacing w:after="200" w:line="480" w:lineRule="auto"/>
      <w:jc w:val="both"/>
    </w:pPr>
    <w:rPr>
      <w:rFonts w:ascii="Times" w:hAnsi="Times" w:cs="Times"/>
      <w:szCs w:val="20"/>
    </w:rPr>
  </w:style>
  <w:style w:type="paragraph" w:customStyle="1" w:styleId="VDTableTitle">
    <w:name w:val="VD_Table_Title"/>
    <w:basedOn w:val="Normal"/>
    <w:next w:val="Normal"/>
    <w:qFormat/>
    <w:pPr>
      <w:spacing w:after="200" w:line="480" w:lineRule="auto"/>
      <w:jc w:val="both"/>
    </w:pPr>
    <w:rPr>
      <w:rFonts w:ascii="Times" w:hAnsi="Times" w:cs="Times"/>
      <w:szCs w:val="20"/>
    </w:rPr>
  </w:style>
  <w:style w:type="paragraph" w:customStyle="1" w:styleId="VAFigureCaption">
    <w:name w:val="VA_Figure_Caption"/>
    <w:basedOn w:val="Normal"/>
    <w:next w:val="Normal"/>
    <w:qFormat/>
    <w:pPr>
      <w:spacing w:after="200" w:line="480" w:lineRule="auto"/>
      <w:jc w:val="both"/>
    </w:pPr>
    <w:rPr>
      <w:rFonts w:ascii="Times" w:hAnsi="Times" w:cs="Times"/>
      <w:szCs w:val="20"/>
    </w:rPr>
  </w:style>
  <w:style w:type="paragraph" w:customStyle="1" w:styleId="VBChartTitle">
    <w:name w:val="VB_Chart_Title"/>
    <w:basedOn w:val="Normal"/>
    <w:next w:val="Normal"/>
    <w:qFormat/>
    <w:pPr>
      <w:spacing w:after="200" w:line="480" w:lineRule="auto"/>
      <w:jc w:val="both"/>
    </w:pPr>
    <w:rPr>
      <w:rFonts w:ascii="Times" w:hAnsi="Times" w:cs="Times"/>
      <w:szCs w:val="20"/>
    </w:rPr>
  </w:style>
  <w:style w:type="paragraph" w:customStyle="1" w:styleId="FETableFootnote">
    <w:name w:val="FE_Table_Footnote"/>
    <w:basedOn w:val="Normal"/>
    <w:next w:val="Normal"/>
    <w:qFormat/>
    <w:pPr>
      <w:spacing w:after="200"/>
      <w:ind w:firstLine="187"/>
      <w:jc w:val="both"/>
    </w:pPr>
    <w:rPr>
      <w:rFonts w:ascii="Times" w:hAnsi="Times" w:cs="Times"/>
      <w:szCs w:val="20"/>
    </w:rPr>
  </w:style>
  <w:style w:type="paragraph" w:customStyle="1" w:styleId="FCChartFootnote">
    <w:name w:val="FC_Chart_Footnote"/>
    <w:basedOn w:val="Normal"/>
    <w:next w:val="Normal"/>
    <w:qFormat/>
    <w:pPr>
      <w:spacing w:after="200"/>
      <w:ind w:firstLine="187"/>
      <w:jc w:val="both"/>
    </w:pPr>
    <w:rPr>
      <w:rFonts w:ascii="Times" w:hAnsi="Times" w:cs="Times"/>
      <w:szCs w:val="20"/>
    </w:rPr>
  </w:style>
  <w:style w:type="paragraph" w:customStyle="1" w:styleId="FDSchemeFootnote">
    <w:name w:val="FD_Scheme_Footnote"/>
    <w:basedOn w:val="Normal"/>
    <w:next w:val="Normal"/>
    <w:qFormat/>
    <w:pPr>
      <w:spacing w:after="200"/>
      <w:ind w:firstLine="187"/>
      <w:jc w:val="both"/>
    </w:pPr>
    <w:rPr>
      <w:rFonts w:ascii="Times" w:hAnsi="Times" w:cs="Times"/>
      <w:szCs w:val="20"/>
    </w:rPr>
  </w:style>
  <w:style w:type="paragraph" w:customStyle="1" w:styleId="TCTableBody">
    <w:name w:val="TC_Table_Body"/>
    <w:basedOn w:val="Normal"/>
    <w:qFormat/>
    <w:pPr>
      <w:spacing w:after="200"/>
      <w:jc w:val="both"/>
    </w:pPr>
    <w:rPr>
      <w:rFonts w:ascii="Times" w:hAnsi="Times" w:cs="Times"/>
      <w:szCs w:val="20"/>
    </w:rPr>
  </w:style>
  <w:style w:type="paragraph" w:customStyle="1" w:styleId="AFTitleRunningHead">
    <w:name w:val="AF_Title_Running_Head"/>
    <w:basedOn w:val="Normal"/>
    <w:next w:val="TAMainText"/>
    <w:qFormat/>
    <w:pPr>
      <w:spacing w:after="200" w:line="480" w:lineRule="auto"/>
      <w:jc w:val="both"/>
    </w:pPr>
    <w:rPr>
      <w:rFonts w:ascii="Times" w:hAnsi="Times" w:cs="Times"/>
      <w:szCs w:val="20"/>
    </w:rPr>
  </w:style>
  <w:style w:type="paragraph" w:customStyle="1" w:styleId="BEAuthorBiography">
    <w:name w:val="BE_Author_Biography"/>
    <w:basedOn w:val="Normal"/>
    <w:qFormat/>
    <w:pPr>
      <w:spacing w:after="200" w:line="480" w:lineRule="auto"/>
      <w:jc w:val="both"/>
    </w:pPr>
    <w:rPr>
      <w:rFonts w:ascii="Times" w:hAnsi="Times" w:cs="Times"/>
      <w:szCs w:val="20"/>
    </w:rPr>
  </w:style>
  <w:style w:type="paragraph" w:customStyle="1" w:styleId="SNSynopsisTOC">
    <w:name w:val="SN_Synopsis_TOC"/>
    <w:basedOn w:val="Normal"/>
    <w:qFormat/>
    <w:pPr>
      <w:spacing w:after="200" w:line="480" w:lineRule="auto"/>
      <w:jc w:val="both"/>
    </w:pPr>
    <w:rPr>
      <w:rFonts w:ascii="Times" w:hAnsi="Times" w:cs="Times"/>
      <w:szCs w:val="20"/>
    </w:rPr>
  </w:style>
  <w:style w:type="paragraph" w:customStyle="1" w:styleId="BGKeywords">
    <w:name w:val="BG_Keywords"/>
    <w:basedOn w:val="Normal"/>
    <w:qFormat/>
    <w:pPr>
      <w:spacing w:after="200" w:line="480" w:lineRule="auto"/>
      <w:jc w:val="both"/>
    </w:pPr>
    <w:rPr>
      <w:rFonts w:ascii="Times" w:hAnsi="Times" w:cs="Times"/>
      <w:szCs w:val="20"/>
    </w:rPr>
  </w:style>
  <w:style w:type="paragraph" w:customStyle="1" w:styleId="BHBriefs">
    <w:name w:val="BH_Briefs"/>
    <w:basedOn w:val="Normal"/>
    <w:qFormat/>
    <w:pPr>
      <w:spacing w:after="200" w:line="480" w:lineRule="auto"/>
      <w:jc w:val="both"/>
    </w:pPr>
    <w:rPr>
      <w:rFonts w:ascii="Times" w:hAnsi="Times" w:cs="Times"/>
      <w:szCs w:val="20"/>
    </w:rPr>
  </w:style>
  <w:style w:type="paragraph" w:customStyle="1" w:styleId="BMCLNORMAL">
    <w:name w:val="BMCL NORMAL"/>
    <w:basedOn w:val="Normal"/>
    <w:next w:val="Normal"/>
    <w:qFormat/>
    <w:pPr>
      <w:widowControl w:val="0"/>
      <w:spacing w:line="230" w:lineRule="exact"/>
      <w:jc w:val="both"/>
    </w:pPr>
    <w:rPr>
      <w:sz w:val="21"/>
      <w:szCs w:val="20"/>
    </w:rPr>
  </w:style>
  <w:style w:type="paragraph" w:customStyle="1" w:styleId="BMCLRECEIPT">
    <w:name w:val="BMCL RECEIPT"/>
    <w:basedOn w:val="BMCLNORMAL"/>
    <w:next w:val="Normal"/>
    <w:qFormat/>
    <w:pPr>
      <w:spacing w:after="240" w:line="200" w:lineRule="exact"/>
      <w:jc w:val="center"/>
    </w:pPr>
    <w:rPr>
      <w:sz w:val="16"/>
    </w:rPr>
  </w:style>
  <w:style w:type="paragraph" w:customStyle="1" w:styleId="ColorfulList-Accent11">
    <w:name w:val="Colorful List - Accent 11"/>
    <w:basedOn w:val="Normal"/>
    <w:qFormat/>
    <w:pPr>
      <w:numPr>
        <w:numId w:val="3"/>
      </w:numPr>
      <w:spacing w:after="200" w:line="276" w:lineRule="auto"/>
      <w:ind w:left="284" w:hanging="284"/>
      <w:contextualSpacing/>
      <w:jc w:val="both"/>
    </w:pPr>
    <w:rPr>
      <w:rFonts w:eastAsia="PMingLiU"/>
      <w:color w:val="131413"/>
      <w:szCs w:val="20"/>
      <w:lang w:eastAsia="zh-TW"/>
    </w:rPr>
  </w:style>
  <w:style w:type="paragraph" w:customStyle="1" w:styleId="BMCLREFERENCE">
    <w:name w:val="BMCL REFERENCE"/>
    <w:basedOn w:val="BMCLNORMAL"/>
    <w:qFormat/>
    <w:pPr>
      <w:tabs>
        <w:tab w:val="left" w:pos="360"/>
      </w:tabs>
    </w:pPr>
    <w:rPr>
      <w:sz w:val="20"/>
    </w:rPr>
  </w:style>
  <w:style w:type="paragraph" w:customStyle="1" w:styleId="Estndar">
    <w:name w:val="Estándar"/>
    <w:basedOn w:val="Normal"/>
    <w:qFormat/>
    <w:pPr>
      <w:spacing w:line="360" w:lineRule="auto"/>
      <w:jc w:val="center"/>
      <w:textAlignment w:val="baseline"/>
    </w:pPr>
    <w:rPr>
      <w:rFonts w:ascii="Helv" w:hAnsi="Helv" w:cs="Helv"/>
      <w:szCs w:val="20"/>
      <w:lang w:val="en-GB"/>
    </w:rPr>
  </w:style>
  <w:style w:type="paragraph" w:styleId="BodyTextIndent3">
    <w:name w:val="Body Text Indent 3"/>
    <w:basedOn w:val="Normal"/>
    <w:qFormat/>
    <w:pPr>
      <w:spacing w:after="120"/>
      <w:ind w:left="283"/>
    </w:pPr>
    <w:rPr>
      <w:sz w:val="16"/>
      <w:szCs w:val="16"/>
      <w:lang w:val="es-ES" w:bidi="he-IL"/>
    </w:rPr>
  </w:style>
  <w:style w:type="paragraph" w:customStyle="1" w:styleId="msolistparagraph0">
    <w:name w:val="msolistparagraph"/>
    <w:basedOn w:val="Normal"/>
    <w:qFormat/>
    <w:pPr>
      <w:spacing w:after="200"/>
      <w:ind w:left="720"/>
    </w:pPr>
    <w:rPr>
      <w:rFonts w:eastAsia="Cambria"/>
      <w:szCs w:val="20"/>
    </w:rPr>
  </w:style>
  <w:style w:type="paragraph" w:customStyle="1" w:styleId="Titolo1">
    <w:name w:val="Titolo1"/>
    <w:basedOn w:val="Normal"/>
    <w:next w:val="Normal"/>
    <w:qFormat/>
    <w:pPr>
      <w:spacing w:before="230" w:after="230" w:line="300" w:lineRule="exact"/>
      <w:jc w:val="center"/>
    </w:pPr>
    <w:rPr>
      <w:rFonts w:eastAsia="MS Mincho"/>
      <w:b/>
      <w:sz w:val="28"/>
      <w:szCs w:val="28"/>
      <w:lang w:val="en-GB" w:eastAsia="ja-JP"/>
    </w:rPr>
  </w:style>
  <w:style w:type="paragraph" w:customStyle="1" w:styleId="Authors">
    <w:name w:val="Authors"/>
    <w:basedOn w:val="Normal"/>
    <w:qFormat/>
    <w:pPr>
      <w:spacing w:before="360" w:after="460" w:line="260" w:lineRule="exact"/>
      <w:jc w:val="center"/>
    </w:pPr>
    <w:rPr>
      <w:rFonts w:eastAsia="MS Mincho"/>
      <w:b/>
      <w:lang w:val="en-GB" w:eastAsia="ja-JP"/>
    </w:rPr>
  </w:style>
  <w:style w:type="paragraph" w:customStyle="1" w:styleId="Adress">
    <w:name w:val="Adress"/>
    <w:basedOn w:val="Normal"/>
    <w:qFormat/>
    <w:pPr>
      <w:spacing w:line="180" w:lineRule="exact"/>
      <w:ind w:left="425" w:hanging="425"/>
    </w:pPr>
    <w:rPr>
      <w:rFonts w:eastAsia="MS Mincho"/>
      <w:sz w:val="16"/>
      <w:szCs w:val="20"/>
      <w:lang w:val="en-GB" w:eastAsia="ja-JP"/>
    </w:rPr>
  </w:style>
  <w:style w:type="paragraph" w:customStyle="1" w:styleId="Keywords">
    <w:name w:val="Keywords"/>
    <w:basedOn w:val="Normal"/>
    <w:qFormat/>
    <w:pPr>
      <w:spacing w:after="120" w:line="220" w:lineRule="exact"/>
      <w:ind w:left="170" w:right="170"/>
    </w:pPr>
    <w:rPr>
      <w:rFonts w:eastAsia="MS Mincho"/>
      <w:sz w:val="18"/>
      <w:szCs w:val="20"/>
      <w:lang w:val="en-GB" w:eastAsia="ja-JP"/>
    </w:rPr>
  </w:style>
  <w:style w:type="paragraph" w:customStyle="1" w:styleId="HAcknowledgment">
    <w:name w:val="HAcknowledgment"/>
    <w:basedOn w:val="Normal"/>
    <w:qFormat/>
    <w:pPr>
      <w:spacing w:before="360" w:after="230" w:line="240" w:lineRule="exact"/>
    </w:pPr>
    <w:rPr>
      <w:rFonts w:eastAsia="MS Mincho"/>
      <w:b/>
      <w:sz w:val="22"/>
      <w:lang w:val="en-GB" w:eastAsia="ja-JP"/>
    </w:rPr>
  </w:style>
  <w:style w:type="paragraph" w:customStyle="1" w:styleId="H1">
    <w:name w:val="H1"/>
    <w:basedOn w:val="Normal"/>
    <w:qFormat/>
    <w:pPr>
      <w:spacing w:before="360" w:after="230" w:line="240" w:lineRule="exact"/>
    </w:pPr>
    <w:rPr>
      <w:rFonts w:eastAsia="MS Mincho"/>
      <w:b/>
      <w:sz w:val="22"/>
      <w:lang w:val="en-GB" w:eastAsia="ja-JP"/>
    </w:rPr>
  </w:style>
  <w:style w:type="paragraph" w:customStyle="1" w:styleId="SchemeCaption">
    <w:name w:val="SchemeCaption"/>
    <w:basedOn w:val="Normal"/>
    <w:qFormat/>
    <w:pPr>
      <w:spacing w:before="230" w:after="460" w:line="180" w:lineRule="exact"/>
      <w:jc w:val="both"/>
    </w:pPr>
    <w:rPr>
      <w:rFonts w:eastAsia="MS Mincho"/>
      <w:sz w:val="16"/>
      <w:szCs w:val="14"/>
      <w:lang w:val="en-GB" w:eastAsia="ja-JP"/>
    </w:rPr>
  </w:style>
  <w:style w:type="paragraph" w:customStyle="1" w:styleId="FigureCaption">
    <w:name w:val="FigureCaption"/>
    <w:basedOn w:val="Normal"/>
    <w:qFormat/>
    <w:pPr>
      <w:spacing w:before="230" w:after="460" w:line="180" w:lineRule="exact"/>
      <w:jc w:val="both"/>
    </w:pPr>
    <w:rPr>
      <w:rFonts w:eastAsia="MS Mincho"/>
      <w:sz w:val="16"/>
      <w:szCs w:val="14"/>
      <w:lang w:val="en-GB" w:eastAsia="ja-JP"/>
    </w:rPr>
  </w:style>
  <w:style w:type="paragraph" w:customStyle="1" w:styleId="TableCaption">
    <w:name w:val="TableCaption"/>
    <w:basedOn w:val="Normal"/>
    <w:qFormat/>
    <w:pPr>
      <w:spacing w:before="230" w:after="120" w:line="180" w:lineRule="exact"/>
      <w:jc w:val="both"/>
    </w:pPr>
    <w:rPr>
      <w:rFonts w:eastAsia="MS Mincho"/>
      <w:sz w:val="16"/>
      <w:szCs w:val="14"/>
      <w:lang w:val="en-GB" w:eastAsia="ja-JP"/>
    </w:rPr>
  </w:style>
  <w:style w:type="paragraph" w:customStyle="1" w:styleId="P2">
    <w:name w:val="P2"/>
    <w:basedOn w:val="Normal"/>
    <w:qFormat/>
    <w:pPr>
      <w:spacing w:line="230" w:lineRule="exact"/>
    </w:pPr>
    <w:rPr>
      <w:rFonts w:eastAsia="MS Mincho"/>
      <w:sz w:val="16"/>
      <w:lang w:val="en-GB" w:eastAsia="ja-JP"/>
    </w:rPr>
  </w:style>
  <w:style w:type="paragraph" w:customStyle="1" w:styleId="TableFoot">
    <w:name w:val="TableFoot"/>
    <w:basedOn w:val="Normal"/>
    <w:qFormat/>
    <w:pPr>
      <w:spacing w:before="60" w:after="460" w:line="180" w:lineRule="exact"/>
      <w:jc w:val="both"/>
    </w:pPr>
    <w:rPr>
      <w:rFonts w:eastAsia="MS Mincho"/>
      <w:sz w:val="16"/>
      <w:szCs w:val="14"/>
      <w:lang w:val="en-GB" w:eastAsia="ja-JP"/>
    </w:rPr>
  </w:style>
  <w:style w:type="paragraph" w:customStyle="1" w:styleId="P1">
    <w:name w:val="P1"/>
    <w:basedOn w:val="TableCaption"/>
    <w:qFormat/>
    <w:pPr>
      <w:spacing w:line="220" w:lineRule="exact"/>
      <w:ind w:firstLine="170"/>
    </w:pPr>
    <w:rPr>
      <w:sz w:val="18"/>
    </w:rPr>
  </w:style>
  <w:style w:type="paragraph" w:customStyle="1" w:styleId="References">
    <w:name w:val="References"/>
    <w:basedOn w:val="Normal"/>
    <w:qFormat/>
    <w:pPr>
      <w:spacing w:after="120" w:line="180" w:lineRule="exact"/>
      <w:ind w:left="425" w:hanging="425"/>
      <w:jc w:val="both"/>
    </w:pPr>
    <w:rPr>
      <w:rFonts w:eastAsia="MS Mincho"/>
      <w:sz w:val="16"/>
      <w:szCs w:val="14"/>
      <w:lang w:val="en-GB" w:eastAsia="ja-JP"/>
    </w:rPr>
  </w:style>
  <w:style w:type="paragraph" w:customStyle="1" w:styleId="GAAuthors">
    <w:name w:val="GAAuthors"/>
    <w:basedOn w:val="Normal"/>
    <w:qFormat/>
    <w:pPr>
      <w:spacing w:before="360" w:after="60" w:line="220" w:lineRule="exact"/>
    </w:pPr>
    <w:rPr>
      <w:rFonts w:eastAsia="MS Mincho"/>
      <w:b/>
      <w:sz w:val="18"/>
      <w:szCs w:val="20"/>
      <w:lang w:val="en-GB" w:eastAsia="ja-JP"/>
    </w:rPr>
  </w:style>
  <w:style w:type="paragraph" w:customStyle="1" w:styleId="GACatchPhrase">
    <w:name w:val="GACatchPhrase"/>
    <w:basedOn w:val="Normal"/>
    <w:qFormat/>
    <w:pPr>
      <w:spacing w:before="40"/>
      <w:jc w:val="right"/>
    </w:pPr>
    <w:rPr>
      <w:rFonts w:eastAsia="MS Mincho" w:cs="Arial"/>
      <w:b/>
      <w:color w:val="008080"/>
      <w:sz w:val="18"/>
      <w:szCs w:val="16"/>
      <w:lang w:val="en-GB" w:eastAsia="ja-JP"/>
    </w:rPr>
  </w:style>
  <w:style w:type="paragraph" w:customStyle="1" w:styleId="GAText">
    <w:name w:val="GAText"/>
    <w:basedOn w:val="Normal"/>
    <w:qFormat/>
    <w:pPr>
      <w:spacing w:before="120" w:line="220" w:lineRule="exact"/>
    </w:pPr>
    <w:rPr>
      <w:rFonts w:eastAsia="MS Mincho"/>
      <w:color w:val="000000"/>
      <w:sz w:val="18"/>
      <w:lang w:val="en-GB" w:eastAsia="ja-JP"/>
    </w:rPr>
  </w:style>
  <w:style w:type="paragraph" w:customStyle="1" w:styleId="GATitel">
    <w:name w:val="GATitel"/>
    <w:basedOn w:val="GAAuthors"/>
    <w:qFormat/>
    <w:pPr>
      <w:spacing w:before="240"/>
    </w:pPr>
    <w:rPr>
      <w:b w:val="0"/>
    </w:rPr>
  </w:style>
  <w:style w:type="paragraph" w:customStyle="1" w:styleId="GAKeywords">
    <w:name w:val="GAKeywords"/>
    <w:basedOn w:val="Keywords"/>
    <w:qFormat/>
    <w:pPr>
      <w:spacing w:before="200" w:after="0"/>
      <w:ind w:left="0" w:right="0"/>
    </w:pPr>
    <w:rPr>
      <w:b/>
      <w:szCs w:val="24"/>
    </w:rPr>
  </w:style>
  <w:style w:type="paragraph" w:styleId="Subtitle">
    <w:name w:val="Subtitle"/>
    <w:basedOn w:val="Normal"/>
    <w:next w:val="Normal"/>
    <w:qFormat/>
    <w:pPr>
      <w:spacing w:after="200" w:line="276" w:lineRule="auto"/>
    </w:pPr>
    <w:rPr>
      <w:rFonts w:ascii="Cambria" w:eastAsia="MS Gothic" w:hAnsi="Cambria" w:cs="Cambria"/>
      <w:i/>
      <w:iCs/>
      <w:color w:val="4F81BD"/>
      <w:spacing w:val="15"/>
      <w:lang w:val="it-IT"/>
    </w:rPr>
  </w:style>
  <w:style w:type="paragraph" w:customStyle="1" w:styleId="MediumGrid21">
    <w:name w:val="Medium Grid 21"/>
    <w:qFormat/>
    <w:rPr>
      <w:rFonts w:ascii="Calibri" w:eastAsia="MS Mincho" w:hAnsi="Calibri" w:cs="Calibri"/>
      <w:sz w:val="22"/>
      <w:szCs w:val="22"/>
      <w:lang w:val="it-IT" w:eastAsia="zh-CN"/>
    </w:rPr>
  </w:style>
  <w:style w:type="paragraph" w:customStyle="1" w:styleId="1">
    <w:name w:val="목록 단락1"/>
    <w:basedOn w:val="Normal"/>
    <w:qFormat/>
    <w:pPr>
      <w:widowControl w:val="0"/>
      <w:ind w:left="720"/>
      <w:contextualSpacing/>
    </w:pPr>
    <w:rPr>
      <w:rFonts w:ascii="Calibri" w:eastAsia="Malgun Gothic" w:hAnsi="Calibri" w:cs="Calibri"/>
      <w:sz w:val="22"/>
      <w:szCs w:val="22"/>
    </w:rPr>
  </w:style>
  <w:style w:type="paragraph" w:customStyle="1" w:styleId="authlist">
    <w:name w:val="auth_list"/>
    <w:basedOn w:val="Normal"/>
    <w:qFormat/>
    <w:pPr>
      <w:spacing w:before="280" w:after="280"/>
    </w:pPr>
  </w:style>
  <w:style w:type="paragraph" w:customStyle="1" w:styleId="yiv1019216426msoheading7">
    <w:name w:val="yiv1019216426msoheading7"/>
    <w:basedOn w:val="Normal"/>
    <w:qFormat/>
    <w:pPr>
      <w:spacing w:before="280" w:after="280"/>
    </w:pPr>
  </w:style>
  <w:style w:type="paragraph" w:customStyle="1" w:styleId="desc2">
    <w:name w:val="desc2"/>
    <w:basedOn w:val="Normal"/>
    <w:qFormat/>
    <w:pPr>
      <w:spacing w:before="280" w:after="280"/>
    </w:pPr>
    <w:rPr>
      <w:sz w:val="28"/>
      <w:szCs w:val="28"/>
    </w:rPr>
  </w:style>
  <w:style w:type="paragraph" w:customStyle="1" w:styleId="ColorfulShading-Accent11">
    <w:name w:val="Colorful Shading - Accent 11"/>
    <w:qFormat/>
    <w:rPr>
      <w:sz w:val="24"/>
      <w:szCs w:val="24"/>
      <w:lang w:eastAsia="zh-CN"/>
    </w:rPr>
  </w:style>
  <w:style w:type="paragraph" w:customStyle="1" w:styleId="12FigureSchemecaption">
    <w:name w:val="12 Figure/Scheme caption"/>
    <w:qFormat/>
    <w:pPr>
      <w:spacing w:before="20" w:after="120" w:line="180" w:lineRule="exact"/>
      <w:jc w:val="both"/>
    </w:pPr>
    <w:rPr>
      <w:sz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MDPI31text">
    <w:name w:val="MDPI_3.1_text"/>
    <w:qFormat/>
    <w:rsid w:val="00192712"/>
    <w:pPr>
      <w:snapToGrid w:val="0"/>
      <w:spacing w:line="228" w:lineRule="auto"/>
      <w:ind w:left="2608" w:firstLine="425"/>
      <w:jc w:val="both"/>
    </w:pPr>
    <w:rPr>
      <w:rFonts w:ascii="Palatino Linotype" w:hAnsi="Palatino Linotype"/>
      <w:color w:val="000000"/>
      <w:szCs w:val="22"/>
      <w:lang w:eastAsia="de-DE" w:bidi="en-US"/>
    </w:rPr>
  </w:style>
  <w:style w:type="paragraph" w:customStyle="1" w:styleId="MDPI21heading1">
    <w:name w:val="MDPI_2.1_heading1"/>
    <w:qFormat/>
    <w:rsid w:val="00192712"/>
    <w:pPr>
      <w:snapToGrid w:val="0"/>
      <w:spacing w:before="240" w:after="60" w:line="228" w:lineRule="auto"/>
      <w:ind w:left="2608"/>
      <w:outlineLvl w:val="0"/>
    </w:pPr>
    <w:rPr>
      <w:rFonts w:ascii="Palatino Linotype" w:hAnsi="Palatino Linotype"/>
      <w:b/>
      <w:color w:val="000000"/>
      <w:szCs w:val="22"/>
      <w:lang w:eastAsia="de-DE" w:bidi="en-US"/>
    </w:rPr>
  </w:style>
  <w:style w:type="paragraph" w:customStyle="1" w:styleId="MDPI22heading2">
    <w:name w:val="MDPI_2.2_heading2"/>
    <w:qFormat/>
    <w:rsid w:val="00D250A9"/>
    <w:pPr>
      <w:snapToGrid w:val="0"/>
      <w:spacing w:before="60" w:after="60" w:line="228" w:lineRule="auto"/>
      <w:ind w:left="2608"/>
      <w:outlineLvl w:val="1"/>
    </w:pPr>
    <w:rPr>
      <w:rFonts w:ascii="Palatino Linotype" w:hAnsi="Palatino Linotype"/>
      <w:i/>
      <w:color w:val="000000"/>
      <w:szCs w:val="22"/>
      <w:lang w:eastAsia="de-DE" w:bidi="en-US"/>
    </w:rPr>
  </w:style>
  <w:style w:type="paragraph" w:customStyle="1" w:styleId="MDPI41tablecaption">
    <w:name w:val="MDPI_4.1_table_caption"/>
    <w:qFormat/>
    <w:rsid w:val="00D250A9"/>
    <w:pPr>
      <w:snapToGrid w:val="0"/>
      <w:spacing w:before="240" w:after="120" w:line="228" w:lineRule="auto"/>
      <w:ind w:left="2608"/>
    </w:pPr>
    <w:rPr>
      <w:rFonts w:ascii="Palatino Linotype" w:hAnsi="Palatino Linotype" w:cs="Cordia New"/>
      <w:color w:val="000000"/>
      <w:sz w:val="18"/>
      <w:szCs w:val="22"/>
      <w:lang w:eastAsia="de-DE" w:bidi="en-US"/>
    </w:rPr>
  </w:style>
  <w:style w:type="paragraph" w:customStyle="1" w:styleId="MDPI42tablebody">
    <w:name w:val="MDPI_4.2_table_body"/>
    <w:qFormat/>
    <w:rsid w:val="00D250A9"/>
    <w:pPr>
      <w:snapToGrid w:val="0"/>
      <w:spacing w:line="260" w:lineRule="atLeast"/>
      <w:jc w:val="center"/>
    </w:pPr>
    <w:rPr>
      <w:rFonts w:ascii="Palatino Linotype" w:hAnsi="Palatino Linotype"/>
      <w:color w:val="000000"/>
      <w:lang w:eastAsia="de-DE" w:bidi="en-US"/>
    </w:rPr>
  </w:style>
  <w:style w:type="paragraph" w:customStyle="1" w:styleId="MDPI43tablefooter">
    <w:name w:val="MDPI_4.3_table_footer"/>
    <w:next w:val="MDPI31text"/>
    <w:qFormat/>
    <w:rsid w:val="00D250A9"/>
    <w:pPr>
      <w:snapToGrid w:val="0"/>
      <w:spacing w:line="228" w:lineRule="auto"/>
      <w:ind w:left="2608"/>
    </w:pPr>
    <w:rPr>
      <w:rFonts w:ascii="Palatino Linotype" w:hAnsi="Palatino Linotype" w:cs="Cordia New"/>
      <w:color w:val="000000"/>
      <w:sz w:val="18"/>
      <w:szCs w:val="22"/>
      <w:lang w:eastAsia="de-DE" w:bidi="en-US"/>
    </w:rPr>
  </w:style>
  <w:style w:type="paragraph" w:customStyle="1" w:styleId="MDPI51figurecaption">
    <w:name w:val="MDPI_5.1_figure_caption"/>
    <w:qFormat/>
    <w:rsid w:val="00352F04"/>
    <w:pPr>
      <w:snapToGrid w:val="0"/>
      <w:spacing w:before="120" w:after="240" w:line="228" w:lineRule="auto"/>
      <w:ind w:left="2608"/>
    </w:pPr>
    <w:rPr>
      <w:rFonts w:ascii="Palatino Linotype" w:hAnsi="Palatino Linotype"/>
      <w:color w:val="000000"/>
      <w:sz w:val="18"/>
      <w:lang w:eastAsia="de-DE" w:bidi="en-US"/>
    </w:rPr>
  </w:style>
  <w:style w:type="paragraph" w:styleId="NoSpacing">
    <w:name w:val="No Spacing"/>
    <w:uiPriority w:val="99"/>
    <w:qFormat/>
    <w:rsid w:val="002C3563"/>
    <w:rPr>
      <w:sz w:val="24"/>
      <w:szCs w:val="24"/>
      <w:lang w:eastAsia="zh-CN"/>
    </w:rPr>
  </w:style>
  <w:style w:type="table" w:styleId="TableGrid">
    <w:name w:val="Table Grid"/>
    <w:basedOn w:val="TableNormal"/>
    <w:uiPriority w:val="59"/>
    <w:rsid w:val="002C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C8AD1-FF7C-41F8-ADC5-DC1F94EE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9139</Words>
  <Characters>52098</Characters>
  <Application>Microsoft Office Word</Application>
  <DocSecurity>0</DocSecurity>
  <Lines>434</Lines>
  <Paragraphs>122</Paragraphs>
  <ScaleCrop>false</ScaleCrop>
  <Company>I T S</Company>
  <LinksUpToDate>false</LinksUpToDate>
  <CharactersWithSpaces>61115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Reproductive Health and Agency After the 2006 Bantul Earthquake: A Retrospective Phenomenological Study</dc:title>
  <dc:subject>Research Article - The Open Nursing Journal</dc:subject>
  <dc:creator/>
  <cp:keywords>Disaster Nursing; Earthquakes; Women's Health; Reproductive Health; Midwifery; Qualitative Research; Disasters; Community Resilience</cp:keywords>
  <dc:description/>
  <cp:lastModifiedBy>.</cp:lastModifiedBy>
  <cp:revision>26</cp:revision>
  <cp:lastPrinted>2018-09-17T11:47:00Z</cp:lastPrinted>
  <dcterms:created xsi:type="dcterms:W3CDTF">2021-12-07T06:02:00Z</dcterms:created>
  <dcterms:modified xsi:type="dcterms:W3CDTF">2026-10-02T01:58:00Z</dcterms:modified>
  <dc:language>en-US</dc:language>
</cp:coreProperties>
</file>