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Cara recruitment peserta, jumlah yang dihubungi, dan apakah ada yang menolak/dropout.</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u w:val="single"/>
        </w:rPr>
      </w:pPr>
      <w:r w:rsidDel="00000000" w:rsidR="00000000" w:rsidRPr="00000000">
        <w:rPr>
          <w:u w:val="single"/>
          <w:rtl w:val="0"/>
        </w:rPr>
        <w:t xml:space="preserve">Jawaban:</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jc w:val="both"/>
        <w:rPr/>
      </w:pPr>
      <w:r w:rsidDel="00000000" w:rsidR="00000000" w:rsidRPr="00000000">
        <w:rPr>
          <w:rtl w:val="0"/>
        </w:rPr>
        <w:t xml:space="preserve">Participants were purposively recruited based on the predefined eligibility criteria, namely adult women who had experienced the 2006 Bantul earthquake and were residing in the area affected by the earthquake. Potential participants were approached directly by the research team, and the study was explained to them before informed consent was obtained. A total of 10 eligible women were approached for participation, and all 10 agreed to participate and completed the interviews. No eligible participant declined participation.</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Usia peserta saat wawancara 2026, pendidikan terakhir, dan domisili singkat di Bantul.</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u w:val="single"/>
        </w:rPr>
      </w:pPr>
      <w:r w:rsidDel="00000000" w:rsidR="00000000" w:rsidRPr="00000000">
        <w:rPr>
          <w:u w:val="single"/>
          <w:rtl w:val="0"/>
        </w:rPr>
        <w:t xml:space="preserve">Jawaban:</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widowControl w:val="0"/>
        <w:spacing w:after="25" w:before="40" w:line="240" w:lineRule="auto"/>
        <w:ind w:left="248" w:firstLine="0"/>
        <w:jc w:val="center"/>
        <w:rPr>
          <w:rFonts w:ascii="Calibri" w:cs="Calibri" w:eastAsia="Calibri" w:hAnsi="Calibri"/>
          <w:sz w:val="21"/>
          <w:szCs w:val="21"/>
        </w:rPr>
      </w:pPr>
      <w:r w:rsidDel="00000000" w:rsidR="00000000" w:rsidRPr="00000000">
        <w:rPr>
          <w:rtl w:val="0"/>
        </w:rPr>
      </w:r>
    </w:p>
    <w:tbl>
      <w:tblPr>
        <w:tblStyle w:val="Table1"/>
        <w:tblW w:w="9320.000000000002" w:type="dxa"/>
        <w:jc w:val="left"/>
        <w:tblInd w:w="1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90.4536489151874"/>
        <w:gridCol w:w="753.6883629191321"/>
        <w:gridCol w:w="753.6883629191321"/>
        <w:gridCol w:w="1397.0808678500987"/>
        <w:gridCol w:w="803.3214990138067"/>
        <w:gridCol w:w="2946.7376725838267"/>
        <w:gridCol w:w="1875.0295857988167"/>
        <w:tblGridChange w:id="0">
          <w:tblGrid>
            <w:gridCol w:w="790.4536489151874"/>
            <w:gridCol w:w="753.6883629191321"/>
            <w:gridCol w:w="753.6883629191321"/>
            <w:gridCol w:w="1397.0808678500987"/>
            <w:gridCol w:w="803.3214990138067"/>
            <w:gridCol w:w="2946.7376725838267"/>
            <w:gridCol w:w="1875.0295857988167"/>
          </w:tblGrid>
        </w:tblGridChange>
      </w:tblGrid>
      <w:tr>
        <w:trPr>
          <w:cantSplit w:val="0"/>
          <w:trHeight w:val="66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D">
            <w:pPr>
              <w:widowControl w:val="0"/>
              <w:spacing w:before="114" w:line="240" w:lineRule="auto"/>
              <w:ind w:left="369" w:right="11" w:hanging="236"/>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Informant (I)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E">
            <w:pPr>
              <w:widowControl w:val="0"/>
              <w:spacing w:after="240" w:before="240" w:line="276" w:lineRule="auto"/>
              <w:jc w:val="center"/>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Age at the time of the 2006 earthquake</w:t>
            </w:r>
          </w:p>
          <w:p w:rsidR="00000000" w:rsidDel="00000000" w:rsidP="00000000" w:rsidRDefault="00000000" w:rsidRPr="00000000" w14:paraId="0000000F">
            <w:pPr>
              <w:widowControl w:val="0"/>
              <w:spacing w:before="114" w:line="240" w:lineRule="auto"/>
              <w:jc w:val="center"/>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 (Years)</w:t>
            </w:r>
          </w:p>
        </w:tc>
        <w:tc>
          <w:tcPr>
            <w:tcBorders>
              <w:top w:color="000000" w:space="0" w:sz="4" w:val="single"/>
              <w:left w:color="000000" w:space="0" w:sz="0" w:val="nil"/>
              <w:bottom w:color="000000" w:space="0" w:sz="4" w:val="single"/>
              <w:right w:color="000000" w:space="0" w:sz="0" w:val="nil"/>
            </w:tcBorders>
            <w:shd w:fill="fff2cc" w:val="clear"/>
          </w:tcPr>
          <w:p w:rsidR="00000000" w:rsidDel="00000000" w:rsidP="00000000" w:rsidRDefault="00000000" w:rsidRPr="00000000" w14:paraId="00000010">
            <w:pPr>
              <w:widowControl w:val="0"/>
              <w:spacing w:before="114" w:line="240" w:lineRule="auto"/>
              <w:ind w:left="169" w:firstLine="108"/>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Age Present (Years)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1">
            <w:pPr>
              <w:widowControl w:val="0"/>
              <w:spacing w:before="54" w:line="240" w:lineRule="auto"/>
              <w:ind w:left="275" w:hanging="117"/>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Occupation / Socioeconomic Status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2">
            <w:pPr>
              <w:widowControl w:val="0"/>
              <w:spacing w:before="94" w:line="240" w:lineRule="auto"/>
              <w:ind w:left="138" w:right="130" w:firstLine="28.999999999999986"/>
              <w:jc w:val="both"/>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Living Childr 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3">
            <w:pPr>
              <w:widowControl w:val="0"/>
              <w:spacing w:before="54" w:line="240" w:lineRule="auto"/>
              <w:ind w:left="38" w:right="3" w:firstLine="0"/>
              <w:jc w:val="center"/>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Reproductive Cycle Phase &amp; Dominant Gender Role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4">
            <w:pPr>
              <w:widowControl w:val="0"/>
              <w:spacing w:before="54" w:line="240" w:lineRule="auto"/>
              <w:ind w:left="372" w:firstLine="0"/>
              <w:rPr>
                <w:rFonts w:ascii="Calibri" w:cs="Calibri" w:eastAsia="Calibri" w:hAnsi="Calibri"/>
                <w:b w:val="1"/>
                <w:bCs w:val="1"/>
                <w:sz w:val="15"/>
                <w:szCs w:val="15"/>
              </w:rPr>
            </w:pPr>
            <w:r w:rsidDel="00000000" w:rsidR="00000000" w:rsidRPr="00000000">
              <w:rPr>
                <w:rFonts w:ascii="Calibri" w:cs="Calibri" w:eastAsia="Calibri" w:hAnsi="Calibri"/>
                <w:b w:val="1"/>
                <w:bCs w:val="1"/>
                <w:sz w:val="15"/>
                <w:szCs w:val="15"/>
                <w:rtl w:val="0"/>
              </w:rPr>
              <w:t xml:space="preserve">Contraceptive Use Status</w:t>
            </w:r>
          </w:p>
        </w:tc>
      </w:tr>
      <w:tr>
        <w:trPr>
          <w:cantSplit w:val="0"/>
          <w:trHeight w:val="397"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before="11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6">
            <w:pPr>
              <w:widowControl w:val="0"/>
              <w:spacing w:before="110"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44</w:t>
            </w:r>
          </w:p>
        </w:tc>
        <w:tc>
          <w:tcPr>
            <w:tcBorders>
              <w:top w:color="000000" w:space="0" w:sz="4" w:val="single"/>
              <w:left w:color="000000" w:space="0" w:sz="0" w:val="nil"/>
              <w:bottom w:color="000000" w:space="0" w:sz="0" w:val="nil"/>
              <w:right w:color="000000" w:space="0" w:sz="0" w:val="nil"/>
            </w:tcBorders>
            <w:shd w:fill="fff2cc" w:val="clear"/>
          </w:tcPr>
          <w:p w:rsidR="00000000" w:rsidDel="00000000" w:rsidP="00000000" w:rsidRDefault="00000000" w:rsidRPr="00000000" w14:paraId="00000017">
            <w:pPr>
              <w:widowControl w:val="0"/>
              <w:spacing w:before="11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63</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before="50" w:line="240" w:lineRule="auto"/>
              <w:ind w:left="255"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Teacher / Educator</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9">
            <w:pPr>
              <w:widowControl w:val="0"/>
              <w:spacing w:before="50"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widowControl w:val="0"/>
              <w:spacing w:before="50" w:line="240" w:lineRule="auto"/>
              <w:ind w:left="38" w:right="1"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Perimenopause; Adolescent Care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B">
            <w:pPr>
              <w:widowControl w:val="0"/>
              <w:spacing w:before="50" w:line="240" w:lineRule="auto"/>
              <w:ind w:left="354"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applicable</w:t>
            </w:r>
          </w:p>
        </w:tc>
      </w:tr>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widowControl w:val="0"/>
              <w:spacing w:before="10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widowControl w:val="0"/>
              <w:spacing w:before="100"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40</w:t>
            </w:r>
          </w:p>
        </w:tc>
        <w:tc>
          <w:tcPr>
            <w:tcBorders>
              <w:top w:color="000000" w:space="0" w:sz="0" w:val="nil"/>
              <w:left w:color="000000" w:space="0" w:sz="0" w:val="nil"/>
              <w:bottom w:color="000000" w:space="0" w:sz="0" w:val="nil"/>
              <w:right w:color="000000" w:space="0" w:sz="0" w:val="nil"/>
            </w:tcBorders>
            <w:shd w:fill="fff2cc" w:val="clear"/>
          </w:tcPr>
          <w:p w:rsidR="00000000" w:rsidDel="00000000" w:rsidP="00000000" w:rsidRDefault="00000000" w:rsidRPr="00000000" w14:paraId="0000001E">
            <w:pPr>
              <w:widowControl w:val="0"/>
              <w:spacing w:before="10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widowControl w:val="0"/>
              <w:spacing w:before="40" w:line="240" w:lineRule="auto"/>
              <w:ind w:left="439"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Housewife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widowControl w:val="0"/>
              <w:spacing w:before="40"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widowControl w:val="0"/>
              <w:spacing w:before="40" w:line="240" w:lineRule="auto"/>
              <w:ind w:left="38"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Caring for toddlers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widowControl w:val="0"/>
              <w:spacing w:before="40" w:line="240" w:lineRule="auto"/>
              <w:ind w:left="18" w:right="19"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used</w:t>
            </w:r>
          </w:p>
        </w:tc>
      </w:tr>
      <w:tr>
        <w:trPr>
          <w:cantSplit w:val="0"/>
          <w:trHeight w:val="396" w:hRule="atLeast"/>
          <w:tblHeader w:val="0"/>
        </w:trPr>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3">
            <w:pPr>
              <w:widowControl w:val="0"/>
              <w:spacing w:before="103"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I3</w:t>
            </w:r>
          </w:p>
        </w:tc>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4">
            <w:pPr>
              <w:widowControl w:val="0"/>
              <w:spacing w:before="103"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41</w:t>
            </w:r>
          </w:p>
        </w:tc>
        <w:tc>
          <w:tcPr>
            <w:tcBorders>
              <w:top w:color="000000" w:space="0" w:sz="0" w:val="nil"/>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25">
            <w:pPr>
              <w:widowControl w:val="0"/>
              <w:spacing w:before="103"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61</w:t>
            </w:r>
          </w:p>
        </w:tc>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6">
            <w:pPr>
              <w:widowControl w:val="0"/>
              <w:spacing w:before="43" w:line="240" w:lineRule="auto"/>
              <w:ind w:left="28" w:right="1"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Market Vendor</w:t>
            </w:r>
          </w:p>
        </w:tc>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7">
            <w:pPr>
              <w:widowControl w:val="0"/>
              <w:spacing w:before="43"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8">
            <w:pPr>
              <w:widowControl w:val="0"/>
              <w:spacing w:before="43" w:line="240" w:lineRule="auto"/>
              <w:ind w:left="3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Childcare for school-age children and adolescents</w:t>
            </w:r>
          </w:p>
        </w:tc>
        <w:tc>
          <w:tcPr>
            <w:tcBorders>
              <w:top w:color="000000" w:space="0" w:sz="0" w:val="nil"/>
              <w:left w:color="ffffff" w:space="0" w:sz="8" w:val="single"/>
              <w:bottom w:color="ffffff" w:space="0" w:sz="8" w:val="single"/>
              <w:right w:color="ffffff" w:space="0" w:sz="8" w:val="single"/>
            </w:tcBorders>
          </w:tcPr>
          <w:p w:rsidR="00000000" w:rsidDel="00000000" w:rsidP="00000000" w:rsidRDefault="00000000" w:rsidRPr="00000000" w14:paraId="00000029">
            <w:pPr>
              <w:widowControl w:val="0"/>
              <w:spacing w:before="43" w:line="240" w:lineRule="auto"/>
              <w:ind w:right="19"/>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IUD</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A">
            <w:pPr>
              <w:widowControl w:val="0"/>
              <w:spacing w:before="103"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I4</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B">
            <w:pPr>
              <w:widowControl w:val="0"/>
              <w:spacing w:before="103"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29</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2C">
            <w:pPr>
              <w:widowControl w:val="0"/>
              <w:spacing w:before="103"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48</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D">
            <w:pPr>
              <w:widowControl w:val="0"/>
              <w:spacing w:before="43" w:line="240" w:lineRule="auto"/>
              <w:ind w:left="18" w:right="-1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Farmers / Farm Workers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E">
            <w:pPr>
              <w:widowControl w:val="0"/>
              <w:spacing w:before="43"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1</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spacing w:before="43" w:line="240" w:lineRule="auto"/>
              <w:ind w:left="38" w:right="3"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Third Trimester of Pregnancy (High-Risk Pregnancy)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0">
            <w:pPr>
              <w:widowControl w:val="0"/>
              <w:spacing w:before="43" w:line="240" w:lineRule="auto"/>
              <w:ind w:left="17" w:right="19"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applicable</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1">
            <w:pPr>
              <w:widowControl w:val="0"/>
              <w:spacing w:before="104"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I5</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2">
            <w:pPr>
              <w:widowControl w:val="0"/>
              <w:spacing w:before="104"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33</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33">
            <w:pPr>
              <w:widowControl w:val="0"/>
              <w:spacing w:before="104"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53</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4">
            <w:pPr>
              <w:widowControl w:val="0"/>
              <w:spacing w:before="44" w:line="240" w:lineRule="auto"/>
              <w:ind w:left="2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Housewife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5">
            <w:pPr>
              <w:widowControl w:val="0"/>
              <w:spacing w:before="44"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6">
            <w:pPr>
              <w:widowControl w:val="0"/>
              <w:spacing w:before="44" w:line="240" w:lineRule="auto"/>
              <w:ind w:left="118"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Menstruation; Breastfeeding; Care of toddlers and</w:t>
            </w:r>
          </w:p>
          <w:p w:rsidR="00000000" w:rsidDel="00000000" w:rsidP="00000000" w:rsidRDefault="00000000" w:rsidRPr="00000000" w14:paraId="00000037">
            <w:pPr>
              <w:widowControl w:val="0"/>
              <w:spacing w:line="240" w:lineRule="auto"/>
              <w:ind w:left="1472"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school-age children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8">
            <w:pPr>
              <w:widowControl w:val="0"/>
              <w:spacing w:before="44" w:line="240" w:lineRule="auto"/>
              <w:ind w:left="18" w:right="19"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using</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9">
            <w:pPr>
              <w:widowControl w:val="0"/>
              <w:spacing w:before="119"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I6</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A">
            <w:pPr>
              <w:widowControl w:val="0"/>
              <w:spacing w:before="119"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43</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3B">
            <w:pPr>
              <w:widowControl w:val="0"/>
              <w:spacing w:before="119"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63</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C">
            <w:pPr>
              <w:widowControl w:val="0"/>
              <w:spacing w:before="59" w:line="240" w:lineRule="auto"/>
              <w:ind w:left="2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Housewife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spacing w:before="59"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E">
            <w:pPr>
              <w:widowControl w:val="0"/>
              <w:spacing w:before="59" w:line="240" w:lineRule="auto"/>
              <w:ind w:left="3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Childcare for school-aged children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F">
            <w:pPr>
              <w:widowControl w:val="0"/>
              <w:spacing w:before="39" w:line="240" w:lineRule="auto"/>
              <w:ind w:left="578" w:right="417" w:hanging="157.99999999999997"/>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3-Month Injectable Contraceptive</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0">
            <w:pPr>
              <w:widowControl w:val="0"/>
              <w:spacing w:before="12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I7</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1">
            <w:pPr>
              <w:widowControl w:val="0"/>
              <w:spacing w:before="120"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38</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42">
            <w:pPr>
              <w:widowControl w:val="0"/>
              <w:spacing w:before="120"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58</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3">
            <w:pPr>
              <w:widowControl w:val="0"/>
              <w:spacing w:before="60" w:line="240" w:lineRule="auto"/>
              <w:ind w:left="28" w:right="1"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Farmers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4">
            <w:pPr>
              <w:widowControl w:val="0"/>
              <w:spacing w:before="60"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5">
            <w:pPr>
              <w:widowControl w:val="0"/>
              <w:spacing w:before="60" w:line="240" w:lineRule="auto"/>
              <w:ind w:left="203" w:firstLine="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Breastfeeding; Caring for children of multiple ages (infants, toddlers, school-age children)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6">
            <w:pPr>
              <w:widowControl w:val="0"/>
              <w:spacing w:before="60" w:line="240" w:lineRule="auto"/>
              <w:ind w:left="578" w:right="417" w:hanging="157.99999999999997"/>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3-Month Injectable Contraceptive</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7">
            <w:pPr>
              <w:widowControl w:val="0"/>
              <w:spacing w:before="115"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I8</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8">
            <w:pPr>
              <w:widowControl w:val="0"/>
              <w:spacing w:before="115"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38</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49">
            <w:pPr>
              <w:widowControl w:val="0"/>
              <w:spacing w:before="115" w:line="240" w:lineRule="auto"/>
              <w:ind w:left="46" w:firstLine="0"/>
              <w:jc w:val="center"/>
              <w:rPr>
                <w:rFonts w:ascii="Calibri" w:cs="Calibri" w:eastAsia="Calibri" w:hAnsi="Calibri"/>
                <w:sz w:val="15"/>
                <w:szCs w:val="15"/>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A">
            <w:pPr>
              <w:widowControl w:val="0"/>
              <w:spacing w:before="55" w:line="240" w:lineRule="auto"/>
              <w:ind w:left="2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Housewife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B">
            <w:pPr>
              <w:widowControl w:val="0"/>
              <w:spacing w:before="55"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C">
            <w:pPr>
              <w:widowControl w:val="0"/>
              <w:spacing w:before="35" w:line="240" w:lineRule="auto"/>
              <w:ind w:left="1470" w:hanging="1260"/>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Breastfeeding; Caring for toddlers and school-age children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D">
            <w:pPr>
              <w:widowControl w:val="0"/>
              <w:spacing w:before="55" w:line="240" w:lineRule="auto"/>
              <w:ind w:left="18" w:right="19"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using</w:t>
            </w:r>
          </w:p>
        </w:tc>
      </w:tr>
      <w:tr>
        <w:trPr>
          <w:cantSplit w:val="0"/>
          <w:trHeight w:val="39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E">
            <w:pPr>
              <w:widowControl w:val="0"/>
              <w:spacing w:before="115"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I9</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F">
            <w:pPr>
              <w:widowControl w:val="0"/>
              <w:spacing w:before="115"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33</w:t>
            </w:r>
          </w:p>
        </w:tc>
        <w:tc>
          <w:tcPr>
            <w:tcBorders>
              <w:top w:color="ffffff" w:space="0" w:sz="8" w:val="single"/>
              <w:left w:color="ffffff" w:space="0" w:sz="8" w:val="single"/>
              <w:bottom w:color="ffffff" w:space="0" w:sz="8" w:val="single"/>
              <w:right w:color="ffffff" w:space="0" w:sz="8" w:val="single"/>
            </w:tcBorders>
            <w:shd w:fill="fff2cc" w:val="clear"/>
          </w:tcPr>
          <w:p w:rsidR="00000000" w:rsidDel="00000000" w:rsidP="00000000" w:rsidRDefault="00000000" w:rsidRPr="00000000" w14:paraId="00000050">
            <w:pPr>
              <w:widowControl w:val="0"/>
              <w:spacing w:before="115"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52</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1">
            <w:pPr>
              <w:widowControl w:val="0"/>
              <w:spacing w:before="55" w:line="240" w:lineRule="auto"/>
              <w:ind w:left="28" w:right="1"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Merchant</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2">
            <w:pPr>
              <w:widowControl w:val="0"/>
              <w:spacing w:before="55"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3">
            <w:pPr>
              <w:widowControl w:val="0"/>
              <w:spacing w:before="55" w:line="240" w:lineRule="auto"/>
              <w:ind w:left="3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Childcare for toddlers and school-age children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4">
            <w:pPr>
              <w:widowControl w:val="0"/>
              <w:spacing w:before="55" w:line="240" w:lineRule="auto"/>
              <w:ind w:left="2" w:right="19"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Oral Contraceptives</w:t>
            </w:r>
          </w:p>
        </w:tc>
      </w:tr>
      <w:tr>
        <w:trPr>
          <w:cantSplit w:val="0"/>
          <w:trHeight w:val="396" w:hRule="atLeast"/>
          <w:tblHeader w:val="0"/>
        </w:trPr>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5">
            <w:pPr>
              <w:widowControl w:val="0"/>
              <w:spacing w:before="116" w:line="240" w:lineRule="auto"/>
              <w:ind w:left="46" w:right="1"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I10</w:t>
            </w:r>
          </w:p>
        </w:tc>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6">
            <w:pPr>
              <w:widowControl w:val="0"/>
              <w:spacing w:before="116" w:line="240" w:lineRule="auto"/>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43</w:t>
            </w:r>
          </w:p>
        </w:tc>
        <w:tc>
          <w:tcPr>
            <w:tcBorders>
              <w:top w:color="ffffff" w:space="0" w:sz="8" w:val="single"/>
              <w:left w:color="ffffff" w:space="0" w:sz="8" w:val="single"/>
              <w:bottom w:color="ffffff" w:space="0" w:sz="4" w:val="single"/>
              <w:right w:color="ffffff" w:space="0" w:sz="8" w:val="single"/>
            </w:tcBorders>
            <w:shd w:fill="fff2cc" w:val="clear"/>
          </w:tcPr>
          <w:p w:rsidR="00000000" w:rsidDel="00000000" w:rsidP="00000000" w:rsidRDefault="00000000" w:rsidRPr="00000000" w14:paraId="00000057">
            <w:pPr>
              <w:widowControl w:val="0"/>
              <w:spacing w:before="116" w:line="240" w:lineRule="auto"/>
              <w:ind w:left="46"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63</w:t>
            </w:r>
          </w:p>
        </w:tc>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8">
            <w:pPr>
              <w:widowControl w:val="0"/>
              <w:spacing w:before="56" w:line="240" w:lineRule="auto"/>
              <w:ind w:left="28"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Teachers / Educators</w:t>
            </w:r>
          </w:p>
        </w:tc>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9">
            <w:pPr>
              <w:widowControl w:val="0"/>
              <w:spacing w:before="56" w:line="240" w:lineRule="auto"/>
              <w:ind w:left="45"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2</w:t>
            </w:r>
          </w:p>
        </w:tc>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A">
            <w:pPr>
              <w:widowControl w:val="0"/>
              <w:spacing w:before="56" w:line="240" w:lineRule="auto"/>
              <w:ind w:left="38" w:right="2" w:firstLine="0"/>
              <w:jc w:val="cente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Parenting of School-Age Children &amp; Adolescents</w:t>
            </w:r>
          </w:p>
        </w:tc>
        <w:tc>
          <w:tcPr>
            <w:tcBorders>
              <w:top w:color="ffffff" w:space="0" w:sz="8" w:val="single"/>
              <w:left w:color="ffffff" w:space="0" w:sz="8" w:val="single"/>
              <w:bottom w:color="ffffff" w:space="0" w:sz="4" w:val="single"/>
              <w:right w:color="ffffff" w:space="0" w:sz="8" w:val="single"/>
            </w:tcBorders>
          </w:tcPr>
          <w:p w:rsidR="00000000" w:rsidDel="00000000" w:rsidP="00000000" w:rsidRDefault="00000000" w:rsidRPr="00000000" w14:paraId="0000005B">
            <w:pPr>
              <w:widowControl w:val="0"/>
              <w:spacing w:before="56" w:line="240" w:lineRule="auto"/>
              <w:ind w:left="645" w:hanging="532"/>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 using (Husband had a vasectomy)</w:t>
            </w:r>
          </w:p>
        </w:tc>
      </w:tr>
    </w:tbl>
    <w:p w:rsidR="00000000" w:rsidDel="00000000" w:rsidP="00000000" w:rsidRDefault="00000000" w:rsidRPr="00000000" w14:paraId="0000005C">
      <w:pPr>
        <w:widowControl w:val="0"/>
        <w:spacing w:line="240" w:lineRule="auto"/>
        <w:ind w:left="50" w:firstLine="0"/>
        <w:jc w:val="center"/>
        <w:rPr>
          <w:rFonts w:ascii="Calibri" w:cs="Calibri" w:eastAsia="Calibri" w:hAnsi="Calibri"/>
          <w:sz w:val="15"/>
          <w:szCs w:val="15"/>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widowControl w:val="0"/>
        <w:spacing w:before="14" w:line="240" w:lineRule="auto"/>
        <w:rPr/>
        <w:sectPr>
          <w:type w:val="continuous"/>
          <w:pgSz w:h="16834" w:w="11909" w:orient="portrait"/>
          <w:pgMar w:bottom="1549" w:top="1400" w:left="992" w:right="992" w:header="720" w:footer="720"/>
        </w:sectPr>
      </w:pPr>
      <w:r w:rsidDel="00000000" w:rsidR="00000000" w:rsidRPr="00000000">
        <w:rPr>
          <w:rtl w:val="0"/>
        </w:rPr>
      </w:r>
    </w:p>
    <w:p w:rsidR="00000000" w:rsidDel="00000000" w:rsidP="00000000" w:rsidRDefault="00000000" w:rsidRPr="00000000" w14:paraId="0000005E">
      <w:pPr>
        <w:widowControl w:val="0"/>
        <w:spacing w:before="14" w:lin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Apakah protocol etik menyebut Declaration of Helsinki dan menyetujui verbal informed consent.</w:t>
      </w:r>
    </w:p>
    <w:p w:rsidR="00000000" w:rsidDel="00000000" w:rsidP="00000000" w:rsidRDefault="00000000" w:rsidRPr="00000000" w14:paraId="00000061">
      <w:pPr>
        <w:ind w:left="720" w:firstLine="0"/>
        <w:rPr/>
      </w:pPr>
      <w:r w:rsidDel="00000000" w:rsidR="00000000" w:rsidRPr="00000000">
        <w:rPr>
          <w:u w:val="single"/>
          <w:rtl w:val="0"/>
        </w:rPr>
        <w:t xml:space="preserve">Jawaban:</w:t>
      </w:r>
      <w:r w:rsidDel="00000000" w:rsidR="00000000" w:rsidRPr="00000000">
        <w:rPr>
          <w:rtl w:val="0"/>
        </w:rPr>
      </w:r>
    </w:p>
    <w:p w:rsidR="00000000" w:rsidDel="00000000" w:rsidP="00000000" w:rsidRDefault="00000000" w:rsidRPr="00000000" w14:paraId="00000062">
      <w:pPr>
        <w:spacing w:after="240" w:befor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Ethical Considerations</w:t>
      </w:r>
      <w:r w:rsidDel="00000000" w:rsidR="00000000" w:rsidRPr="00000000">
        <w:rPr>
          <w:rtl w:val="0"/>
        </w:rPr>
      </w:r>
    </w:p>
    <w:p w:rsidR="00000000" w:rsidDel="00000000" w:rsidP="00000000" w:rsidRDefault="00000000" w:rsidRPr="00000000" w14:paraId="00000063">
      <w:pPr>
        <w:spacing w:after="240" w:befor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This study obtained ethical clearance from the Research Ethics Committee of LP2M Universitas ’Aisyiyah Yogyakarta (No. 4965/KEP-UNISA/XII/2025). The ethical considerations were developed with reference to the </w:t>
      </w:r>
      <w:r w:rsidDel="00000000" w:rsidR="00000000" w:rsidRPr="00000000">
        <w:rPr>
          <w:rFonts w:ascii="Calibri" w:cs="Calibri" w:eastAsia="Calibri" w:hAnsi="Calibri"/>
          <w:b w:val="1"/>
          <w:bCs w:val="1"/>
          <w:rtl w:val="0"/>
        </w:rPr>
        <w:t xml:space="preserve">WHO (2011) guidance</w:t>
      </w:r>
      <w:r w:rsidDel="00000000" w:rsidR="00000000" w:rsidRPr="00000000">
        <w:rPr>
          <w:rFonts w:ascii="Calibri" w:cs="Calibri" w:eastAsia="Calibri" w:hAnsi="Calibri"/>
          <w:rtl w:val="0"/>
        </w:rPr>
        <w:t xml:space="preserve"> and the </w:t>
      </w:r>
      <w:r w:rsidDel="00000000" w:rsidR="00000000" w:rsidRPr="00000000">
        <w:rPr>
          <w:rFonts w:ascii="Calibri" w:cs="Calibri" w:eastAsia="Calibri" w:hAnsi="Calibri"/>
          <w:b w:val="1"/>
          <w:bCs w:val="1"/>
          <w:rtl w:val="0"/>
        </w:rPr>
        <w:t xml:space="preserve">CIOMS 2016 guidelines</w:t>
      </w:r>
      <w:r w:rsidDel="00000000" w:rsidR="00000000" w:rsidRPr="00000000">
        <w:rPr>
          <w:rFonts w:ascii="Calibri" w:cs="Calibri" w:eastAsia="Calibri" w:hAnsi="Calibri"/>
          <w:rtl w:val="0"/>
        </w:rPr>
        <w:t xml:space="preserve">, both of which validate the adaptation of documentation processes to accommodate specific socio-cultural contexts and minimize participant burden. Given the participants’ background as rural earthquake survivors and the potential intimidation associated with signing formal paperwork, a rigorous </w:t>
      </w:r>
      <w:r w:rsidDel="00000000" w:rsidR="00000000" w:rsidRPr="00000000">
        <w:rPr>
          <w:rFonts w:ascii="Calibri" w:cs="Calibri" w:eastAsia="Calibri" w:hAnsi="Calibri"/>
          <w:b w:val="1"/>
          <w:bCs w:val="1"/>
          <w:rtl w:val="0"/>
        </w:rPr>
        <w:t xml:space="preserve">two-stage verbal informed consent</w:t>
      </w:r>
      <w:r w:rsidDel="00000000" w:rsidR="00000000" w:rsidRPr="00000000">
        <w:rPr>
          <w:rFonts w:ascii="Calibri" w:cs="Calibri" w:eastAsia="Calibri" w:hAnsi="Calibri"/>
          <w:rtl w:val="0"/>
        </w:rPr>
        <w:t xml:space="preserve"> process was deployed. In the first stage, local research assistants conducted home visits to provide face-to-face explanations of the study's aims and voluntary nature. Upon receiving preliminary verbal assent, the second stage was executed immediately prior to the online interview via Zoom Meeting, where the principal investigator re-explained the ethical safeguards and obtained explicit, audio-recorded verbal informed consent. All digital recordings were stored in secure, encrypted repositories to guarantee absolute anonymity and data confidentiality.</w:t>
      </w:r>
    </w:p>
    <w:p w:rsidR="00000000" w:rsidDel="00000000" w:rsidP="00000000" w:rsidRDefault="00000000" w:rsidRPr="00000000" w14:paraId="00000064">
      <w:pPr>
        <w:spacing w:after="240" w:before="240" w:lineRule="auto"/>
        <w:ind w:left="720" w:firstLine="0"/>
        <w:jc w:val="both"/>
        <w:rPr>
          <w:rFonts w:ascii="Calibri" w:cs="Calibri" w:eastAsia="Calibri" w:hAnsi="Calibri"/>
        </w:rPr>
      </w:pPr>
      <w:r w:rsidDel="00000000" w:rsidR="00000000" w:rsidRPr="00000000">
        <w:rPr>
          <w:rFonts w:ascii="Calibri" w:cs="Calibri" w:eastAsia="Calibri" w:hAnsi="Calibri"/>
          <w:u w:val="single"/>
          <w:rtl w:val="0"/>
        </w:rPr>
        <w:t xml:space="preserve">Pernyataan pendukung sesuai guidline CIOMS 2016</w:t>
      </w:r>
      <w:r w:rsidDel="00000000" w:rsidR="00000000" w:rsidRPr="00000000">
        <w:rPr>
          <w:rFonts w:ascii="Calibri" w:cs="Calibri" w:eastAsia="Calibri" w:hAnsi="Calibri"/>
          <w:rtl w:val="0"/>
        </w:rPr>
        <w:t xml:space="preserve">:</w:t>
      </w:r>
    </w:p>
    <w:p w:rsidR="00000000" w:rsidDel="00000000" w:rsidP="00000000" w:rsidRDefault="00000000" w:rsidRPr="00000000" w14:paraId="00000065">
      <w:pPr>
        <w:numPr>
          <w:ilvl w:val="0"/>
          <w:numId w:val="1"/>
        </w:numPr>
        <w:spacing w:after="240" w:before="240" w:lineRule="auto"/>
        <w:ind w:left="1440" w:hanging="360"/>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Adaptasi Proses Dokumentasi &amp; Meminimalkan Beban Peserta</w:t>
      </w:r>
    </w:p>
    <w:p w:rsidR="00000000" w:rsidDel="00000000" w:rsidP="00000000" w:rsidRDefault="00000000" w:rsidRPr="00000000" w14:paraId="00000066">
      <w:pPr>
        <w:spacing w:after="240" w:before="240" w:lineRule="auto"/>
        <w:ind w:left="144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Guideline 9: Individuals capable of giving informed consent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(khususnya bagian "Documentation of consent") </w:t>
      </w:r>
      <w:r w:rsidDel="00000000" w:rsidR="00000000" w:rsidRPr="00000000">
        <w:rPr>
          <w:rFonts w:ascii="Calibri" w:cs="Calibri" w:eastAsia="Calibri" w:hAnsi="Calibri"/>
          <w:b w:val="1"/>
          <w:bCs w:val="1"/>
          <w:rtl w:val="0"/>
        </w:rPr>
        <w:t xml:space="preserve">Halaman PDF:</w:t>
      </w:r>
      <w:r w:rsidDel="00000000" w:rsidR="00000000" w:rsidRPr="00000000">
        <w:rPr>
          <w:rFonts w:ascii="Calibri" w:cs="Calibri" w:eastAsia="Calibri" w:hAnsi="Calibri"/>
          <w:rtl w:val="0"/>
        </w:rPr>
        <w:t xml:space="preserve"> Halaman 40–41 (Sesuai penomoran dokumen: </w:t>
      </w:r>
      <w:r w:rsidDel="00000000" w:rsidR="00000000" w:rsidRPr="00000000">
        <w:rPr>
          <w:rFonts w:ascii="Calibri" w:cs="Calibri" w:eastAsia="Calibri" w:hAnsi="Calibri"/>
          <w:b w:val="1"/>
          <w:bCs w:val="1"/>
          <w:rtl w:val="0"/>
        </w:rPr>
        <w:t xml:space="preserve">Halaman 34–35</w:t>
      </w:r>
      <w:r w:rsidDel="00000000" w:rsidR="00000000" w:rsidRPr="00000000">
        <w:rPr>
          <w:rFonts w:ascii="Calibri" w:cs="Calibri" w:eastAsia="Calibri" w:hAnsi="Calibri"/>
          <w:rtl w:val="0"/>
        </w:rPr>
        <w:t xml:space="preserve">)</w:t>
      </w:r>
    </w:p>
    <w:p w:rsidR="00000000" w:rsidDel="00000000" w:rsidP="00000000" w:rsidRDefault="00000000" w:rsidRPr="00000000" w14:paraId="00000067">
      <w:pPr>
        <w:spacing w:after="240" w:before="240" w:lineRule="auto"/>
        <w:ind w:left="2160" w:firstLine="0"/>
        <w:jc w:val="both"/>
        <w:rPr>
          <w:rFonts w:ascii="Calibri" w:cs="Calibri" w:eastAsia="Calibri" w:hAnsi="Calibri"/>
          <w:b w:val="1"/>
          <w:bCs w:val="1"/>
        </w:rPr>
      </w:pPr>
      <w:r w:rsidDel="00000000" w:rsidR="00000000" w:rsidRPr="00000000">
        <w:rPr>
          <w:rFonts w:ascii="Calibri" w:cs="Calibri" w:eastAsia="Calibri" w:hAnsi="Calibri"/>
          <w:i w:val="1"/>
          <w:iCs w:val="1"/>
          <w:rtl w:val="0"/>
        </w:rPr>
        <w:t xml:space="preserve">"Consent may be indicated in a number of ways. The participant may express consent orally, or sign a consent form… The research ethics committee may approve a waiver of the requirement of a signed consent document under certain conditions... Such waivers may also be approved when existence of a signed consent form might pose a risk to the participant… When consent has been obtained orally, researchers should provide to the research ethics committee documentation of consent, certified either by the person obtaining consent or by a witness at the time consent is obtained."</w:t>
      </w:r>
      <w:r w:rsidDel="00000000" w:rsidR="00000000" w:rsidRPr="00000000">
        <w:rPr>
          <w:rtl w:val="0"/>
        </w:rPr>
      </w:r>
    </w:p>
    <w:p w:rsidR="00000000" w:rsidDel="00000000" w:rsidP="00000000" w:rsidRDefault="00000000" w:rsidRPr="00000000" w14:paraId="00000068">
      <w:pPr>
        <w:numPr>
          <w:ilvl w:val="0"/>
          <w:numId w:val="1"/>
        </w:numPr>
        <w:spacing w:after="240" w:befor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Persetujuan Lisan Dua Tahap (</w:t>
      </w:r>
      <w:r w:rsidDel="00000000" w:rsidR="00000000" w:rsidRPr="00000000">
        <w:rPr>
          <w:rFonts w:ascii="Calibri" w:cs="Calibri" w:eastAsia="Calibri" w:hAnsi="Calibri"/>
          <w:b w:val="1"/>
          <w:bCs w:val="1"/>
          <w:i w:val="1"/>
          <w:iCs w:val="1"/>
          <w:rtl w:val="0"/>
        </w:rPr>
        <w:t xml:space="preserve">Two-stage Verbal Informed Consent</w:t>
      </w:r>
      <w:r w:rsidDel="00000000" w:rsidR="00000000" w:rsidRPr="00000000">
        <w:rPr>
          <w:rFonts w:ascii="Calibri" w:cs="Calibri" w:eastAsia="Calibri" w:hAnsi="Calibri"/>
          <w:b w:val="1"/>
          <w:bCs w:val="1"/>
          <w:rtl w:val="0"/>
        </w:rPr>
        <w:t xml:space="preserve">) &amp; Peran Asisten Peneliti Lokal</w:t>
      </w:r>
    </w:p>
    <w:p w:rsidR="00000000" w:rsidDel="00000000" w:rsidP="00000000" w:rsidRDefault="00000000" w:rsidRPr="00000000" w14:paraId="00000069">
      <w:pPr>
        <w:spacing w:after="240" w:before="240" w:lineRule="auto"/>
        <w:ind w:left="2880" w:hanging="144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Guideline 9: Individuals capable of giving informed consent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(khususnya bagian "Process", "Who obtains consent", dan "Individual informed consent and access to research populations") </w:t>
      </w:r>
      <w:r w:rsidDel="00000000" w:rsidR="00000000" w:rsidRPr="00000000">
        <w:rPr>
          <w:rFonts w:ascii="Calibri" w:cs="Calibri" w:eastAsia="Calibri" w:hAnsi="Calibri"/>
          <w:b w:val="1"/>
          <w:bCs w:val="1"/>
          <w:rtl w:val="0"/>
        </w:rPr>
        <w:t xml:space="preserve">Halaman PDF:</w:t>
      </w:r>
      <w:r w:rsidDel="00000000" w:rsidR="00000000" w:rsidRPr="00000000">
        <w:rPr>
          <w:rFonts w:ascii="Calibri" w:cs="Calibri" w:eastAsia="Calibri" w:hAnsi="Calibri"/>
          <w:rtl w:val="0"/>
        </w:rPr>
        <w:t xml:space="preserve"> Halaman 40–42 (Sesuai penomoran dokumen: </w:t>
      </w:r>
      <w:r w:rsidDel="00000000" w:rsidR="00000000" w:rsidRPr="00000000">
        <w:rPr>
          <w:rFonts w:ascii="Calibri" w:cs="Calibri" w:eastAsia="Calibri" w:hAnsi="Calibri"/>
          <w:b w:val="1"/>
          <w:bCs w:val="1"/>
          <w:rtl w:val="0"/>
        </w:rPr>
        <w:t xml:space="preserve">Halaman 34–36</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A">
      <w:pPr>
        <w:spacing w:after="240" w:before="240" w:lineRule="auto"/>
        <w:ind w:left="2160" w:hanging="1440"/>
        <w:jc w:val="both"/>
        <w:rPr>
          <w:rFonts w:ascii="Calibri" w:cs="Calibri" w:eastAsia="Calibri" w:hAnsi="Calibri"/>
          <w:i w:val="1"/>
          <w:iCs w:val="1"/>
        </w:rPr>
      </w:pP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i w:val="1"/>
          <w:iCs w:val="1"/>
          <w:rtl w:val="0"/>
        </w:rPr>
        <w:t xml:space="preserve">"Informed consent is a two-way communicative process... Each individual must be given as much time as needed to reach a decision, including time for consultation with family members or others."</w:t>
      </w:r>
    </w:p>
    <w:p w:rsidR="00000000" w:rsidDel="00000000" w:rsidP="00000000" w:rsidRDefault="00000000" w:rsidRPr="00000000" w14:paraId="0000006B">
      <w:pPr>
        <w:spacing w:after="240" w:before="240" w:lineRule="auto"/>
        <w:ind w:left="2160" w:hanging="1440"/>
        <w:jc w:val="both"/>
        <w:rPr>
          <w:rFonts w:ascii="Calibri" w:cs="Calibri" w:eastAsia="Calibri" w:hAnsi="Calibri"/>
          <w:i w:val="1"/>
          <w:iCs w:val="1"/>
        </w:rPr>
      </w:pPr>
      <w:r w:rsidDel="00000000" w:rsidR="00000000" w:rsidRPr="00000000">
        <w:rPr>
          <w:rFonts w:ascii="Calibri" w:cs="Calibri" w:eastAsia="Calibri" w:hAnsi="Calibri"/>
          <w:i w:val="1"/>
          <w:iCs w:val="1"/>
          <w:rtl w:val="0"/>
        </w:rPr>
        <w:br w:type="textWrapping"/>
        <w:t xml:space="preserve">"In some populations, the use of local languages may facilitate the communication of information to potential participants... Sponsors and researchers must use culturally appropriate ways to communicate information necessary for adherence to the requirements of the informed consent process."</w:t>
      </w:r>
    </w:p>
    <w:p w:rsidR="00000000" w:rsidDel="00000000" w:rsidP="00000000" w:rsidRDefault="00000000" w:rsidRPr="00000000" w14:paraId="0000006C">
      <w:pPr>
        <w:spacing w:after="240" w:before="240" w:lineRule="auto"/>
        <w:ind w:left="2160" w:hanging="1440"/>
        <w:jc w:val="both"/>
        <w:rPr>
          <w:rFonts w:ascii="Calibri" w:cs="Calibri" w:eastAsia="Calibri" w:hAnsi="Calibri"/>
          <w:b w:val="1"/>
          <w:bCs w:val="1"/>
        </w:rPr>
      </w:pPr>
      <w:r w:rsidDel="00000000" w:rsidR="00000000" w:rsidRPr="00000000">
        <w:rPr>
          <w:rFonts w:ascii="Calibri" w:cs="Calibri" w:eastAsia="Calibri" w:hAnsi="Calibri"/>
          <w:i w:val="1"/>
          <w:iCs w:val="1"/>
          <w:rtl w:val="0"/>
        </w:rPr>
        <w:br w:type="textWrapping"/>
        <w:t xml:space="preserve">"Delegation of obtaining consent, for instance to a research nurse or another member of the research team... is permissible as long as the person who obtains consent is duly qualified..."</w:t>
      </w:r>
      <w:r w:rsidDel="00000000" w:rsidR="00000000" w:rsidRPr="00000000">
        <w:rPr>
          <w:rtl w:val="0"/>
        </w:rPr>
      </w:r>
    </w:p>
    <w:p w:rsidR="00000000" w:rsidDel="00000000" w:rsidP="00000000" w:rsidRDefault="00000000" w:rsidRPr="00000000" w14:paraId="0000006D">
      <w:pPr>
        <w:numPr>
          <w:ilvl w:val="0"/>
          <w:numId w:val="1"/>
        </w:numPr>
        <w:spacing w:after="240" w:befor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Perlindungan Kelompok Rentan (Korban Bencana Alam di Pedesaan)</w:t>
      </w:r>
    </w:p>
    <w:p w:rsidR="00000000" w:rsidDel="00000000" w:rsidP="00000000" w:rsidRDefault="00000000" w:rsidRPr="00000000" w14:paraId="0000006E">
      <w:pPr>
        <w:spacing w:after="240" w:before="240" w:lineRule="auto"/>
        <w:ind w:left="144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Pedoman ini menyoroti bahwa masyarakat penyintas bencana alam di daerah terpencil tergolong kelompok rentan yang membutuhkan perlindungan khusus agar proses penelitian tidak menambah beban traumatik atau beban formalitas tertulis yang mengintimidasi.</w:t>
      </w:r>
      <w:r w:rsidDel="00000000" w:rsidR="00000000" w:rsidRPr="00000000">
        <w:rPr>
          <w:rtl w:val="0"/>
        </w:rPr>
      </w:r>
    </w:p>
    <w:p w:rsidR="00000000" w:rsidDel="00000000" w:rsidP="00000000" w:rsidRDefault="00000000" w:rsidRPr="00000000" w14:paraId="0000006F">
      <w:pPr>
        <w:spacing w:after="240" w:before="240" w:lineRule="auto"/>
        <w:ind w:left="1440" w:firstLine="0"/>
        <w:rPr>
          <w:rFonts w:ascii="Calibri" w:cs="Calibri" w:eastAsia="Calibri" w:hAnsi="Calibri"/>
        </w:rPr>
      </w:pPr>
      <w:r w:rsidDel="00000000" w:rsidR="00000000" w:rsidRPr="00000000">
        <w:rPr>
          <w:rFonts w:ascii="Calibri" w:cs="Calibri" w:eastAsia="Calibri" w:hAnsi="Calibri"/>
          <w:b w:val="1"/>
          <w:bCs w:val="1"/>
          <w:rtl w:val="0"/>
        </w:rPr>
        <w:t xml:space="preserve">Guideline 15: Research involving vulnerable persons and groups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(Halaman PDF 63 / Dokumen Halaman 57)</w:t>
      </w:r>
      <w:r w:rsidDel="00000000" w:rsidR="00000000" w:rsidRPr="00000000">
        <w:rPr>
          <w:rtl w:val="0"/>
        </w:rPr>
      </w:r>
    </w:p>
    <w:p w:rsidR="00000000" w:rsidDel="00000000" w:rsidP="00000000" w:rsidRDefault="00000000" w:rsidRPr="00000000" w14:paraId="00000070">
      <w:pPr>
        <w:spacing w:after="240" w:before="240"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When vulnerable individuals and groups are considered for recruitment in research, researchers and research ethics committees must ensure that specific protections are in place to safeguard the rights and welfare of these individuals and groups in the conduct of the research."</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1">
      <w:pPr>
        <w:spacing w:after="240" w:before="240" w:lineRule="auto"/>
        <w:ind w:left="144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Guideline 20: Research in disasters and disease outbreaks </w:t>
      </w:r>
      <w:r w:rsidDel="00000000" w:rsidR="00000000" w:rsidRPr="00000000">
        <w:rPr>
          <w:rFonts w:ascii="Calibri" w:cs="Calibri" w:eastAsia="Calibri" w:hAnsi="Calibri"/>
          <w:sz w:val="24"/>
          <w:szCs w:val="24"/>
          <w:rtl w:val="0"/>
        </w:rPr>
        <w:t xml:space="preserve">(Halaman PDF 81 / Dokumen Halaman 75)</w:t>
      </w:r>
    </w:p>
    <w:p w:rsidR="00000000" w:rsidDel="00000000" w:rsidP="00000000" w:rsidRDefault="00000000" w:rsidRPr="00000000" w14:paraId="00000072">
      <w:pPr>
        <w:spacing w:after="240" w:before="240" w:lineRule="auto"/>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Disasters arising from events such as earthquakes, tsunamis or military conflicts, and disease outbreaks, can have a sudden and devastating impact on the health of large affected populations... In the conduct of research in disasters and disease outbreaks, it is essential to uphold the ethical principles embodied in these Guidelines." </w:t>
      </w:r>
    </w:p>
    <w:p w:rsidR="00000000" w:rsidDel="00000000" w:rsidP="00000000" w:rsidRDefault="00000000" w:rsidRPr="00000000" w14:paraId="00000073">
      <w:pPr>
        <w:numPr>
          <w:ilvl w:val="0"/>
          <w:numId w:val="1"/>
        </w:numPr>
        <w:spacing w:after="240" w:befor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Penyimpanan Data Digital Terenkripsi &amp; Kerahasiaan Identitas</w:t>
      </w:r>
    </w:p>
    <w:p w:rsidR="00000000" w:rsidDel="00000000" w:rsidP="00000000" w:rsidRDefault="00000000" w:rsidRPr="00000000" w14:paraId="00000074">
      <w:pPr>
        <w:spacing w:after="240" w:before="240" w:lineRule="auto"/>
        <w:ind w:left="144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Menegaskan kewajiban peneliti untuk menggunakan tempat penyimpanan data digital yang terenkripsi (</w:t>
      </w:r>
      <w:r w:rsidDel="00000000" w:rsidR="00000000" w:rsidRPr="00000000">
        <w:rPr>
          <w:rFonts w:ascii="Calibri" w:cs="Calibri" w:eastAsia="Calibri" w:hAnsi="Calibri"/>
          <w:i w:val="1"/>
          <w:iCs w:val="1"/>
          <w:rtl w:val="0"/>
        </w:rPr>
        <w:t xml:space="preserve">encrypted repositories</w:t>
      </w:r>
      <w:r w:rsidDel="00000000" w:rsidR="00000000" w:rsidRPr="00000000">
        <w:rPr>
          <w:rFonts w:ascii="Calibri" w:cs="Calibri" w:eastAsia="Calibri" w:hAnsi="Calibri"/>
          <w:rtl w:val="0"/>
        </w:rPr>
        <w:t xml:space="preserve">) guna menjamin kerahasiaan (</w:t>
      </w:r>
      <w:r w:rsidDel="00000000" w:rsidR="00000000" w:rsidRPr="00000000">
        <w:rPr>
          <w:rFonts w:ascii="Calibri" w:cs="Calibri" w:eastAsia="Calibri" w:hAnsi="Calibri"/>
          <w:i w:val="1"/>
          <w:iCs w:val="1"/>
          <w:rtl w:val="0"/>
        </w:rPr>
        <w:t xml:space="preserve">confidentiality</w:t>
      </w:r>
      <w:r w:rsidDel="00000000" w:rsidR="00000000" w:rsidRPr="00000000">
        <w:rPr>
          <w:rFonts w:ascii="Calibri" w:cs="Calibri" w:eastAsia="Calibri" w:hAnsi="Calibri"/>
          <w:rtl w:val="0"/>
        </w:rPr>
        <w:t xml:space="preserve">) dan anonimitas penuh atas rekaman suara/data peserta.</w:t>
      </w:r>
      <w:r w:rsidDel="00000000" w:rsidR="00000000" w:rsidRPr="00000000">
        <w:rPr>
          <w:rtl w:val="0"/>
        </w:rPr>
      </w:r>
    </w:p>
    <w:p w:rsidR="00000000" w:rsidDel="00000000" w:rsidP="00000000" w:rsidRDefault="00000000" w:rsidRPr="00000000" w14:paraId="00000075">
      <w:pPr>
        <w:spacing w:after="240" w:before="240" w:lineRule="auto"/>
        <w:ind w:left="1440" w:firstLine="0"/>
        <w:rPr>
          <w:rFonts w:ascii="Calibri" w:cs="Calibri" w:eastAsia="Calibri" w:hAnsi="Calibri"/>
        </w:rPr>
      </w:pPr>
      <w:r w:rsidDel="00000000" w:rsidR="00000000" w:rsidRPr="00000000">
        <w:rPr>
          <w:rFonts w:ascii="Calibri" w:cs="Calibri" w:eastAsia="Calibri" w:hAnsi="Calibri"/>
          <w:b w:val="1"/>
          <w:bCs w:val="1"/>
          <w:rtl w:val="0"/>
        </w:rPr>
        <w:t xml:space="preserve">Guideline 12: Collection, storage and use of data in health-related research (</w:t>
      </w:r>
      <w:r w:rsidDel="00000000" w:rsidR="00000000" w:rsidRPr="00000000">
        <w:rPr>
          <w:rFonts w:ascii="Calibri" w:cs="Calibri" w:eastAsia="Calibri" w:hAnsi="Calibri"/>
          <w:rtl w:val="0"/>
        </w:rPr>
        <w:t xml:space="preserve">PDF: Halaman 53/ Sesuai penomoran dokumen: </w:t>
      </w:r>
      <w:r w:rsidDel="00000000" w:rsidR="00000000" w:rsidRPr="00000000">
        <w:rPr>
          <w:rFonts w:ascii="Calibri" w:cs="Calibri" w:eastAsia="Calibri" w:hAnsi="Calibri"/>
          <w:b w:val="1"/>
          <w:bCs w:val="1"/>
          <w:rtl w:val="0"/>
        </w:rPr>
        <w:t xml:space="preserve">Halaman 47</w:t>
      </w:r>
      <w:r w:rsidDel="00000000" w:rsidR="00000000" w:rsidRPr="00000000">
        <w:rPr>
          <w:rFonts w:ascii="Calibri" w:cs="Calibri" w:eastAsia="Calibri" w:hAnsi="Calibri"/>
          <w:rtl w:val="0"/>
        </w:rPr>
        <w:t xml:space="preserve">)</w:t>
      </w:r>
    </w:p>
    <w:p w:rsidR="00000000" w:rsidDel="00000000" w:rsidP="00000000" w:rsidRDefault="00000000" w:rsidRPr="00000000" w14:paraId="00000076">
      <w:pPr>
        <w:spacing w:after="240" w:before="240" w:lineRule="auto"/>
        <w:ind w:left="2160" w:firstLine="0"/>
        <w:rPr>
          <w:rFonts w:ascii="Calibri" w:cs="Calibri" w:eastAsia="Calibri" w:hAnsi="Calibri"/>
        </w:rPr>
      </w:pPr>
      <w:r w:rsidDel="00000000" w:rsidR="00000000" w:rsidRPr="00000000">
        <w:rPr>
          <w:rFonts w:ascii="Calibri" w:cs="Calibri" w:eastAsia="Calibri" w:hAnsi="Calibri"/>
          <w:i w:val="1"/>
          <w:iCs w:val="1"/>
          <w:rtl w:val="0"/>
        </w:rPr>
        <w:t xml:space="preserve">"Custodians of the data must arrange to protect the confidentiality of the information linked to the data, by sharing only anonymised or coded data with researchers, and limiting access to the material of third parties. The key to the code must remain with the custodian of the data."</w:t>
      </w:r>
      <w:r w:rsidDel="00000000" w:rsidR="00000000" w:rsidRPr="00000000">
        <w:rPr>
          <w:rtl w:val="0"/>
        </w:rPr>
      </w:r>
    </w:p>
    <w:p w:rsidR="00000000" w:rsidDel="00000000" w:rsidP="00000000" w:rsidRDefault="00000000" w:rsidRPr="00000000" w14:paraId="00000077">
      <w:pPr>
        <w:spacing w:after="240" w:before="240" w:lineRule="auto"/>
        <w:ind w:left="2880" w:hanging="1440"/>
        <w:rPr>
          <w:rFonts w:ascii="Calibri" w:cs="Calibri" w:eastAsia="Calibri" w:hAnsi="Calibri"/>
        </w:rPr>
      </w:pPr>
      <w:r w:rsidDel="00000000" w:rsidR="00000000" w:rsidRPr="00000000">
        <w:rPr>
          <w:rFonts w:ascii="Calibri" w:cs="Calibri" w:eastAsia="Calibri" w:hAnsi="Calibri"/>
          <w:b w:val="1"/>
          <w:bCs w:val="1"/>
          <w:rtl w:val="0"/>
        </w:rPr>
        <w:t xml:space="preserve">Guideline 22 Penggunaan Alat Digital/Aplikasi Online </w:t>
      </w:r>
      <w:r w:rsidDel="00000000" w:rsidR="00000000" w:rsidRPr="00000000">
        <w:rPr>
          <w:rFonts w:ascii="Calibri" w:cs="Calibri" w:eastAsia="Calibri" w:hAnsi="Calibri"/>
          <w:rtl w:val="0"/>
        </w:rPr>
        <w:t xml:space="preserve">(Halaman PDF 89 / Dokumen </w:t>
      </w:r>
      <w:r w:rsidDel="00000000" w:rsidR="00000000" w:rsidRPr="00000000">
        <w:rPr>
          <w:rFonts w:ascii="Calibri" w:cs="Calibri" w:eastAsia="Calibri" w:hAnsi="Calibri"/>
          <w:b w:val="1"/>
          <w:bCs w:val="1"/>
          <w:rtl w:val="0"/>
        </w:rPr>
        <w:t xml:space="preserve">Halaman 83</w:t>
      </w: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spacing w:after="240" w:before="240" w:lineRule="auto"/>
        <w:ind w:left="2160" w:hanging="1440"/>
        <w:jc w:val="both"/>
        <w:rPr/>
      </w:pPr>
      <w:r w:rsidDel="00000000" w:rsidR="00000000" w:rsidRPr="00000000">
        <w:rPr>
          <w:rFonts w:ascii="Calibri" w:cs="Calibri" w:eastAsia="Calibri" w:hAnsi="Calibri"/>
          <w:i w:val="1"/>
          <w:iCs w:val="1"/>
          <w:rtl w:val="0"/>
        </w:rPr>
        <w:tab/>
        <w:t xml:space="preserve">"When researchers use the online environment and digital tools to obtain data for health-related research they should use privacy-protective measures to protect individuals from the possibility that their personal information is directly revealed or otherwise inferred when datasets are published, shared, combined or linked."</w:t>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2"/>
        </w:numPr>
        <w:ind w:left="720" w:hanging="360"/>
        <w:rPr>
          <w:b w:val="1"/>
          <w:bCs w:val="1"/>
        </w:rPr>
      </w:pPr>
      <w:r w:rsidDel="00000000" w:rsidR="00000000" w:rsidRPr="00000000">
        <w:rPr>
          <w:b w:val="1"/>
          <w:bCs w:val="1"/>
          <w:rtl w:val="0"/>
        </w:rPr>
        <w:t xml:space="preserve">Apakah ada reflexive notes/memo, repeat interview, field notes, pilot interview, atau orang lain hadir saat wawancara.</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u w:val="single"/>
          <w:rtl w:val="0"/>
        </w:rPr>
        <w:t xml:space="preserve">Jawaban:</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jc w:val="both"/>
        <w:rPr/>
      </w:pPr>
      <w:r w:rsidDel="00000000" w:rsidR="00000000" w:rsidRPr="00000000">
        <w:rPr>
          <w:rtl w:val="0"/>
        </w:rPr>
        <w:t xml:space="preserve">The interviews comprised 10 semi-structured, in-depth interviews conducted via Zoom, with each interview lasting approximately 45–60 minutes. No repeat interviews or pilot interviews were conducted. The research team did not maintain formal reflexive memos. Brief field notes were made during the interviews, primarily documenting basic participant characteristics and notable contextual or emotional expressions observed during the interview.</w:t>
      </w:r>
    </w:p>
    <w:p w:rsidR="00000000" w:rsidDel="00000000" w:rsidP="00000000" w:rsidRDefault="00000000" w:rsidRPr="00000000" w14:paraId="0000007F">
      <w:pPr>
        <w:spacing w:after="240" w:before="240" w:lineRule="auto"/>
        <w:ind w:left="720" w:firstLine="0"/>
        <w:jc w:val="both"/>
        <w:rPr/>
      </w:pPr>
      <w:r w:rsidDel="00000000" w:rsidR="00000000" w:rsidRPr="00000000">
        <w:rPr>
          <w:rtl w:val="0"/>
        </w:rPr>
        <w:t xml:space="preserve">The primary data source for the analysis was the audio-recorded interview data and their verbatim transcripts. The research team focused primarily on following the semi-structured interview guide and capturing participants’ narratives through the recordings rather than producing extensive reflexive notes. Brief communication among team members also occurred during and immediately after some interviews. For example, when a participant appeared to show signs of fatigue or when the team considered that sufficient information had been obtained, team members communicated briefly through WhatsApp and the interview could subsequently be concluded. Following some interviews, team members also discussed notable contextual observations, such as a participant becoming emotional or crying while recounting her experiences. These brief communications informed the conduct and closure of interviews but were not treated as separate sources of data for thematic analysis.</w:t>
      </w:r>
    </w:p>
    <w:p w:rsidR="00000000" w:rsidDel="00000000" w:rsidP="00000000" w:rsidRDefault="00000000" w:rsidRPr="00000000" w14:paraId="00000080">
      <w:pPr>
        <w:spacing w:after="240" w:before="240" w:lineRule="auto"/>
        <w:ind w:left="720" w:firstLine="0"/>
        <w:jc w:val="both"/>
        <w:rPr/>
      </w:pPr>
      <w:r w:rsidDel="00000000" w:rsidR="00000000" w:rsidRPr="00000000">
        <w:rPr>
          <w:rtl w:val="0"/>
        </w:rPr>
        <w:t xml:space="preserve">All participants lived in rural areas and had limited familiarity with digital technology. Therefore, a local undergraduate research assistant was physically present at the participant’s location solely to provide technical assistance and initial emotional support. Once the Zoom connection had been established and the interview was ready to begin, the assistant withdrew from the room and did not remain present during the interview. Thus, the substantive interview was conducted privately between the participant and the primary interviewer.</w:t>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numPr>
          <w:ilvl w:val="0"/>
          <w:numId w:val="2"/>
        </w:numPr>
        <w:ind w:left="720" w:hanging="360"/>
        <w:rPr>
          <w:b w:val="1"/>
          <w:bCs w:val="1"/>
        </w:rPr>
      </w:pPr>
      <w:r w:rsidDel="00000000" w:rsidR="00000000" w:rsidRPr="00000000">
        <w:rPr>
          <w:b w:val="1"/>
          <w:bCs w:val="1"/>
          <w:rtl w:val="0"/>
        </w:rPr>
        <w:t xml:space="preserve">Siapa interviewer utama dan apakah sudah mengenal peserta sebelumnya.</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ind w:left="720" w:firstLine="0"/>
        <w:rPr>
          <w:u w:val="single"/>
        </w:rPr>
      </w:pPr>
      <w:r w:rsidDel="00000000" w:rsidR="00000000" w:rsidRPr="00000000">
        <w:rPr>
          <w:u w:val="single"/>
          <w:rtl w:val="0"/>
        </w:rPr>
        <w:t xml:space="preserve">Jawaban:</w:t>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t xml:space="preserve">The 10 semi-structured in-depth interviews were conducted by members of the research team rather than by a single interviewer. The interviewers were members of the research team with professional and academic backgrounds in women’s health.</w:t>
      </w:r>
    </w:p>
    <w:p w:rsidR="00000000" w:rsidDel="00000000" w:rsidP="00000000" w:rsidRDefault="00000000" w:rsidRPr="00000000" w14:paraId="00000086">
      <w:pPr>
        <w:spacing w:after="240" w:before="240" w:lineRule="auto"/>
        <w:ind w:left="720" w:firstLine="0"/>
        <w:jc w:val="both"/>
        <w:rPr/>
      </w:pPr>
      <w:r w:rsidDel="00000000" w:rsidR="00000000" w:rsidRPr="00000000">
        <w:rPr>
          <w:rtl w:val="0"/>
        </w:rPr>
        <w:t xml:space="preserve">The research team members who conducted the interviews did not have a prior personal relationship with the participants. However, the local undergraduate research assistant who supported the fieldwork was originally from the village where the participants lived and was familiar with the local community. </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