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B35F" w14:textId="77777777" w:rsidR="00DA4B66" w:rsidRDefault="00000000">
      <w:pPr>
        <w:spacing w:after="240" w:line="240" w:lineRule="auto"/>
        <w:jc w:val="center"/>
      </w:pPr>
      <w:r>
        <w:rPr>
          <w:b/>
          <w:sz w:val="28"/>
        </w:rPr>
        <w:t>Association between End-Expiratory Right Diaphragm Thickness and Spirometric Indices in Stable Chronic Obstructive Pulmonary Disease: A Cross-Sectional Study</w:t>
      </w:r>
    </w:p>
    <w:p w14:paraId="1BD3F125" w14:textId="77777777" w:rsidR="00DA4B66" w:rsidRDefault="00000000">
      <w:pPr>
        <w:spacing w:before="160" w:after="80" w:line="240" w:lineRule="auto"/>
      </w:pPr>
      <w:r>
        <w:rPr>
          <w:b/>
        </w:rPr>
        <w:t>Abstract</w:t>
      </w:r>
    </w:p>
    <w:p w14:paraId="2CD6E3AC" w14:textId="77777777" w:rsidR="00DA4B66" w:rsidRDefault="00000000">
      <w:pPr>
        <w:spacing w:after="60" w:line="240" w:lineRule="auto"/>
        <w:jc w:val="both"/>
      </w:pPr>
      <w:r>
        <w:rPr>
          <w:b/>
        </w:rPr>
        <w:t xml:space="preserve">Aims &amp; Background: </w:t>
      </w:r>
      <w:r>
        <w:t>Diaphragmatic dysfunction contributes to dyspnea and reduced activity in chronic obstructive pulmonary disease (COPD). Ultrasonography enables noninvasive assessment of diaphragmatic structure; however, the relationship between static diaphragm thickness and spirometric impairment remains uncertain.</w:t>
      </w:r>
    </w:p>
    <w:p w14:paraId="4AE8FF0C" w14:textId="77777777" w:rsidR="00DA4B66" w:rsidRDefault="00000000">
      <w:pPr>
        <w:spacing w:after="60" w:line="240" w:lineRule="auto"/>
        <w:jc w:val="both"/>
      </w:pPr>
      <w:r>
        <w:rPr>
          <w:b/>
        </w:rPr>
        <w:t xml:space="preserve">Materials and Methods: </w:t>
      </w:r>
      <w:r>
        <w:t>This analytical cross-sectional study included 50 adults with stable COPD. End-expiratory right diaphragm thickness during quiet breathing was measured in triplicate by B-mode ultrasonography at the zone of apposition. Spirometric indices were the FEV1/FVC ratio, percent-predicted FEV1, and percent-predicted FVC. Pearson correlation coefficients and 95% confidence intervals (CIs) were calculated.</w:t>
      </w:r>
    </w:p>
    <w:p w14:paraId="678D46B9" w14:textId="77777777" w:rsidR="00DA4B66" w:rsidRDefault="00000000">
      <w:pPr>
        <w:spacing w:after="60" w:line="240" w:lineRule="auto"/>
        <w:jc w:val="both"/>
      </w:pPr>
      <w:r>
        <w:rPr>
          <w:b/>
        </w:rPr>
        <w:t xml:space="preserve">Results: </w:t>
      </w:r>
      <w:r>
        <w:t>Participants had a mean age of 62.14 +/- 10.03 years; 82% were male. Mean end-expiratory right diaphragm thickness was 0.30 +/- 0.08 cm. Thickness was not significantly correlated with FEV1/FVC (r = -0.184, 95% CI -0.440 to 0.099; p = 0.201), percent-predicted FEV1 (r = 0.188, 95% CI -0.095 to 0.443; p = 0.190), or percent-predicted FVC (r = 0.168, 95% CI -0.116 to 0.426; p = 0.243).</w:t>
      </w:r>
    </w:p>
    <w:p w14:paraId="31DF1F78" w14:textId="77777777" w:rsidR="00DA4B66" w:rsidRDefault="00000000">
      <w:pPr>
        <w:spacing w:after="60" w:line="240" w:lineRule="auto"/>
        <w:jc w:val="both"/>
      </w:pPr>
      <w:r>
        <w:rPr>
          <w:b/>
        </w:rPr>
        <w:t xml:space="preserve">Conclusion: </w:t>
      </w:r>
      <w:r>
        <w:t>No statistically significant associations were observed between static end-expiratory diaphragm thickness and the evaluated spirometric indices. The confidence intervals, however, do not exclude small-to-moderate associations.</w:t>
      </w:r>
    </w:p>
    <w:p w14:paraId="57C70686" w14:textId="77777777" w:rsidR="00DA4B66" w:rsidRDefault="00000000">
      <w:pPr>
        <w:spacing w:after="60" w:line="240" w:lineRule="auto"/>
        <w:jc w:val="both"/>
      </w:pPr>
      <w:r>
        <w:rPr>
          <w:b/>
        </w:rPr>
        <w:t xml:space="preserve">Clinical significance: </w:t>
      </w:r>
      <w:r>
        <w:t>Static diaphragm thickness should not be used as a stand-alone surrogate for pulmonary function in COPD; clinical assessment should be complemented by dynamic diaphragm and functional measures.</w:t>
      </w:r>
    </w:p>
    <w:p w14:paraId="09522AE9" w14:textId="77777777" w:rsidR="00DA4B66" w:rsidRDefault="00000000">
      <w:pPr>
        <w:spacing w:before="40" w:after="200" w:line="240" w:lineRule="auto"/>
      </w:pPr>
      <w:r>
        <w:rPr>
          <w:b/>
        </w:rPr>
        <w:t xml:space="preserve">Keywords: </w:t>
      </w:r>
      <w:r>
        <w:t>chronic obstructive pulmonary disease; diaphragm; pulmonary function; spirometry; ultrasonography</w:t>
      </w:r>
    </w:p>
    <w:p w14:paraId="3044D329" w14:textId="77777777" w:rsidR="00DA4B66" w:rsidRDefault="00000000">
      <w:pPr>
        <w:spacing w:before="160" w:after="80" w:line="240" w:lineRule="auto"/>
      </w:pPr>
      <w:r>
        <w:rPr>
          <w:b/>
        </w:rPr>
        <w:t>Main Article</w:t>
      </w:r>
    </w:p>
    <w:p w14:paraId="5B658D4E" w14:textId="77777777" w:rsidR="00DA4B66" w:rsidRDefault="00000000">
      <w:pPr>
        <w:spacing w:before="160" w:after="80" w:line="240" w:lineRule="auto"/>
      </w:pPr>
      <w:r>
        <w:rPr>
          <w:b/>
        </w:rPr>
        <w:t>Introduction</w:t>
      </w:r>
    </w:p>
    <w:p w14:paraId="61EAD921" w14:textId="1F6945BE" w:rsidR="00DA4B66" w:rsidRDefault="00000000">
      <w:pPr>
        <w:spacing w:after="120" w:line="276" w:lineRule="auto"/>
        <w:jc w:val="both"/>
      </w:pPr>
      <w:r>
        <w:t>Chronic obstructive pulmonary disease is characterized by persistent airflow limitation and heterogeneous pulmonary and extrapulmonary manifestations. In addition to airway and parenchymal abnormalities, systemic inflammation, physical inactivity, nutritional impairment, and oxidative stress may contribute to skeletal muscle dysfunction. Respiratory muscle involvement is clinically relevant because it can aggravate dyspnea, reduce exercise tolerance, and limit daily activity.</w:t>
      </w:r>
      <w:r>
        <w:rPr>
          <w:sz w:val="20"/>
          <w:vertAlign w:val="superscript"/>
        </w:rPr>
        <w:t xml:space="preserve"> 1,2</w:t>
      </w:r>
    </w:p>
    <w:p w14:paraId="0998A121" w14:textId="74CD2B4B" w:rsidR="00DA4B66" w:rsidRDefault="00000000">
      <w:pPr>
        <w:spacing w:after="120" w:line="276" w:lineRule="auto"/>
        <w:jc w:val="both"/>
      </w:pPr>
      <w:r>
        <w:t>The diaphragm is the principal inspiratory muscle. In COPD, chronic hyperinflation can shorten and flatten diaphragmatic fibers, alter the zone of apposition, and increase the mechanical load imposed on the respiratory muscles. These changes may coexist with adaptive hypertrophy in some patients and with muscle wasting in others. Therefore, structural and functional diaphragm abnormalities may vary considerably between individuals with COPD.</w:t>
      </w:r>
      <w:r>
        <w:rPr>
          <w:sz w:val="20"/>
          <w:vertAlign w:val="superscript"/>
        </w:rPr>
        <w:t xml:space="preserve"> 2,3</w:t>
      </w:r>
    </w:p>
    <w:p w14:paraId="3F6A362C" w14:textId="4FCFCDF0" w:rsidR="00DA4B66" w:rsidRDefault="00000000">
      <w:pPr>
        <w:spacing w:after="120" w:line="276" w:lineRule="auto"/>
        <w:jc w:val="both"/>
      </w:pPr>
      <w:r>
        <w:t xml:space="preserve">Ultrasonography is a practical noninvasive technique for evaluating the diaphragm at the bedside or in the outpatient setting. Measurements can include thickness at the </w:t>
      </w:r>
      <w:r>
        <w:lastRenderedPageBreak/>
        <w:t>zone of apposition, excursion, and thickening fraction. Static end-expiratory thickness is easy to obtain, but it principally describes morphology rather than contractility. Previous COPD studies have reported inconsistent relationships between diaphragm thickness and spirometric severity, whereas dynamic ultrasonographic measures may more closely reflect respiratory mechanics and functional performance.</w:t>
      </w:r>
      <w:r>
        <w:rPr>
          <w:sz w:val="20"/>
          <w:vertAlign w:val="superscript"/>
        </w:rPr>
        <w:t xml:space="preserve"> 3-9</w:t>
      </w:r>
    </w:p>
    <w:p w14:paraId="68ACFEE3" w14:textId="77777777" w:rsidR="00DA4B66" w:rsidRDefault="00000000">
      <w:pPr>
        <w:spacing w:after="120" w:line="276" w:lineRule="auto"/>
        <w:jc w:val="both"/>
      </w:pPr>
      <w:r>
        <w:t>Evidence from Southeast Asian settings remains limited. This study therefore examined the association between end-expiratory right diaphragm thickness and three spirometric indices - FEV1/FVC, percent-predicted FEV1, and percent-predicted FVC - in adults with stable COPD. We hypothesized that static diaphragm thickness would have only a limited association with spirometric impairment.</w:t>
      </w:r>
    </w:p>
    <w:p w14:paraId="4FBB408D" w14:textId="77777777" w:rsidR="00DA4B66" w:rsidRDefault="00000000">
      <w:pPr>
        <w:spacing w:before="160" w:after="80" w:line="240" w:lineRule="auto"/>
      </w:pPr>
      <w:r>
        <w:rPr>
          <w:b/>
        </w:rPr>
        <w:t>Methods</w:t>
      </w:r>
    </w:p>
    <w:p w14:paraId="5DA84540" w14:textId="77777777" w:rsidR="00DA4B66" w:rsidRDefault="00000000">
      <w:pPr>
        <w:spacing w:before="80" w:after="60" w:line="240" w:lineRule="auto"/>
      </w:pPr>
      <w:r>
        <w:rPr>
          <w:b/>
        </w:rPr>
        <w:t>Study Design and Setting</w:t>
      </w:r>
    </w:p>
    <w:p w14:paraId="1B7594E6" w14:textId="394468BC" w:rsidR="00DA4B66" w:rsidRDefault="00000000">
      <w:pPr>
        <w:spacing w:after="120" w:line="276" w:lineRule="auto"/>
        <w:jc w:val="both"/>
      </w:pPr>
      <w:r>
        <w:t xml:space="preserve">This analytical observational study used a cross-sectional design. All measurements were obtained during one assessment session at the Pulmonary Clinic of Prof. Dr. Chairuddin Panusunan Lubis Hospital, Universitas Sumatera Utara, Medan, Indonesia. Data were collected in 2021 following ethics approval. This report was prepared in accordance with the Strengthening the Reporting of Observational Studies in Epidemiology (STROBE) statement. </w:t>
      </w:r>
      <w:r w:rsidRPr="004751D3">
        <w:rPr>
          <w:vertAlign w:val="superscript"/>
        </w:rPr>
        <w:t>12</w:t>
      </w:r>
    </w:p>
    <w:p w14:paraId="08DDFD92" w14:textId="77777777" w:rsidR="00DA4B66" w:rsidRDefault="00000000">
      <w:pPr>
        <w:spacing w:before="80" w:after="60" w:line="240" w:lineRule="auto"/>
      </w:pPr>
      <w:r>
        <w:rPr>
          <w:b/>
        </w:rPr>
        <w:t>Participants and Sampling</w:t>
      </w:r>
    </w:p>
    <w:p w14:paraId="47557E7D" w14:textId="44C923C3" w:rsidR="00DA4B66" w:rsidRDefault="00000000">
      <w:pPr>
        <w:spacing w:after="120" w:line="276" w:lineRule="auto"/>
        <w:jc w:val="both"/>
      </w:pPr>
      <w:r>
        <w:t>Adults aged 40 years or older with clinically diagnosed stable COPD and spirometric confirmation of persistent airflow limitation were recruited consecutively from the outpatient clinic. Patients with lung cancer, interstitial lung disease, acute COPD exacerbation, or acute respiratory failure were excluded. COPD symptom burden was recorded using the modified Medical Research Council (mMRC) dyspnea scale, and disease severity was described using the Global Initiative for Chronic Obstructive Lung Disease (GOLD) framework that was applicable during the study period.</w:t>
      </w:r>
      <w:r>
        <w:rPr>
          <w:sz w:val="20"/>
          <w:vertAlign w:val="superscript"/>
        </w:rPr>
        <w:t xml:space="preserve"> 1,11</w:t>
      </w:r>
    </w:p>
    <w:p w14:paraId="35E260F2" w14:textId="77777777" w:rsidR="00DA4B66" w:rsidRDefault="00000000">
      <w:pPr>
        <w:spacing w:after="120" w:line="276" w:lineRule="auto"/>
        <w:jc w:val="both"/>
      </w:pPr>
      <w:r>
        <w:t>The planned sample comprised 50 participants. The sample size specified in the study protocol was based on an anticipated 30% prevalence of diaphragm muscle atrophy with 95% confidence. It was not calculated specifically to detect a prespecified correlation coefficient.</w:t>
      </w:r>
    </w:p>
    <w:p w14:paraId="48ADEE18" w14:textId="77777777" w:rsidR="00DA4B66" w:rsidRDefault="00000000">
      <w:pPr>
        <w:spacing w:before="80" w:after="60" w:line="240" w:lineRule="auto"/>
      </w:pPr>
      <w:r>
        <w:rPr>
          <w:b/>
        </w:rPr>
        <w:t>Variables and Measurements</w:t>
      </w:r>
    </w:p>
    <w:p w14:paraId="5393E1D0" w14:textId="77777777" w:rsidR="00DA4B66" w:rsidRDefault="00000000">
      <w:pPr>
        <w:spacing w:after="120" w:line="276" w:lineRule="auto"/>
        <w:jc w:val="both"/>
      </w:pPr>
      <w:r>
        <w:t>The exposure variable was end-expiratory right diaphragm thickness. The outcomes were the FEV1/FVC ratio, percent-predicted FEV1, and percent-predicted FVC.</w:t>
      </w:r>
    </w:p>
    <w:p w14:paraId="6B4AD342" w14:textId="77777777" w:rsidR="00DA4B66" w:rsidRDefault="00000000">
      <w:pPr>
        <w:spacing w:after="120" w:line="276" w:lineRule="auto"/>
        <w:jc w:val="both"/>
      </w:pPr>
      <w:r>
        <w:t xml:space="preserve">An experienced thoracic ultrasonography operator performed B-mode ultrasonography of the right hemidiaphragm. The transducer was positioned at the ninth intercostal space between the anterior and midaxillary lines to visualize the zone of apposition. The diaphragm was identified as the hypoechoic layer bounded by the pleural and peritoneal membranes. Thickness was measured at end-expiration during quiet breathing. Three consecutive measurements were recorded, and their mean, expressed in centimeters, was used for analysis. The right hemidiaphragm was </w:t>
      </w:r>
      <w:r>
        <w:lastRenderedPageBreak/>
        <w:t>selected because the acoustic window at the zone of apposition is generally more readily visualized on this side.</w:t>
      </w:r>
      <w:r>
        <w:rPr>
          <w:sz w:val="20"/>
          <w:vertAlign w:val="superscript"/>
        </w:rPr>
        <w:t xml:space="preserve"> [3]</w:t>
      </w:r>
    </w:p>
    <w:p w14:paraId="30977DFE" w14:textId="57EFD216" w:rsidR="00DA4B66" w:rsidRDefault="00000000">
      <w:pPr>
        <w:spacing w:after="120" w:line="276" w:lineRule="auto"/>
        <w:jc w:val="both"/>
      </w:pPr>
      <w:r>
        <w:t>Spirometry was performed with the participant seated, using a nose clip and mouthpiece. Participants performed a maximal forced expiratory maneuver after full inspiration. At least three acceptable and reproducible maneuvers were obtained, and the highest values were recorded. The analysis used the FEV1/FVC ratio, percent-predicted FEV1, and percent-predicted FVC. The laboratory protocol followed standardized spirometric procedures.</w:t>
      </w:r>
      <w:r>
        <w:rPr>
          <w:sz w:val="20"/>
          <w:vertAlign w:val="superscript"/>
        </w:rPr>
        <w:t xml:space="preserve"> 10</w:t>
      </w:r>
    </w:p>
    <w:p w14:paraId="3EC94C38" w14:textId="77777777" w:rsidR="00DA4B66" w:rsidRDefault="00000000">
      <w:pPr>
        <w:spacing w:before="80" w:after="60" w:line="240" w:lineRule="auto"/>
      </w:pPr>
      <w:r>
        <w:rPr>
          <w:b/>
        </w:rPr>
        <w:t>Statistical Analysis</w:t>
      </w:r>
    </w:p>
    <w:p w14:paraId="4B7DDD1B" w14:textId="77777777" w:rsidR="00DA4B66" w:rsidRDefault="00000000">
      <w:pPr>
        <w:spacing w:after="120" w:line="276" w:lineRule="auto"/>
        <w:jc w:val="both"/>
      </w:pPr>
      <w:r>
        <w:t>Data were analyzed using SPSS version 20 (IBM Corp., Armonk, NY, USA). Categorical variables are presented as n (%), and continuous variables are presented as mean +/- standard deviation (SD). Normality was assessed using the Kolmogorov-Smirnov test. Pearson correlation was used for the reported associations between end-expiratory diaphragm thickness and spirometric indices. Two-sided p values below 0.05 were considered statistically significant. Ninety-five percent CIs for Pearson correlation coefficients were calculated using Fisher z transformation.</w:t>
      </w:r>
    </w:p>
    <w:p w14:paraId="369829B4" w14:textId="77777777" w:rsidR="00DA4B66" w:rsidRDefault="00000000">
      <w:pPr>
        <w:spacing w:before="80" w:after="60" w:line="240" w:lineRule="auto"/>
      </w:pPr>
      <w:r>
        <w:rPr>
          <w:b/>
        </w:rPr>
        <w:t>Ethical Considerations</w:t>
      </w:r>
    </w:p>
    <w:p w14:paraId="0684B084" w14:textId="77777777" w:rsidR="00DA4B66" w:rsidRDefault="00000000">
      <w:pPr>
        <w:spacing w:after="120" w:line="276" w:lineRule="auto"/>
        <w:jc w:val="both"/>
      </w:pPr>
      <w:r>
        <w:t>Ethical approval was obtained from the Health Research Ethics Committee, Universitas Sumatera Utara (No. 900/KEP/USU/2021). The study was conducted in accordance with the Declaration of Helsinki. Written informed consent was obtained from all participants before study procedures.</w:t>
      </w:r>
    </w:p>
    <w:p w14:paraId="2B746E6D" w14:textId="77777777" w:rsidR="00DA4B66" w:rsidRDefault="00000000">
      <w:pPr>
        <w:spacing w:before="160" w:after="80" w:line="240" w:lineRule="auto"/>
      </w:pPr>
      <w:r>
        <w:rPr>
          <w:b/>
        </w:rPr>
        <w:t>Results</w:t>
      </w:r>
    </w:p>
    <w:p w14:paraId="2CBD2776" w14:textId="77777777" w:rsidR="00DA4B66" w:rsidRDefault="00000000">
      <w:pPr>
        <w:spacing w:after="120" w:line="276" w:lineRule="auto"/>
        <w:jc w:val="both"/>
      </w:pPr>
      <w:r>
        <w:t>Fifty patients with stable COPD were enrolled. Their mean age was 62.14 +/- 10.03 years, and 41 (82%) were male. The study population had predominantly severe or very severe airflow limitation: 17 (34%) participants were classified as GOLD 3 and 26 (52%) as GOLD 4. The mean FEV1/FVC ratio was 0.60 +/- 0.08, the mean percent-predicted FEV1 was 34.34 +/- 16.77%, and the mean percent-predicted FVC was 44.70 +/- 17.31%. Detailed participant characteristics are presented in Table 1.</w:t>
      </w:r>
    </w:p>
    <w:p w14:paraId="6F9FA7DD" w14:textId="77777777" w:rsidR="00DA4B66" w:rsidRDefault="00000000">
      <w:pPr>
        <w:spacing w:after="120" w:line="276" w:lineRule="auto"/>
        <w:jc w:val="both"/>
      </w:pPr>
      <w:r>
        <w:t>Mean end-expiratory right diaphragm thickness was 0.30 +/- 0.08 cm (Table 2). No statistically significant correlations were observed between diaphragm thickness and FEV1/FVC, percent-predicted FEV1, or percent-predicted FVC (Table 3).</w:t>
      </w:r>
    </w:p>
    <w:p w14:paraId="5AF7CCDC" w14:textId="77777777" w:rsidR="00DA4B66" w:rsidRDefault="00000000">
      <w:pPr>
        <w:spacing w:before="160" w:after="80" w:line="240" w:lineRule="auto"/>
      </w:pPr>
      <w:r>
        <w:rPr>
          <w:b/>
        </w:rPr>
        <w:t>Discussion</w:t>
      </w:r>
    </w:p>
    <w:p w14:paraId="6F7AEC42" w14:textId="77777777" w:rsidR="00DA4B66" w:rsidRDefault="00000000">
      <w:pPr>
        <w:spacing w:after="120" w:line="276" w:lineRule="auto"/>
        <w:jc w:val="both"/>
      </w:pPr>
      <w:r>
        <w:t>In this cross-sectional sample of adults with stable COPD, end-expiratory right diaphragm thickness was not significantly associated with the FEV1/FVC ratio, percent-predicted FEV1, or percent-predicted FVC. The effect estimates were small, and the corresponding 95% CIs crossed the null value. Accordingly, the present data do not demonstrate a statistically significant association; however, they should not be interpreted as proof that no clinically relevant association exists.</w:t>
      </w:r>
    </w:p>
    <w:p w14:paraId="59C6A619" w14:textId="1E2B810D" w:rsidR="00DA4B66" w:rsidRDefault="00000000">
      <w:pPr>
        <w:spacing w:after="120" w:line="276" w:lineRule="auto"/>
        <w:jc w:val="both"/>
      </w:pPr>
      <w:r>
        <w:t xml:space="preserve">The findings are consistent with reports in which static diaphragm thickness was not clearly related to conventional spirometric indices or clinical severity measures in </w:t>
      </w:r>
      <w:r>
        <w:lastRenderedPageBreak/>
        <w:t>COPD. In contrast, some studies have found associations between ultrasonographic diaphragm measures and pulmonary function. This apparent inconsistency is biologically plausible because COPD-related diaphragmatic adaptation is heterogeneous. Chronic inspiratory loading and altered muscle geometry can promote compensatory remodeling in some patients, whereas inflammation, malnutrition, corticosteroid exposure, and inactivity may contribute to atrophy in others. A single static thickness value may therefore represent different physiological states across patients.</w:t>
      </w:r>
      <w:r>
        <w:rPr>
          <w:sz w:val="20"/>
          <w:vertAlign w:val="superscript"/>
        </w:rPr>
        <w:t xml:space="preserve"> 2,5-9</w:t>
      </w:r>
    </w:p>
    <w:p w14:paraId="34DEEC51" w14:textId="2C782A48" w:rsidR="00DA4B66" w:rsidRDefault="00000000">
      <w:pPr>
        <w:spacing w:after="120" w:line="276" w:lineRule="auto"/>
        <w:jc w:val="both"/>
      </w:pPr>
      <w:r>
        <w:t>Spirometry primarily reflects airway obstruction and parenchymal mechanics, whereas static thickness describes only one aspect of respiratory muscle morphology. Dynamic measurements, including diaphragm excursion and thickening fraction, assess movement or contractile behavior and may be more informative for respiratory muscle performance. Combining dynamic ultrasonography with symptom burden, exercise capacity, respiratory muscle strength, and hyperinflation assessment may provide a more comprehensive evaluation than end-expiratory thickness alone.</w:t>
      </w:r>
      <w:r>
        <w:rPr>
          <w:sz w:val="20"/>
          <w:vertAlign w:val="superscript"/>
        </w:rPr>
        <w:t xml:space="preserve"> 3,8,9</w:t>
      </w:r>
    </w:p>
    <w:p w14:paraId="671CB418" w14:textId="77777777" w:rsidR="00DA4B66" w:rsidRDefault="00000000">
      <w:pPr>
        <w:spacing w:after="120" w:line="276" w:lineRule="auto"/>
        <w:jc w:val="both"/>
      </w:pPr>
      <w:r>
        <w:t>Several limitations should be considered. First, the cross-sectional design precludes causal inference. Second, the sample size was based on a prevalence calculation rather than a correlation effect size; with 50 participants, the study could miss small-to-moderate associations. Third, the sample contained a high proportion of patients with GOLD 3-4 airflow limitation, which may have restricted the distribution of spirometric severity. Fourth, dynamic diaphragm measures, such as excursion and thickening fraction, were not collected. Finally, the analysis was bivariate and did not adjust for potential confounders such as age, sex, body composition, smoking exposure, medication use, hyperinflation, and nutritional status. Future adequately powered prospective studies should include these factors and evaluate both static and dynamic diaphragm parameters.</w:t>
      </w:r>
    </w:p>
    <w:p w14:paraId="5335E04C" w14:textId="77777777" w:rsidR="00DA4B66" w:rsidRDefault="00000000">
      <w:pPr>
        <w:spacing w:after="120" w:line="276" w:lineRule="auto"/>
        <w:jc w:val="both"/>
      </w:pPr>
      <w:r>
        <w:t>The study also has strengths. It evaluated patients with clinically stable COPD, used triplicate ultrasonographic measurements, and reported effect estimates with confidence intervals. These features improve interpretation of the negative findings and help distinguish lack of statistical significance from evidence of no association.</w:t>
      </w:r>
    </w:p>
    <w:p w14:paraId="54EAACCF" w14:textId="77777777" w:rsidR="00DA4B66" w:rsidRDefault="00000000">
      <w:pPr>
        <w:spacing w:before="160" w:after="80" w:line="240" w:lineRule="auto"/>
      </w:pPr>
      <w:r>
        <w:rPr>
          <w:b/>
        </w:rPr>
        <w:t>Conclusion</w:t>
      </w:r>
    </w:p>
    <w:p w14:paraId="49F45BF0" w14:textId="77777777" w:rsidR="00DA4B66" w:rsidRDefault="00000000">
      <w:pPr>
        <w:spacing w:after="120" w:line="276" w:lineRule="auto"/>
        <w:jc w:val="both"/>
      </w:pPr>
      <w:r>
        <w:t>End-expiratory right diaphragm thickness showed weak, non-significant correlations with the FEV1/FVC ratio, percent-predicted FEV1, and percent-predicted FVC in this sample of adults with stable COPD. Static diaphragm thickness should not be used alone to estimate spirometric impairment. Future studies should incorporate dynamic diaphragm ultrasonography, respiratory muscle strength, functional outcomes, and multivariable analysis.</w:t>
      </w:r>
    </w:p>
    <w:p w14:paraId="3E77DEC1" w14:textId="77777777" w:rsidR="00DA4B66" w:rsidRDefault="00000000">
      <w:pPr>
        <w:spacing w:before="160" w:after="80" w:line="240" w:lineRule="auto"/>
      </w:pPr>
      <w:r>
        <w:rPr>
          <w:b/>
        </w:rPr>
        <w:t>Clinical Significance</w:t>
      </w:r>
    </w:p>
    <w:p w14:paraId="17A9606B" w14:textId="77777777" w:rsidR="00DA4B66" w:rsidRDefault="00000000">
      <w:pPr>
        <w:spacing w:after="120" w:line="276" w:lineRule="auto"/>
        <w:jc w:val="both"/>
      </w:pPr>
      <w:r>
        <w:t xml:space="preserve">In COPD, a static end-expiratory diaphragm thickness measurement can complement, but should not replace, spirometry and clinical assessment. Where respiratory muscle </w:t>
      </w:r>
      <w:r>
        <w:lastRenderedPageBreak/>
        <w:t>dysfunction is suspected, dynamic ultrasonography and functional evaluation should be considered.</w:t>
      </w:r>
    </w:p>
    <w:p w14:paraId="57E4953A" w14:textId="77777777" w:rsidR="00DA4B66" w:rsidRDefault="00000000">
      <w:pPr>
        <w:spacing w:before="160" w:after="80" w:line="240" w:lineRule="auto"/>
      </w:pPr>
      <w:r>
        <w:rPr>
          <w:b/>
        </w:rPr>
        <w:t>List of Abbreviations</w:t>
      </w:r>
    </w:p>
    <w:p w14:paraId="773DC049" w14:textId="77777777" w:rsidR="00DA4B66" w:rsidRDefault="00000000">
      <w:pPr>
        <w:spacing w:after="120" w:line="240" w:lineRule="auto"/>
      </w:pPr>
      <w:r>
        <w:t>COPD, chronic obstructive pulmonary disease; FEV1, forced expiratory volume in 1 second; FVC, forced vital capacity; GOLD, Global Initiative for Chronic Obstructive Lung Disease; mMRC, modified Medical Research Council; SD, standard deviation.</w:t>
      </w:r>
    </w:p>
    <w:p w14:paraId="1706B824" w14:textId="77777777" w:rsidR="00DA4B66" w:rsidRDefault="00000000">
      <w:pPr>
        <w:spacing w:before="160" w:after="80" w:line="240" w:lineRule="auto"/>
      </w:pPr>
      <w:r>
        <w:rPr>
          <w:b/>
        </w:rPr>
        <w:t>Ethics Approval and Consent to Participate</w:t>
      </w:r>
    </w:p>
    <w:p w14:paraId="77D30E39" w14:textId="77777777" w:rsidR="00DA4B66" w:rsidRDefault="00000000">
      <w:pPr>
        <w:spacing w:after="120" w:line="276" w:lineRule="auto"/>
        <w:jc w:val="both"/>
      </w:pPr>
      <w:r>
        <w:t>Ethical approval was obtained from the Health Research Ethics Committee, Universitas Sumatera Utara (No. 900/KEP/USU/2021). Written informed consent was obtained from all participants before study procedures.</w:t>
      </w:r>
    </w:p>
    <w:p w14:paraId="76D5960B" w14:textId="77777777" w:rsidR="00DA4B66" w:rsidRDefault="00000000">
      <w:pPr>
        <w:spacing w:before="160" w:after="80" w:line="240" w:lineRule="auto"/>
      </w:pPr>
      <w:r>
        <w:rPr>
          <w:b/>
        </w:rPr>
        <w:t>Acknowledgments</w:t>
      </w:r>
    </w:p>
    <w:p w14:paraId="7AEA0F37" w14:textId="77777777" w:rsidR="00DA4B66" w:rsidRDefault="00000000">
      <w:pPr>
        <w:spacing w:after="120" w:line="276" w:lineRule="auto"/>
        <w:jc w:val="both"/>
      </w:pPr>
      <w:r>
        <w:t>The authors thank the staff of the Pulmonary Clinic of Prof. Dr. Chairuddin Panusunan Lubis Hospital, Universitas Sumatera Utara, and the participants who took part in this study.</w:t>
      </w:r>
    </w:p>
    <w:p w14:paraId="0056AE7D" w14:textId="77777777" w:rsidR="00DA4B66" w:rsidRDefault="00000000">
      <w:pPr>
        <w:spacing w:before="160" w:after="80" w:line="240" w:lineRule="auto"/>
      </w:pPr>
      <w:r>
        <w:rPr>
          <w:b/>
        </w:rPr>
        <w:t>Conflict of Interest</w:t>
      </w:r>
    </w:p>
    <w:p w14:paraId="1870AE7B" w14:textId="77777777" w:rsidR="00DA4B66" w:rsidRDefault="00000000">
      <w:pPr>
        <w:spacing w:after="120" w:line="276" w:lineRule="auto"/>
        <w:jc w:val="both"/>
      </w:pPr>
      <w:r>
        <w:t>The authors declare no conflicts of interest.</w:t>
      </w:r>
    </w:p>
    <w:p w14:paraId="35E25996" w14:textId="77777777" w:rsidR="00DA4B66" w:rsidRDefault="00000000">
      <w:pPr>
        <w:spacing w:before="160" w:after="80" w:line="240" w:lineRule="auto"/>
      </w:pPr>
      <w:r>
        <w:rPr>
          <w:b/>
        </w:rPr>
        <w:t>Funding</w:t>
      </w:r>
    </w:p>
    <w:p w14:paraId="47939A7A" w14:textId="77777777" w:rsidR="00DA4B66" w:rsidRDefault="00000000">
      <w:pPr>
        <w:spacing w:after="120" w:line="276" w:lineRule="auto"/>
        <w:jc w:val="both"/>
      </w:pPr>
      <w:r>
        <w:t>This study was supported by TALENTA Universitas Sumatera Utara (USU).</w:t>
      </w:r>
    </w:p>
    <w:p w14:paraId="049A1536" w14:textId="77777777" w:rsidR="00DA4B66" w:rsidRDefault="00000000">
      <w:pPr>
        <w:spacing w:before="160" w:after="80" w:line="240" w:lineRule="auto"/>
      </w:pPr>
      <w:r>
        <w:rPr>
          <w:b/>
        </w:rPr>
        <w:t>References</w:t>
      </w:r>
    </w:p>
    <w:p w14:paraId="262C78C2" w14:textId="77777777" w:rsidR="00DA4B66" w:rsidRDefault="00000000">
      <w:pPr>
        <w:spacing w:after="60" w:line="240" w:lineRule="auto"/>
        <w:ind w:hanging="360"/>
        <w:jc w:val="both"/>
      </w:pPr>
      <w:r>
        <w:rPr>
          <w:sz w:val="22"/>
        </w:rPr>
        <w:t>1. Global Initiative for Chronic Obstructive Lung Disease. Global strategy for the diagnosis, management, and prevention of chronic obstructive pulmonary disease: 2020 report. Available from: https://goldcopd.org. Accessed June 23, 2026.</w:t>
      </w:r>
    </w:p>
    <w:p w14:paraId="1321708A" w14:textId="77777777" w:rsidR="00DA4B66" w:rsidRDefault="00000000">
      <w:pPr>
        <w:spacing w:after="60" w:line="240" w:lineRule="auto"/>
        <w:ind w:hanging="360"/>
        <w:jc w:val="both"/>
      </w:pPr>
      <w:r>
        <w:rPr>
          <w:sz w:val="22"/>
        </w:rPr>
        <w:t>2. Gea J, Pascual S, Casadevall C, Orozco-Levi M, Barreiro E. Muscle dysfunction in chronic obstructive pulmonary disease: Update on causes and biological findings. J Thorac Dis. 2015;7(10):E418-E438. doi:10.3978/j.issn.2072-1439.2015.08.04.</w:t>
      </w:r>
    </w:p>
    <w:p w14:paraId="04E70B3E" w14:textId="77777777" w:rsidR="00DA4B66" w:rsidRDefault="00000000">
      <w:pPr>
        <w:spacing w:after="60" w:line="240" w:lineRule="auto"/>
        <w:ind w:hanging="360"/>
        <w:jc w:val="both"/>
      </w:pPr>
      <w:r>
        <w:rPr>
          <w:sz w:val="22"/>
        </w:rPr>
        <w:t>3. Boussuges A, Rives S, Finance J, Bregeon F. Assessment of diaphragmatic function by ultrasonography: Current approach and perspectives. World J Clin Cases. 2020;8(12):2408-2424. doi:10.12998/wjcc.v8.i12.2408.</w:t>
      </w:r>
    </w:p>
    <w:p w14:paraId="2EA70A56" w14:textId="77777777" w:rsidR="00DA4B66" w:rsidRDefault="00000000">
      <w:pPr>
        <w:spacing w:after="60" w:line="240" w:lineRule="auto"/>
        <w:ind w:hanging="360"/>
        <w:jc w:val="both"/>
      </w:pPr>
      <w:r>
        <w:rPr>
          <w:sz w:val="22"/>
        </w:rPr>
        <w:t>4. Santana PV, Albuquerque ALP. Respiratory muscles in COPD: Be aware of the diaphragm. J Bras Pneumol. 2018;44(1):1-2. doi:10.1590/S1806-37562018000000003.</w:t>
      </w:r>
    </w:p>
    <w:p w14:paraId="594463A7" w14:textId="77777777" w:rsidR="00DA4B66" w:rsidRDefault="00000000">
      <w:pPr>
        <w:spacing w:after="60" w:line="240" w:lineRule="auto"/>
        <w:ind w:hanging="360"/>
        <w:jc w:val="both"/>
      </w:pPr>
      <w:r>
        <w:rPr>
          <w:sz w:val="22"/>
        </w:rPr>
        <w:t>5. Ogan N, Aydemir Y, Evrin T, Atac GK, Baha A, Katipoglu B, et al. Diaphragmatic thickness in chronic obstructive lung disease and relationship with clinical severity parameters. Turk J Med Sci. 2019;49(4):1073-1078. doi:10.3906/sag-1804-179.</w:t>
      </w:r>
    </w:p>
    <w:p w14:paraId="2FAFD26A" w14:textId="77777777" w:rsidR="00DA4B66" w:rsidRDefault="00000000">
      <w:pPr>
        <w:spacing w:after="60" w:line="240" w:lineRule="auto"/>
        <w:ind w:hanging="360"/>
        <w:jc w:val="both"/>
      </w:pPr>
      <w:r>
        <w:rPr>
          <w:sz w:val="22"/>
        </w:rPr>
        <w:t>6. Jain S, Nair G, Nuchin A, Uppe A. Study of the diaphragm in chronic obstructive pulmonary disease using ultrasonography. Lung India. 2019;36(4):299-303. doi:10.4103/lungindia.lungindia_404_18.</w:t>
      </w:r>
    </w:p>
    <w:p w14:paraId="0727F0B2" w14:textId="77777777" w:rsidR="00DA4B66" w:rsidRDefault="00000000">
      <w:pPr>
        <w:spacing w:after="60" w:line="240" w:lineRule="auto"/>
        <w:ind w:hanging="360"/>
        <w:jc w:val="both"/>
      </w:pPr>
      <w:r>
        <w:rPr>
          <w:sz w:val="22"/>
        </w:rPr>
        <w:t>7. Lim SY, Lim G, Lee YJ, Cho YJ, Park JS, Yoon HI, et al. Ultrasound assessment of diaphragmatic function during acute exacerbation of chronic obstructive pulmonary disease: A pilot study. Int J Chron Obstruct Pulmon Dis. 2019;14:2479-2484. doi:10.2147/COPD.S214481.</w:t>
      </w:r>
    </w:p>
    <w:p w14:paraId="22499B62" w14:textId="77777777" w:rsidR="00DA4B66" w:rsidRDefault="00000000">
      <w:pPr>
        <w:spacing w:after="60" w:line="240" w:lineRule="auto"/>
        <w:ind w:hanging="360"/>
        <w:jc w:val="both"/>
      </w:pPr>
      <w:r>
        <w:rPr>
          <w:sz w:val="22"/>
        </w:rPr>
        <w:t xml:space="preserve">8. Schulz A, Erbuth A, Boyko M, Vonderbank S, Gurleyen H, Gibis N, et al. Comparison of ultrasound measurements for diaphragmatic mobility, diaphragmatic thickness, and diaphragm thickening fraction with each other and with lung function in patients with chronic </w:t>
      </w:r>
      <w:r>
        <w:rPr>
          <w:sz w:val="22"/>
        </w:rPr>
        <w:lastRenderedPageBreak/>
        <w:t>obstructive pulmonary disease. Int J Chron Obstruct Pulmon Dis. 2022;17:2217-2227. doi:10.2147/COPD.S370944.</w:t>
      </w:r>
    </w:p>
    <w:p w14:paraId="7CDAB359" w14:textId="77777777" w:rsidR="00DA4B66" w:rsidRDefault="00000000">
      <w:pPr>
        <w:spacing w:after="60" w:line="240" w:lineRule="auto"/>
        <w:ind w:hanging="360"/>
        <w:jc w:val="both"/>
      </w:pPr>
      <w:r>
        <w:rPr>
          <w:sz w:val="22"/>
        </w:rPr>
        <w:t>9. Chandrakumar AK, Baby J, Sunila E, Xavier C, Valsalan P, Puthanveettil R. Correlation between ultrasonographic evaluation of diaphragm excursion, thickness and spirometry in COPD patients: A case-control study. Indian J Respir Care. 2023;12. Available from: https://www.ijrc.in.</w:t>
      </w:r>
    </w:p>
    <w:p w14:paraId="6D1F58BD" w14:textId="77777777" w:rsidR="00DA4B66" w:rsidRDefault="00000000">
      <w:pPr>
        <w:spacing w:after="60" w:line="240" w:lineRule="auto"/>
        <w:ind w:hanging="360"/>
        <w:jc w:val="both"/>
      </w:pPr>
      <w:r>
        <w:rPr>
          <w:sz w:val="22"/>
        </w:rPr>
        <w:t>10. Graham BL, Steenbruggen I, Miller MR, Barjaktarevic IZ, Cooper BG, Hall GL, et al. Standardization of spirometry 2019 update: An official American Thoracic Society and European Respiratory Society technical statement. Am J Respir Crit Care Med. 2019;200(8):e70-e88. doi:10.1164/rccm.201908-1590ST.</w:t>
      </w:r>
    </w:p>
    <w:p w14:paraId="669C2ACB" w14:textId="77777777" w:rsidR="00DA4B66" w:rsidRDefault="00000000">
      <w:pPr>
        <w:spacing w:after="60" w:line="240" w:lineRule="auto"/>
        <w:ind w:hanging="360"/>
        <w:jc w:val="both"/>
      </w:pPr>
      <w:r>
        <w:rPr>
          <w:sz w:val="22"/>
        </w:rPr>
        <w:t>11. Bestall JC, Paul EA, Garrod R, Garnham R, Jones PW, Wedzicha JA. Usefulness of the Medical Research Council dyspnoea scale as a measure of disability in patients with chronic obstructive pulmonary disease. Thorax. 1999;54(7):581-586. doi:10.1136/thx.54.7.581.</w:t>
      </w:r>
    </w:p>
    <w:p w14:paraId="10228963" w14:textId="77777777" w:rsidR="00DA4B66" w:rsidRDefault="00000000">
      <w:pPr>
        <w:spacing w:after="60" w:line="240" w:lineRule="auto"/>
        <w:ind w:hanging="360"/>
        <w:jc w:val="both"/>
      </w:pPr>
      <w:r>
        <w:rPr>
          <w:sz w:val="22"/>
        </w:rPr>
        <w:t>12. von Elm E, Altman DG, Egger M, Pocock SJ, Gotzsche PC, Vandenbroucke JP, for the STROBE Initiative. The Strengthening the Reporting of Observational Studies in Epidemiology (STROBE) statement: Guidelines for reporting observational studies. Lancet. 2007;370(9596):1453-1457. doi:10.1016/S0140-6736(07)61602-X.</w:t>
      </w:r>
    </w:p>
    <w:p w14:paraId="0779CBC2" w14:textId="77777777" w:rsidR="00265491" w:rsidRDefault="00265491" w:rsidP="00265491">
      <w:pPr>
        <w:spacing w:before="160" w:after="80" w:line="240" w:lineRule="auto"/>
        <w:ind w:left="-284"/>
        <w:rPr>
          <w:b/>
        </w:rPr>
      </w:pPr>
    </w:p>
    <w:p w14:paraId="17FD5410" w14:textId="426067C5" w:rsidR="00DA4B66" w:rsidRDefault="00000000" w:rsidP="00265491">
      <w:pPr>
        <w:spacing w:before="160" w:after="80" w:line="240" w:lineRule="auto"/>
        <w:ind w:left="-284"/>
      </w:pPr>
      <w:r>
        <w:rPr>
          <w:b/>
        </w:rPr>
        <w:t>Tables and Table Legends</w:t>
      </w:r>
    </w:p>
    <w:p w14:paraId="6C8EAD05" w14:textId="77777777" w:rsidR="00DA4B66" w:rsidRDefault="00000000" w:rsidP="00E8337C">
      <w:pPr>
        <w:spacing w:before="80" w:after="80" w:line="240" w:lineRule="auto"/>
        <w:ind w:left="-284"/>
      </w:pPr>
      <w:r>
        <w:rPr>
          <w:b/>
        </w:rPr>
        <w:t>Table 1. Demographic and clinical characteristics of participants (n = 50)</w:t>
      </w:r>
    </w:p>
    <w:tbl>
      <w:tblPr>
        <w:tblStyle w:val="TableGrid"/>
        <w:tblW w:w="9356" w:type="dxa"/>
        <w:tblInd w:w="-28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08"/>
        <w:gridCol w:w="3009"/>
        <w:gridCol w:w="2139"/>
      </w:tblGrid>
      <w:tr w:rsidR="00DA4B66" w14:paraId="503C299A" w14:textId="77777777" w:rsidTr="00265491">
        <w:tc>
          <w:tcPr>
            <w:tcW w:w="4208" w:type="dxa"/>
            <w:tcBorders>
              <w:bottom w:val="single" w:sz="4" w:space="0" w:color="auto"/>
            </w:tcBorders>
          </w:tcPr>
          <w:p w14:paraId="38909666" w14:textId="77777777" w:rsidR="00DA4B66" w:rsidRDefault="00000000">
            <w:pPr>
              <w:jc w:val="center"/>
            </w:pPr>
            <w:r>
              <w:rPr>
                <w:b/>
                <w:sz w:val="20"/>
              </w:rPr>
              <w:t>Characteristic</w:t>
            </w:r>
          </w:p>
        </w:tc>
        <w:tc>
          <w:tcPr>
            <w:tcW w:w="3009" w:type="dxa"/>
            <w:tcBorders>
              <w:bottom w:val="single" w:sz="4" w:space="0" w:color="auto"/>
            </w:tcBorders>
          </w:tcPr>
          <w:p w14:paraId="1DE68B04" w14:textId="77777777" w:rsidR="00DA4B66" w:rsidRDefault="00000000">
            <w:pPr>
              <w:jc w:val="center"/>
            </w:pPr>
            <w:r>
              <w:rPr>
                <w:b/>
                <w:sz w:val="20"/>
              </w:rPr>
              <w:t>n (%)</w:t>
            </w:r>
          </w:p>
        </w:tc>
        <w:tc>
          <w:tcPr>
            <w:tcW w:w="2139" w:type="dxa"/>
            <w:tcBorders>
              <w:bottom w:val="single" w:sz="4" w:space="0" w:color="auto"/>
            </w:tcBorders>
          </w:tcPr>
          <w:p w14:paraId="306FE8A1" w14:textId="77777777" w:rsidR="00DA4B66" w:rsidRDefault="00000000">
            <w:pPr>
              <w:jc w:val="center"/>
            </w:pPr>
            <w:r>
              <w:rPr>
                <w:b/>
                <w:sz w:val="20"/>
              </w:rPr>
              <w:t>Mean +/- SD</w:t>
            </w:r>
          </w:p>
        </w:tc>
      </w:tr>
      <w:tr w:rsidR="00DA4B66" w14:paraId="2960A182" w14:textId="77777777" w:rsidTr="00265491">
        <w:tc>
          <w:tcPr>
            <w:tcW w:w="4208" w:type="dxa"/>
            <w:tcBorders>
              <w:top w:val="single" w:sz="4" w:space="0" w:color="auto"/>
            </w:tcBorders>
          </w:tcPr>
          <w:p w14:paraId="2F14CCDE" w14:textId="77777777" w:rsidR="00DA4B66" w:rsidRDefault="00000000">
            <w:r>
              <w:rPr>
                <w:sz w:val="20"/>
              </w:rPr>
              <w:t>Age, years</w:t>
            </w:r>
          </w:p>
        </w:tc>
        <w:tc>
          <w:tcPr>
            <w:tcW w:w="3009" w:type="dxa"/>
            <w:tcBorders>
              <w:top w:val="single" w:sz="4" w:space="0" w:color="auto"/>
            </w:tcBorders>
          </w:tcPr>
          <w:p w14:paraId="4C0424E8" w14:textId="77777777" w:rsidR="00DA4B66" w:rsidRDefault="00DA4B66">
            <w:pPr>
              <w:jc w:val="center"/>
            </w:pPr>
          </w:p>
        </w:tc>
        <w:tc>
          <w:tcPr>
            <w:tcW w:w="2139" w:type="dxa"/>
            <w:tcBorders>
              <w:top w:val="single" w:sz="4" w:space="0" w:color="auto"/>
            </w:tcBorders>
          </w:tcPr>
          <w:p w14:paraId="5608C454" w14:textId="77777777" w:rsidR="00DA4B66" w:rsidRDefault="00000000">
            <w:pPr>
              <w:jc w:val="center"/>
            </w:pPr>
            <w:r>
              <w:rPr>
                <w:sz w:val="20"/>
              </w:rPr>
              <w:t>62.14 +/- 10.03</w:t>
            </w:r>
          </w:p>
        </w:tc>
      </w:tr>
      <w:tr w:rsidR="00DA4B66" w14:paraId="0F5E01D8" w14:textId="77777777" w:rsidTr="00265491">
        <w:tc>
          <w:tcPr>
            <w:tcW w:w="4208" w:type="dxa"/>
          </w:tcPr>
          <w:p w14:paraId="7B20CDA4" w14:textId="77777777" w:rsidR="00DA4B66" w:rsidRDefault="00000000">
            <w:r>
              <w:rPr>
                <w:b/>
                <w:sz w:val="20"/>
              </w:rPr>
              <w:t>Sex</w:t>
            </w:r>
          </w:p>
        </w:tc>
        <w:tc>
          <w:tcPr>
            <w:tcW w:w="3009" w:type="dxa"/>
          </w:tcPr>
          <w:p w14:paraId="347E0F7B" w14:textId="77777777" w:rsidR="00DA4B66" w:rsidRDefault="00DA4B66">
            <w:pPr>
              <w:jc w:val="center"/>
            </w:pPr>
          </w:p>
        </w:tc>
        <w:tc>
          <w:tcPr>
            <w:tcW w:w="2139" w:type="dxa"/>
          </w:tcPr>
          <w:p w14:paraId="6324A1BF" w14:textId="77777777" w:rsidR="00DA4B66" w:rsidRDefault="00DA4B66">
            <w:pPr>
              <w:jc w:val="center"/>
            </w:pPr>
          </w:p>
        </w:tc>
      </w:tr>
      <w:tr w:rsidR="00DA4B66" w14:paraId="51BE103E" w14:textId="77777777" w:rsidTr="00265491">
        <w:tc>
          <w:tcPr>
            <w:tcW w:w="4208" w:type="dxa"/>
          </w:tcPr>
          <w:p w14:paraId="24796CB3" w14:textId="77777777" w:rsidR="00DA4B66" w:rsidRDefault="00000000">
            <w:r>
              <w:rPr>
                <w:sz w:val="20"/>
              </w:rPr>
              <w:t xml:space="preserve">  Male</w:t>
            </w:r>
          </w:p>
        </w:tc>
        <w:tc>
          <w:tcPr>
            <w:tcW w:w="3009" w:type="dxa"/>
          </w:tcPr>
          <w:p w14:paraId="614BCF77" w14:textId="77777777" w:rsidR="00DA4B66" w:rsidRDefault="00000000">
            <w:pPr>
              <w:jc w:val="center"/>
            </w:pPr>
            <w:r>
              <w:rPr>
                <w:sz w:val="20"/>
              </w:rPr>
              <w:t>41 (82)</w:t>
            </w:r>
          </w:p>
        </w:tc>
        <w:tc>
          <w:tcPr>
            <w:tcW w:w="2139" w:type="dxa"/>
          </w:tcPr>
          <w:p w14:paraId="3462EA2A" w14:textId="77777777" w:rsidR="00DA4B66" w:rsidRDefault="00DA4B66">
            <w:pPr>
              <w:jc w:val="center"/>
            </w:pPr>
          </w:p>
        </w:tc>
      </w:tr>
      <w:tr w:rsidR="00DA4B66" w14:paraId="404CB191" w14:textId="77777777" w:rsidTr="00265491">
        <w:tc>
          <w:tcPr>
            <w:tcW w:w="4208" w:type="dxa"/>
          </w:tcPr>
          <w:p w14:paraId="03820334" w14:textId="77777777" w:rsidR="00DA4B66" w:rsidRDefault="00000000">
            <w:r>
              <w:rPr>
                <w:sz w:val="20"/>
              </w:rPr>
              <w:t xml:space="preserve">  Female</w:t>
            </w:r>
          </w:p>
        </w:tc>
        <w:tc>
          <w:tcPr>
            <w:tcW w:w="3009" w:type="dxa"/>
          </w:tcPr>
          <w:p w14:paraId="2DC18BDA" w14:textId="77777777" w:rsidR="00DA4B66" w:rsidRDefault="00000000">
            <w:pPr>
              <w:jc w:val="center"/>
            </w:pPr>
            <w:r>
              <w:rPr>
                <w:sz w:val="20"/>
              </w:rPr>
              <w:t>9 (18)</w:t>
            </w:r>
          </w:p>
        </w:tc>
        <w:tc>
          <w:tcPr>
            <w:tcW w:w="2139" w:type="dxa"/>
          </w:tcPr>
          <w:p w14:paraId="751EF93E" w14:textId="77777777" w:rsidR="00DA4B66" w:rsidRDefault="00DA4B66">
            <w:pPr>
              <w:jc w:val="center"/>
            </w:pPr>
          </w:p>
        </w:tc>
      </w:tr>
      <w:tr w:rsidR="00DA4B66" w14:paraId="663A4B36" w14:textId="77777777" w:rsidTr="00265491">
        <w:tc>
          <w:tcPr>
            <w:tcW w:w="4208" w:type="dxa"/>
          </w:tcPr>
          <w:p w14:paraId="5944CCD5" w14:textId="77777777" w:rsidR="00DA4B66" w:rsidRDefault="00000000">
            <w:r>
              <w:rPr>
                <w:sz w:val="20"/>
              </w:rPr>
              <w:t>Body weight, kg</w:t>
            </w:r>
          </w:p>
        </w:tc>
        <w:tc>
          <w:tcPr>
            <w:tcW w:w="3009" w:type="dxa"/>
          </w:tcPr>
          <w:p w14:paraId="3F72FA52" w14:textId="77777777" w:rsidR="00DA4B66" w:rsidRDefault="00DA4B66">
            <w:pPr>
              <w:jc w:val="center"/>
            </w:pPr>
          </w:p>
        </w:tc>
        <w:tc>
          <w:tcPr>
            <w:tcW w:w="2139" w:type="dxa"/>
          </w:tcPr>
          <w:p w14:paraId="38F9E7B1" w14:textId="77777777" w:rsidR="00DA4B66" w:rsidRDefault="00000000">
            <w:pPr>
              <w:jc w:val="center"/>
            </w:pPr>
            <w:r>
              <w:rPr>
                <w:sz w:val="20"/>
              </w:rPr>
              <w:t>61.38 +/- 13.70</w:t>
            </w:r>
          </w:p>
        </w:tc>
      </w:tr>
      <w:tr w:rsidR="00DA4B66" w14:paraId="6747FA75" w14:textId="77777777" w:rsidTr="00265491">
        <w:tc>
          <w:tcPr>
            <w:tcW w:w="4208" w:type="dxa"/>
          </w:tcPr>
          <w:p w14:paraId="6564559E" w14:textId="77777777" w:rsidR="00DA4B66" w:rsidRDefault="00000000">
            <w:r>
              <w:rPr>
                <w:sz w:val="20"/>
              </w:rPr>
              <w:t>Height, cm</w:t>
            </w:r>
          </w:p>
        </w:tc>
        <w:tc>
          <w:tcPr>
            <w:tcW w:w="3009" w:type="dxa"/>
          </w:tcPr>
          <w:p w14:paraId="55358A07" w14:textId="77777777" w:rsidR="00DA4B66" w:rsidRDefault="00DA4B66">
            <w:pPr>
              <w:jc w:val="center"/>
            </w:pPr>
          </w:p>
        </w:tc>
        <w:tc>
          <w:tcPr>
            <w:tcW w:w="2139" w:type="dxa"/>
          </w:tcPr>
          <w:p w14:paraId="01FD2383" w14:textId="77777777" w:rsidR="00DA4B66" w:rsidRDefault="00000000">
            <w:pPr>
              <w:jc w:val="center"/>
            </w:pPr>
            <w:r>
              <w:rPr>
                <w:sz w:val="20"/>
              </w:rPr>
              <w:t>162.64 +/- 6.58</w:t>
            </w:r>
          </w:p>
        </w:tc>
      </w:tr>
      <w:tr w:rsidR="00DA4B66" w14:paraId="3A6C484C" w14:textId="77777777" w:rsidTr="00265491">
        <w:tc>
          <w:tcPr>
            <w:tcW w:w="4208" w:type="dxa"/>
          </w:tcPr>
          <w:p w14:paraId="4F60383E" w14:textId="77777777" w:rsidR="00DA4B66" w:rsidRDefault="00000000">
            <w:r>
              <w:rPr>
                <w:sz w:val="20"/>
              </w:rPr>
              <w:t>Body mass index, kg/m2</w:t>
            </w:r>
          </w:p>
        </w:tc>
        <w:tc>
          <w:tcPr>
            <w:tcW w:w="3009" w:type="dxa"/>
          </w:tcPr>
          <w:p w14:paraId="395A75EB" w14:textId="77777777" w:rsidR="00DA4B66" w:rsidRDefault="00DA4B66">
            <w:pPr>
              <w:jc w:val="center"/>
            </w:pPr>
          </w:p>
        </w:tc>
        <w:tc>
          <w:tcPr>
            <w:tcW w:w="2139" w:type="dxa"/>
          </w:tcPr>
          <w:p w14:paraId="5E6A9894" w14:textId="77777777" w:rsidR="00DA4B66" w:rsidRDefault="00000000">
            <w:pPr>
              <w:jc w:val="center"/>
            </w:pPr>
            <w:r>
              <w:rPr>
                <w:sz w:val="20"/>
              </w:rPr>
              <w:t>23.17 +/- 4.69</w:t>
            </w:r>
          </w:p>
        </w:tc>
      </w:tr>
      <w:tr w:rsidR="00DA4B66" w14:paraId="2A0D300C" w14:textId="77777777" w:rsidTr="00265491">
        <w:tc>
          <w:tcPr>
            <w:tcW w:w="4208" w:type="dxa"/>
          </w:tcPr>
          <w:p w14:paraId="671E5FFA" w14:textId="77777777" w:rsidR="00DA4B66" w:rsidRDefault="00000000">
            <w:r>
              <w:rPr>
                <w:b/>
                <w:sz w:val="20"/>
              </w:rPr>
              <w:t>mMRC dyspnea grade</w:t>
            </w:r>
          </w:p>
        </w:tc>
        <w:tc>
          <w:tcPr>
            <w:tcW w:w="3009" w:type="dxa"/>
          </w:tcPr>
          <w:p w14:paraId="1354E7E5" w14:textId="77777777" w:rsidR="00DA4B66" w:rsidRDefault="00DA4B66">
            <w:pPr>
              <w:jc w:val="center"/>
            </w:pPr>
          </w:p>
        </w:tc>
        <w:tc>
          <w:tcPr>
            <w:tcW w:w="2139" w:type="dxa"/>
          </w:tcPr>
          <w:p w14:paraId="3B50E926" w14:textId="77777777" w:rsidR="00DA4B66" w:rsidRDefault="00DA4B66">
            <w:pPr>
              <w:jc w:val="center"/>
            </w:pPr>
          </w:p>
        </w:tc>
      </w:tr>
      <w:tr w:rsidR="00DA4B66" w14:paraId="6DC4AD73" w14:textId="77777777" w:rsidTr="00265491">
        <w:tc>
          <w:tcPr>
            <w:tcW w:w="4208" w:type="dxa"/>
          </w:tcPr>
          <w:p w14:paraId="56F8FCA6" w14:textId="77777777" w:rsidR="00DA4B66" w:rsidRDefault="00000000">
            <w:r>
              <w:rPr>
                <w:sz w:val="20"/>
              </w:rPr>
              <w:t xml:space="preserve">  1</w:t>
            </w:r>
          </w:p>
        </w:tc>
        <w:tc>
          <w:tcPr>
            <w:tcW w:w="3009" w:type="dxa"/>
          </w:tcPr>
          <w:p w14:paraId="2901404D" w14:textId="77777777" w:rsidR="00DA4B66" w:rsidRDefault="00000000">
            <w:pPr>
              <w:jc w:val="center"/>
            </w:pPr>
            <w:r>
              <w:rPr>
                <w:sz w:val="20"/>
              </w:rPr>
              <w:t>8 (16)</w:t>
            </w:r>
          </w:p>
        </w:tc>
        <w:tc>
          <w:tcPr>
            <w:tcW w:w="2139" w:type="dxa"/>
          </w:tcPr>
          <w:p w14:paraId="300C9534" w14:textId="77777777" w:rsidR="00DA4B66" w:rsidRDefault="00DA4B66">
            <w:pPr>
              <w:jc w:val="center"/>
            </w:pPr>
          </w:p>
        </w:tc>
      </w:tr>
      <w:tr w:rsidR="00DA4B66" w14:paraId="7F643997" w14:textId="77777777" w:rsidTr="00265491">
        <w:tc>
          <w:tcPr>
            <w:tcW w:w="4208" w:type="dxa"/>
          </w:tcPr>
          <w:p w14:paraId="2D3F1282" w14:textId="77777777" w:rsidR="00DA4B66" w:rsidRDefault="00000000">
            <w:r>
              <w:rPr>
                <w:sz w:val="20"/>
              </w:rPr>
              <w:t xml:space="preserve">  2</w:t>
            </w:r>
          </w:p>
        </w:tc>
        <w:tc>
          <w:tcPr>
            <w:tcW w:w="3009" w:type="dxa"/>
          </w:tcPr>
          <w:p w14:paraId="67B5D745" w14:textId="77777777" w:rsidR="00DA4B66" w:rsidRDefault="00000000">
            <w:pPr>
              <w:jc w:val="center"/>
            </w:pPr>
            <w:r>
              <w:rPr>
                <w:sz w:val="20"/>
              </w:rPr>
              <w:t>13 (26)</w:t>
            </w:r>
          </w:p>
        </w:tc>
        <w:tc>
          <w:tcPr>
            <w:tcW w:w="2139" w:type="dxa"/>
          </w:tcPr>
          <w:p w14:paraId="46106E4C" w14:textId="77777777" w:rsidR="00DA4B66" w:rsidRDefault="00DA4B66">
            <w:pPr>
              <w:jc w:val="center"/>
            </w:pPr>
          </w:p>
        </w:tc>
      </w:tr>
      <w:tr w:rsidR="00DA4B66" w14:paraId="013A90D9" w14:textId="77777777" w:rsidTr="00265491">
        <w:tc>
          <w:tcPr>
            <w:tcW w:w="4208" w:type="dxa"/>
          </w:tcPr>
          <w:p w14:paraId="430249D8" w14:textId="77777777" w:rsidR="00DA4B66" w:rsidRDefault="00000000">
            <w:r>
              <w:rPr>
                <w:sz w:val="20"/>
              </w:rPr>
              <w:t xml:space="preserve">  3</w:t>
            </w:r>
          </w:p>
        </w:tc>
        <w:tc>
          <w:tcPr>
            <w:tcW w:w="3009" w:type="dxa"/>
          </w:tcPr>
          <w:p w14:paraId="49D7C433" w14:textId="77777777" w:rsidR="00DA4B66" w:rsidRDefault="00000000">
            <w:pPr>
              <w:jc w:val="center"/>
            </w:pPr>
            <w:r>
              <w:rPr>
                <w:sz w:val="20"/>
              </w:rPr>
              <w:t>15 (30)</w:t>
            </w:r>
          </w:p>
        </w:tc>
        <w:tc>
          <w:tcPr>
            <w:tcW w:w="2139" w:type="dxa"/>
          </w:tcPr>
          <w:p w14:paraId="758EC578" w14:textId="77777777" w:rsidR="00DA4B66" w:rsidRDefault="00DA4B66">
            <w:pPr>
              <w:jc w:val="center"/>
            </w:pPr>
          </w:p>
        </w:tc>
      </w:tr>
      <w:tr w:rsidR="00DA4B66" w14:paraId="3A38DF96" w14:textId="77777777" w:rsidTr="00265491">
        <w:tc>
          <w:tcPr>
            <w:tcW w:w="4208" w:type="dxa"/>
          </w:tcPr>
          <w:p w14:paraId="3ED378DF" w14:textId="77777777" w:rsidR="00DA4B66" w:rsidRDefault="00000000">
            <w:r>
              <w:rPr>
                <w:sz w:val="20"/>
              </w:rPr>
              <w:t xml:space="preserve">  4</w:t>
            </w:r>
          </w:p>
        </w:tc>
        <w:tc>
          <w:tcPr>
            <w:tcW w:w="3009" w:type="dxa"/>
          </w:tcPr>
          <w:p w14:paraId="51D0EB03" w14:textId="77777777" w:rsidR="00DA4B66" w:rsidRDefault="00000000">
            <w:pPr>
              <w:jc w:val="center"/>
            </w:pPr>
            <w:r>
              <w:rPr>
                <w:sz w:val="20"/>
              </w:rPr>
              <w:t>14 (28)</w:t>
            </w:r>
          </w:p>
        </w:tc>
        <w:tc>
          <w:tcPr>
            <w:tcW w:w="2139" w:type="dxa"/>
          </w:tcPr>
          <w:p w14:paraId="56D4BBE3" w14:textId="77777777" w:rsidR="00DA4B66" w:rsidRDefault="00DA4B66">
            <w:pPr>
              <w:jc w:val="center"/>
            </w:pPr>
          </w:p>
        </w:tc>
      </w:tr>
      <w:tr w:rsidR="00DA4B66" w14:paraId="755B9369" w14:textId="77777777" w:rsidTr="00265491">
        <w:tc>
          <w:tcPr>
            <w:tcW w:w="4208" w:type="dxa"/>
          </w:tcPr>
          <w:p w14:paraId="32E65B74" w14:textId="77777777" w:rsidR="00DA4B66" w:rsidRDefault="00000000">
            <w:r>
              <w:rPr>
                <w:b/>
                <w:sz w:val="20"/>
              </w:rPr>
              <w:t>GOLD 2020 combined assessment group</w:t>
            </w:r>
          </w:p>
        </w:tc>
        <w:tc>
          <w:tcPr>
            <w:tcW w:w="3009" w:type="dxa"/>
          </w:tcPr>
          <w:p w14:paraId="4A4F4270" w14:textId="77777777" w:rsidR="00DA4B66" w:rsidRDefault="00DA4B66">
            <w:pPr>
              <w:jc w:val="center"/>
            </w:pPr>
          </w:p>
        </w:tc>
        <w:tc>
          <w:tcPr>
            <w:tcW w:w="2139" w:type="dxa"/>
          </w:tcPr>
          <w:p w14:paraId="5DB49F99" w14:textId="77777777" w:rsidR="00DA4B66" w:rsidRDefault="00DA4B66">
            <w:pPr>
              <w:jc w:val="center"/>
            </w:pPr>
          </w:p>
        </w:tc>
      </w:tr>
      <w:tr w:rsidR="00DA4B66" w14:paraId="60338CEE" w14:textId="77777777" w:rsidTr="00265491">
        <w:tc>
          <w:tcPr>
            <w:tcW w:w="4208" w:type="dxa"/>
          </w:tcPr>
          <w:p w14:paraId="55331363" w14:textId="77777777" w:rsidR="00DA4B66" w:rsidRDefault="00000000">
            <w:r>
              <w:rPr>
                <w:sz w:val="20"/>
              </w:rPr>
              <w:t xml:space="preserve">  A</w:t>
            </w:r>
          </w:p>
        </w:tc>
        <w:tc>
          <w:tcPr>
            <w:tcW w:w="3009" w:type="dxa"/>
          </w:tcPr>
          <w:p w14:paraId="237B9AB4" w14:textId="77777777" w:rsidR="00DA4B66" w:rsidRDefault="00000000">
            <w:pPr>
              <w:jc w:val="center"/>
            </w:pPr>
            <w:r>
              <w:rPr>
                <w:sz w:val="20"/>
              </w:rPr>
              <w:t>5 (10)</w:t>
            </w:r>
          </w:p>
        </w:tc>
        <w:tc>
          <w:tcPr>
            <w:tcW w:w="2139" w:type="dxa"/>
          </w:tcPr>
          <w:p w14:paraId="57EAA7C8" w14:textId="77777777" w:rsidR="00DA4B66" w:rsidRDefault="00DA4B66">
            <w:pPr>
              <w:jc w:val="center"/>
            </w:pPr>
          </w:p>
        </w:tc>
      </w:tr>
      <w:tr w:rsidR="00DA4B66" w14:paraId="0EA92A66" w14:textId="77777777" w:rsidTr="00265491">
        <w:tc>
          <w:tcPr>
            <w:tcW w:w="4208" w:type="dxa"/>
          </w:tcPr>
          <w:p w14:paraId="34B2682B" w14:textId="77777777" w:rsidR="00DA4B66" w:rsidRDefault="00000000">
            <w:r>
              <w:rPr>
                <w:sz w:val="20"/>
              </w:rPr>
              <w:t xml:space="preserve">  B</w:t>
            </w:r>
          </w:p>
        </w:tc>
        <w:tc>
          <w:tcPr>
            <w:tcW w:w="3009" w:type="dxa"/>
          </w:tcPr>
          <w:p w14:paraId="3B530E11" w14:textId="77777777" w:rsidR="00DA4B66" w:rsidRDefault="00000000">
            <w:pPr>
              <w:jc w:val="center"/>
            </w:pPr>
            <w:r>
              <w:rPr>
                <w:sz w:val="20"/>
              </w:rPr>
              <w:t>23 (46)</w:t>
            </w:r>
          </w:p>
        </w:tc>
        <w:tc>
          <w:tcPr>
            <w:tcW w:w="2139" w:type="dxa"/>
          </w:tcPr>
          <w:p w14:paraId="7C4F70D9" w14:textId="77777777" w:rsidR="00DA4B66" w:rsidRDefault="00DA4B66">
            <w:pPr>
              <w:jc w:val="center"/>
            </w:pPr>
          </w:p>
        </w:tc>
      </w:tr>
      <w:tr w:rsidR="00DA4B66" w14:paraId="008413DB" w14:textId="77777777" w:rsidTr="00265491">
        <w:tc>
          <w:tcPr>
            <w:tcW w:w="4208" w:type="dxa"/>
          </w:tcPr>
          <w:p w14:paraId="0ACC3E62" w14:textId="77777777" w:rsidR="00DA4B66" w:rsidRDefault="00000000">
            <w:r>
              <w:rPr>
                <w:sz w:val="20"/>
              </w:rPr>
              <w:t xml:space="preserve">  C</w:t>
            </w:r>
          </w:p>
        </w:tc>
        <w:tc>
          <w:tcPr>
            <w:tcW w:w="3009" w:type="dxa"/>
          </w:tcPr>
          <w:p w14:paraId="5881F956" w14:textId="77777777" w:rsidR="00DA4B66" w:rsidRDefault="00000000">
            <w:pPr>
              <w:jc w:val="center"/>
            </w:pPr>
            <w:r>
              <w:rPr>
                <w:sz w:val="20"/>
              </w:rPr>
              <w:t>0 (0)</w:t>
            </w:r>
          </w:p>
        </w:tc>
        <w:tc>
          <w:tcPr>
            <w:tcW w:w="2139" w:type="dxa"/>
          </w:tcPr>
          <w:p w14:paraId="0D4739E1" w14:textId="77777777" w:rsidR="00DA4B66" w:rsidRDefault="00DA4B66">
            <w:pPr>
              <w:jc w:val="center"/>
            </w:pPr>
          </w:p>
        </w:tc>
      </w:tr>
      <w:tr w:rsidR="00DA4B66" w14:paraId="3B95B8EE" w14:textId="77777777" w:rsidTr="00265491">
        <w:tc>
          <w:tcPr>
            <w:tcW w:w="4208" w:type="dxa"/>
          </w:tcPr>
          <w:p w14:paraId="65FA64FD" w14:textId="77777777" w:rsidR="00DA4B66" w:rsidRDefault="00000000">
            <w:r>
              <w:rPr>
                <w:sz w:val="20"/>
              </w:rPr>
              <w:t xml:space="preserve">  D</w:t>
            </w:r>
          </w:p>
        </w:tc>
        <w:tc>
          <w:tcPr>
            <w:tcW w:w="3009" w:type="dxa"/>
          </w:tcPr>
          <w:p w14:paraId="52013319" w14:textId="77777777" w:rsidR="00DA4B66" w:rsidRDefault="00000000">
            <w:pPr>
              <w:jc w:val="center"/>
            </w:pPr>
            <w:r>
              <w:rPr>
                <w:sz w:val="20"/>
              </w:rPr>
              <w:t>22 (44)</w:t>
            </w:r>
          </w:p>
        </w:tc>
        <w:tc>
          <w:tcPr>
            <w:tcW w:w="2139" w:type="dxa"/>
          </w:tcPr>
          <w:p w14:paraId="13122EAF" w14:textId="77777777" w:rsidR="00DA4B66" w:rsidRDefault="00DA4B66">
            <w:pPr>
              <w:jc w:val="center"/>
            </w:pPr>
          </w:p>
        </w:tc>
      </w:tr>
      <w:tr w:rsidR="00DA4B66" w14:paraId="29B12EEE" w14:textId="77777777" w:rsidTr="00265491">
        <w:tc>
          <w:tcPr>
            <w:tcW w:w="4208" w:type="dxa"/>
          </w:tcPr>
          <w:p w14:paraId="79E455A1" w14:textId="77777777" w:rsidR="00DA4B66" w:rsidRDefault="00000000">
            <w:r>
              <w:rPr>
                <w:b/>
                <w:sz w:val="20"/>
              </w:rPr>
              <w:t>GOLD spirometric grade</w:t>
            </w:r>
          </w:p>
        </w:tc>
        <w:tc>
          <w:tcPr>
            <w:tcW w:w="3009" w:type="dxa"/>
          </w:tcPr>
          <w:p w14:paraId="47B5F328" w14:textId="77777777" w:rsidR="00DA4B66" w:rsidRDefault="00DA4B66">
            <w:pPr>
              <w:jc w:val="center"/>
            </w:pPr>
          </w:p>
        </w:tc>
        <w:tc>
          <w:tcPr>
            <w:tcW w:w="2139" w:type="dxa"/>
          </w:tcPr>
          <w:p w14:paraId="2A3E0E23" w14:textId="77777777" w:rsidR="00DA4B66" w:rsidRDefault="00DA4B66">
            <w:pPr>
              <w:jc w:val="center"/>
            </w:pPr>
          </w:p>
        </w:tc>
      </w:tr>
      <w:tr w:rsidR="00DA4B66" w14:paraId="7D9AA778" w14:textId="77777777" w:rsidTr="00265491">
        <w:tc>
          <w:tcPr>
            <w:tcW w:w="4208" w:type="dxa"/>
          </w:tcPr>
          <w:p w14:paraId="0D622E9D" w14:textId="77777777" w:rsidR="00DA4B66" w:rsidRDefault="00000000">
            <w:r>
              <w:rPr>
                <w:sz w:val="20"/>
              </w:rPr>
              <w:t xml:space="preserve">  1</w:t>
            </w:r>
          </w:p>
        </w:tc>
        <w:tc>
          <w:tcPr>
            <w:tcW w:w="3009" w:type="dxa"/>
          </w:tcPr>
          <w:p w14:paraId="0AA301D3" w14:textId="77777777" w:rsidR="00DA4B66" w:rsidRDefault="00000000">
            <w:pPr>
              <w:jc w:val="center"/>
            </w:pPr>
            <w:r>
              <w:rPr>
                <w:sz w:val="20"/>
              </w:rPr>
              <w:t>2 (4)</w:t>
            </w:r>
          </w:p>
        </w:tc>
        <w:tc>
          <w:tcPr>
            <w:tcW w:w="2139" w:type="dxa"/>
          </w:tcPr>
          <w:p w14:paraId="2A89A564" w14:textId="77777777" w:rsidR="00DA4B66" w:rsidRDefault="00DA4B66">
            <w:pPr>
              <w:jc w:val="center"/>
            </w:pPr>
          </w:p>
        </w:tc>
      </w:tr>
      <w:tr w:rsidR="00DA4B66" w14:paraId="6F35C2C2" w14:textId="77777777" w:rsidTr="00265491">
        <w:tc>
          <w:tcPr>
            <w:tcW w:w="4208" w:type="dxa"/>
          </w:tcPr>
          <w:p w14:paraId="3117A500" w14:textId="77777777" w:rsidR="00DA4B66" w:rsidRDefault="00000000">
            <w:r>
              <w:rPr>
                <w:sz w:val="20"/>
              </w:rPr>
              <w:t xml:space="preserve">  2</w:t>
            </w:r>
          </w:p>
        </w:tc>
        <w:tc>
          <w:tcPr>
            <w:tcW w:w="3009" w:type="dxa"/>
          </w:tcPr>
          <w:p w14:paraId="7321B4F5" w14:textId="77777777" w:rsidR="00DA4B66" w:rsidRDefault="00000000">
            <w:pPr>
              <w:jc w:val="center"/>
            </w:pPr>
            <w:r>
              <w:rPr>
                <w:sz w:val="20"/>
              </w:rPr>
              <w:t>5 (10)</w:t>
            </w:r>
          </w:p>
        </w:tc>
        <w:tc>
          <w:tcPr>
            <w:tcW w:w="2139" w:type="dxa"/>
          </w:tcPr>
          <w:p w14:paraId="6F28118A" w14:textId="77777777" w:rsidR="00DA4B66" w:rsidRDefault="00DA4B66">
            <w:pPr>
              <w:jc w:val="center"/>
            </w:pPr>
          </w:p>
        </w:tc>
      </w:tr>
      <w:tr w:rsidR="00DA4B66" w14:paraId="2FCDA2EB" w14:textId="77777777" w:rsidTr="00265491">
        <w:tc>
          <w:tcPr>
            <w:tcW w:w="4208" w:type="dxa"/>
          </w:tcPr>
          <w:p w14:paraId="7C7D6E68" w14:textId="77777777" w:rsidR="00DA4B66" w:rsidRDefault="00000000">
            <w:r>
              <w:rPr>
                <w:sz w:val="20"/>
              </w:rPr>
              <w:t xml:space="preserve">  3</w:t>
            </w:r>
          </w:p>
        </w:tc>
        <w:tc>
          <w:tcPr>
            <w:tcW w:w="3009" w:type="dxa"/>
          </w:tcPr>
          <w:p w14:paraId="73017534" w14:textId="77777777" w:rsidR="00DA4B66" w:rsidRDefault="00000000">
            <w:pPr>
              <w:jc w:val="center"/>
            </w:pPr>
            <w:r>
              <w:rPr>
                <w:sz w:val="20"/>
              </w:rPr>
              <w:t>17 (34)</w:t>
            </w:r>
          </w:p>
        </w:tc>
        <w:tc>
          <w:tcPr>
            <w:tcW w:w="2139" w:type="dxa"/>
          </w:tcPr>
          <w:p w14:paraId="19FA3B9D" w14:textId="77777777" w:rsidR="00DA4B66" w:rsidRDefault="00DA4B66">
            <w:pPr>
              <w:jc w:val="center"/>
            </w:pPr>
          </w:p>
        </w:tc>
      </w:tr>
      <w:tr w:rsidR="00DA4B66" w14:paraId="59083F0B" w14:textId="77777777" w:rsidTr="00265491">
        <w:tc>
          <w:tcPr>
            <w:tcW w:w="4208" w:type="dxa"/>
          </w:tcPr>
          <w:p w14:paraId="7EEFE3A4" w14:textId="77777777" w:rsidR="00DA4B66" w:rsidRDefault="00000000">
            <w:r>
              <w:rPr>
                <w:sz w:val="20"/>
              </w:rPr>
              <w:t xml:space="preserve">  4</w:t>
            </w:r>
          </w:p>
        </w:tc>
        <w:tc>
          <w:tcPr>
            <w:tcW w:w="3009" w:type="dxa"/>
          </w:tcPr>
          <w:p w14:paraId="53FCF55A" w14:textId="77777777" w:rsidR="00DA4B66" w:rsidRDefault="00000000">
            <w:pPr>
              <w:jc w:val="center"/>
            </w:pPr>
            <w:r>
              <w:rPr>
                <w:sz w:val="20"/>
              </w:rPr>
              <w:t>26 (52)</w:t>
            </w:r>
          </w:p>
        </w:tc>
        <w:tc>
          <w:tcPr>
            <w:tcW w:w="2139" w:type="dxa"/>
          </w:tcPr>
          <w:p w14:paraId="2A5D5164" w14:textId="77777777" w:rsidR="00DA4B66" w:rsidRDefault="00DA4B66">
            <w:pPr>
              <w:jc w:val="center"/>
            </w:pPr>
          </w:p>
        </w:tc>
      </w:tr>
      <w:tr w:rsidR="00DA4B66" w14:paraId="396B2C82" w14:textId="77777777" w:rsidTr="00265491">
        <w:tc>
          <w:tcPr>
            <w:tcW w:w="4208" w:type="dxa"/>
          </w:tcPr>
          <w:p w14:paraId="2C678168" w14:textId="77777777" w:rsidR="00DA4B66" w:rsidRDefault="00000000">
            <w:r>
              <w:rPr>
                <w:sz w:val="20"/>
              </w:rPr>
              <w:t>FEV1/FVC ratio</w:t>
            </w:r>
          </w:p>
        </w:tc>
        <w:tc>
          <w:tcPr>
            <w:tcW w:w="3009" w:type="dxa"/>
          </w:tcPr>
          <w:p w14:paraId="19DC48A7" w14:textId="77777777" w:rsidR="00DA4B66" w:rsidRDefault="00DA4B66">
            <w:pPr>
              <w:jc w:val="center"/>
            </w:pPr>
          </w:p>
        </w:tc>
        <w:tc>
          <w:tcPr>
            <w:tcW w:w="2139" w:type="dxa"/>
          </w:tcPr>
          <w:p w14:paraId="32DBE84A" w14:textId="77777777" w:rsidR="00DA4B66" w:rsidRDefault="00000000">
            <w:pPr>
              <w:jc w:val="center"/>
            </w:pPr>
            <w:r>
              <w:rPr>
                <w:sz w:val="20"/>
              </w:rPr>
              <w:t>0.60 +/- 0.08</w:t>
            </w:r>
          </w:p>
        </w:tc>
      </w:tr>
      <w:tr w:rsidR="00DA4B66" w14:paraId="37E6EB96" w14:textId="77777777" w:rsidTr="00265491">
        <w:tc>
          <w:tcPr>
            <w:tcW w:w="4208" w:type="dxa"/>
          </w:tcPr>
          <w:p w14:paraId="5F9757F5" w14:textId="77777777" w:rsidR="00DA4B66" w:rsidRDefault="00000000">
            <w:r>
              <w:rPr>
                <w:sz w:val="20"/>
              </w:rPr>
              <w:t>Percent-predicted FEV1</w:t>
            </w:r>
          </w:p>
        </w:tc>
        <w:tc>
          <w:tcPr>
            <w:tcW w:w="3009" w:type="dxa"/>
          </w:tcPr>
          <w:p w14:paraId="4C163EF3" w14:textId="77777777" w:rsidR="00DA4B66" w:rsidRDefault="00DA4B66">
            <w:pPr>
              <w:jc w:val="center"/>
            </w:pPr>
          </w:p>
        </w:tc>
        <w:tc>
          <w:tcPr>
            <w:tcW w:w="2139" w:type="dxa"/>
          </w:tcPr>
          <w:p w14:paraId="0C79CE2A" w14:textId="77777777" w:rsidR="00DA4B66" w:rsidRDefault="00000000">
            <w:pPr>
              <w:jc w:val="center"/>
            </w:pPr>
            <w:r>
              <w:rPr>
                <w:sz w:val="20"/>
              </w:rPr>
              <w:t>34.34 +/- 16.77</w:t>
            </w:r>
          </w:p>
        </w:tc>
      </w:tr>
      <w:tr w:rsidR="00DA4B66" w14:paraId="1E8037CE" w14:textId="77777777" w:rsidTr="00265491">
        <w:tc>
          <w:tcPr>
            <w:tcW w:w="4208" w:type="dxa"/>
          </w:tcPr>
          <w:p w14:paraId="30E8BA87" w14:textId="77777777" w:rsidR="00DA4B66" w:rsidRDefault="00000000">
            <w:r>
              <w:rPr>
                <w:sz w:val="20"/>
              </w:rPr>
              <w:t>Percent-predicted FVC</w:t>
            </w:r>
          </w:p>
        </w:tc>
        <w:tc>
          <w:tcPr>
            <w:tcW w:w="3009" w:type="dxa"/>
          </w:tcPr>
          <w:p w14:paraId="6B488922" w14:textId="77777777" w:rsidR="00DA4B66" w:rsidRDefault="00DA4B66">
            <w:pPr>
              <w:jc w:val="center"/>
            </w:pPr>
          </w:p>
        </w:tc>
        <w:tc>
          <w:tcPr>
            <w:tcW w:w="2139" w:type="dxa"/>
          </w:tcPr>
          <w:p w14:paraId="58C1D11D" w14:textId="77777777" w:rsidR="00DA4B66" w:rsidRDefault="00000000">
            <w:pPr>
              <w:jc w:val="center"/>
            </w:pPr>
            <w:r>
              <w:rPr>
                <w:sz w:val="20"/>
              </w:rPr>
              <w:t>44.70 +/- 17.31</w:t>
            </w:r>
          </w:p>
        </w:tc>
      </w:tr>
    </w:tbl>
    <w:p w14:paraId="37E98D63" w14:textId="77777777" w:rsidR="00DA4B66" w:rsidRDefault="00000000" w:rsidP="00E8337C">
      <w:pPr>
        <w:spacing w:before="40" w:line="240" w:lineRule="auto"/>
        <w:ind w:left="-284"/>
      </w:pPr>
      <w:proofErr w:type="spellStart"/>
      <w:r>
        <w:rPr>
          <w:sz w:val="20"/>
        </w:rPr>
        <w:t>mMRC</w:t>
      </w:r>
      <w:proofErr w:type="spellEnd"/>
      <w:r>
        <w:rPr>
          <w:sz w:val="20"/>
        </w:rPr>
        <w:t>, modified Medical Research Council; GOLD, Global Initiative for Chronic Obstructive Lung Disease; FEV1, forced expiratory volume in 1 second; FVC, forced vital capacity; SD, standard deviation.</w:t>
      </w:r>
    </w:p>
    <w:p w14:paraId="791145F0" w14:textId="77777777" w:rsidR="00E8337C" w:rsidRDefault="00E8337C">
      <w:pPr>
        <w:spacing w:before="80" w:after="80" w:line="240" w:lineRule="auto"/>
        <w:rPr>
          <w:b/>
        </w:rPr>
      </w:pPr>
    </w:p>
    <w:p w14:paraId="4916A128" w14:textId="77777777" w:rsidR="00265491" w:rsidRDefault="00265491">
      <w:pPr>
        <w:spacing w:before="80" w:after="80" w:line="240" w:lineRule="auto"/>
        <w:rPr>
          <w:b/>
        </w:rPr>
      </w:pPr>
    </w:p>
    <w:p w14:paraId="15E1E79C" w14:textId="25806104" w:rsidR="00DA4B66" w:rsidRDefault="00000000">
      <w:pPr>
        <w:spacing w:before="80" w:after="80" w:line="240" w:lineRule="auto"/>
      </w:pPr>
      <w:r>
        <w:rPr>
          <w:b/>
        </w:rPr>
        <w:t>Table 2. End-expiratory right diaphragm thickness</w:t>
      </w:r>
    </w:p>
    <w:tbl>
      <w:tblPr>
        <w:tblStyle w:val="TableGrid"/>
        <w:tblW w:w="963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81"/>
        <w:gridCol w:w="3858"/>
      </w:tblGrid>
      <w:tr w:rsidR="00DA4B66" w14:paraId="167CB462" w14:textId="77777777" w:rsidTr="00265491">
        <w:tc>
          <w:tcPr>
            <w:tcW w:w="5781" w:type="dxa"/>
            <w:tcBorders>
              <w:bottom w:val="single" w:sz="4" w:space="0" w:color="auto"/>
            </w:tcBorders>
          </w:tcPr>
          <w:p w14:paraId="167EFA94" w14:textId="77777777" w:rsidR="00DA4B66" w:rsidRDefault="00000000">
            <w:pPr>
              <w:jc w:val="center"/>
            </w:pPr>
            <w:r>
              <w:rPr>
                <w:b/>
                <w:sz w:val="20"/>
              </w:rPr>
              <w:t>Variable</w:t>
            </w:r>
          </w:p>
        </w:tc>
        <w:tc>
          <w:tcPr>
            <w:tcW w:w="3858" w:type="dxa"/>
            <w:tcBorders>
              <w:bottom w:val="single" w:sz="4" w:space="0" w:color="auto"/>
            </w:tcBorders>
          </w:tcPr>
          <w:p w14:paraId="205FCE5E" w14:textId="77777777" w:rsidR="00DA4B66" w:rsidRDefault="00000000">
            <w:pPr>
              <w:jc w:val="center"/>
            </w:pPr>
            <w:r>
              <w:rPr>
                <w:b/>
                <w:sz w:val="20"/>
              </w:rPr>
              <w:t>Mean +/- SD</w:t>
            </w:r>
          </w:p>
        </w:tc>
      </w:tr>
      <w:tr w:rsidR="00DA4B66" w14:paraId="45C421E4" w14:textId="77777777" w:rsidTr="00265491">
        <w:tc>
          <w:tcPr>
            <w:tcW w:w="5781" w:type="dxa"/>
            <w:tcBorders>
              <w:top w:val="single" w:sz="4" w:space="0" w:color="auto"/>
            </w:tcBorders>
          </w:tcPr>
          <w:p w14:paraId="4920CAF9" w14:textId="77777777" w:rsidR="00DA4B66" w:rsidRDefault="00000000">
            <w:r>
              <w:rPr>
                <w:sz w:val="20"/>
              </w:rPr>
              <w:t>End-expiratory right diaphragm thickness, cm</w:t>
            </w:r>
          </w:p>
        </w:tc>
        <w:tc>
          <w:tcPr>
            <w:tcW w:w="3858" w:type="dxa"/>
            <w:tcBorders>
              <w:top w:val="single" w:sz="4" w:space="0" w:color="auto"/>
            </w:tcBorders>
          </w:tcPr>
          <w:p w14:paraId="0A179537" w14:textId="77777777" w:rsidR="00DA4B66" w:rsidRDefault="00000000">
            <w:pPr>
              <w:jc w:val="center"/>
            </w:pPr>
            <w:r>
              <w:rPr>
                <w:sz w:val="20"/>
              </w:rPr>
              <w:t>0.30 +/- 0.08</w:t>
            </w:r>
          </w:p>
        </w:tc>
      </w:tr>
    </w:tbl>
    <w:p w14:paraId="5171CED8" w14:textId="77777777" w:rsidR="00265491" w:rsidRDefault="00265491">
      <w:pPr>
        <w:spacing w:before="160" w:after="80" w:line="240" w:lineRule="auto"/>
        <w:rPr>
          <w:b/>
        </w:rPr>
      </w:pPr>
    </w:p>
    <w:p w14:paraId="1055098A" w14:textId="3D49C0AF" w:rsidR="00DA4B66" w:rsidRDefault="00000000">
      <w:pPr>
        <w:spacing w:before="160" w:after="80" w:line="240" w:lineRule="auto"/>
      </w:pPr>
      <w:r>
        <w:rPr>
          <w:b/>
        </w:rPr>
        <w:t>Table 3. Correlation between end-expiratory right diaphragm thickness and spirometric indices</w:t>
      </w:r>
    </w:p>
    <w:tbl>
      <w:tblPr>
        <w:tblStyle w:val="TableGrid"/>
        <w:tblW w:w="963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2256"/>
        <w:gridCol w:w="2736"/>
        <w:gridCol w:w="1738"/>
      </w:tblGrid>
      <w:tr w:rsidR="00DA4B66" w14:paraId="2873857E" w14:textId="77777777" w:rsidTr="00265491">
        <w:tc>
          <w:tcPr>
            <w:tcW w:w="2909" w:type="dxa"/>
            <w:tcBorders>
              <w:bottom w:val="single" w:sz="4" w:space="0" w:color="auto"/>
            </w:tcBorders>
          </w:tcPr>
          <w:p w14:paraId="295BA137" w14:textId="77777777" w:rsidR="00DA4B66" w:rsidRDefault="00000000">
            <w:pPr>
              <w:jc w:val="center"/>
            </w:pPr>
            <w:proofErr w:type="spellStart"/>
            <w:r>
              <w:rPr>
                <w:b/>
                <w:sz w:val="20"/>
              </w:rPr>
              <w:t>Spirometric</w:t>
            </w:r>
            <w:proofErr w:type="spellEnd"/>
            <w:r>
              <w:rPr>
                <w:b/>
                <w:sz w:val="20"/>
              </w:rPr>
              <w:t xml:space="preserve"> index</w:t>
            </w:r>
          </w:p>
        </w:tc>
        <w:tc>
          <w:tcPr>
            <w:tcW w:w="2256" w:type="dxa"/>
            <w:tcBorders>
              <w:bottom w:val="single" w:sz="4" w:space="0" w:color="auto"/>
            </w:tcBorders>
          </w:tcPr>
          <w:p w14:paraId="3B4489A8" w14:textId="77777777" w:rsidR="00DA4B66" w:rsidRDefault="00000000">
            <w:pPr>
              <w:jc w:val="center"/>
            </w:pPr>
            <w:r>
              <w:rPr>
                <w:b/>
                <w:sz w:val="20"/>
              </w:rPr>
              <w:t>r</w:t>
            </w:r>
          </w:p>
        </w:tc>
        <w:tc>
          <w:tcPr>
            <w:tcW w:w="2736" w:type="dxa"/>
            <w:tcBorders>
              <w:bottom w:val="single" w:sz="4" w:space="0" w:color="auto"/>
            </w:tcBorders>
          </w:tcPr>
          <w:p w14:paraId="4F61C13B" w14:textId="77777777" w:rsidR="00DA4B66" w:rsidRDefault="00000000">
            <w:pPr>
              <w:jc w:val="center"/>
            </w:pPr>
            <w:r>
              <w:rPr>
                <w:b/>
                <w:sz w:val="20"/>
              </w:rPr>
              <w:t>95% CI</w:t>
            </w:r>
          </w:p>
        </w:tc>
        <w:tc>
          <w:tcPr>
            <w:tcW w:w="1738" w:type="dxa"/>
            <w:tcBorders>
              <w:bottom w:val="single" w:sz="4" w:space="0" w:color="auto"/>
            </w:tcBorders>
          </w:tcPr>
          <w:p w14:paraId="743ECE0C" w14:textId="77777777" w:rsidR="00DA4B66" w:rsidRDefault="00000000">
            <w:pPr>
              <w:jc w:val="center"/>
            </w:pPr>
            <w:r>
              <w:rPr>
                <w:b/>
                <w:sz w:val="20"/>
              </w:rPr>
              <w:t>p value</w:t>
            </w:r>
          </w:p>
        </w:tc>
      </w:tr>
      <w:tr w:rsidR="00DA4B66" w14:paraId="71DE57A3" w14:textId="77777777" w:rsidTr="00265491">
        <w:tc>
          <w:tcPr>
            <w:tcW w:w="2909" w:type="dxa"/>
            <w:tcBorders>
              <w:top w:val="single" w:sz="4" w:space="0" w:color="auto"/>
            </w:tcBorders>
          </w:tcPr>
          <w:p w14:paraId="72D4F23C" w14:textId="77777777" w:rsidR="00DA4B66" w:rsidRDefault="00000000">
            <w:r>
              <w:rPr>
                <w:sz w:val="20"/>
              </w:rPr>
              <w:t>FEV1/FVC ratio</w:t>
            </w:r>
          </w:p>
        </w:tc>
        <w:tc>
          <w:tcPr>
            <w:tcW w:w="2256" w:type="dxa"/>
            <w:tcBorders>
              <w:top w:val="single" w:sz="4" w:space="0" w:color="auto"/>
            </w:tcBorders>
          </w:tcPr>
          <w:p w14:paraId="6E5DE23A" w14:textId="77777777" w:rsidR="00DA4B66" w:rsidRDefault="00000000">
            <w:pPr>
              <w:jc w:val="center"/>
            </w:pPr>
            <w:r>
              <w:rPr>
                <w:sz w:val="20"/>
              </w:rPr>
              <w:t>-0.184</w:t>
            </w:r>
          </w:p>
        </w:tc>
        <w:tc>
          <w:tcPr>
            <w:tcW w:w="2736" w:type="dxa"/>
            <w:tcBorders>
              <w:top w:val="single" w:sz="4" w:space="0" w:color="auto"/>
            </w:tcBorders>
          </w:tcPr>
          <w:p w14:paraId="22BCC3C8" w14:textId="77777777" w:rsidR="00DA4B66" w:rsidRDefault="00000000">
            <w:pPr>
              <w:jc w:val="center"/>
            </w:pPr>
            <w:r>
              <w:rPr>
                <w:sz w:val="20"/>
              </w:rPr>
              <w:t>-0.440 to 0.099</w:t>
            </w:r>
          </w:p>
        </w:tc>
        <w:tc>
          <w:tcPr>
            <w:tcW w:w="1738" w:type="dxa"/>
            <w:tcBorders>
              <w:top w:val="single" w:sz="4" w:space="0" w:color="auto"/>
            </w:tcBorders>
          </w:tcPr>
          <w:p w14:paraId="3EAF9B1C" w14:textId="77777777" w:rsidR="00DA4B66" w:rsidRDefault="00000000">
            <w:pPr>
              <w:jc w:val="center"/>
            </w:pPr>
            <w:r>
              <w:rPr>
                <w:sz w:val="20"/>
              </w:rPr>
              <w:t>0.201</w:t>
            </w:r>
          </w:p>
        </w:tc>
      </w:tr>
      <w:tr w:rsidR="00DA4B66" w14:paraId="69B241F4" w14:textId="77777777" w:rsidTr="00265491">
        <w:tc>
          <w:tcPr>
            <w:tcW w:w="2909" w:type="dxa"/>
          </w:tcPr>
          <w:p w14:paraId="79D4F994" w14:textId="77777777" w:rsidR="00DA4B66" w:rsidRDefault="00000000">
            <w:r>
              <w:rPr>
                <w:sz w:val="20"/>
              </w:rPr>
              <w:t>Percent-predicted FEV1</w:t>
            </w:r>
          </w:p>
        </w:tc>
        <w:tc>
          <w:tcPr>
            <w:tcW w:w="2256" w:type="dxa"/>
          </w:tcPr>
          <w:p w14:paraId="7A779C39" w14:textId="77777777" w:rsidR="00DA4B66" w:rsidRDefault="00000000">
            <w:pPr>
              <w:jc w:val="center"/>
            </w:pPr>
            <w:r>
              <w:rPr>
                <w:sz w:val="20"/>
              </w:rPr>
              <w:t>0.188</w:t>
            </w:r>
          </w:p>
        </w:tc>
        <w:tc>
          <w:tcPr>
            <w:tcW w:w="2736" w:type="dxa"/>
          </w:tcPr>
          <w:p w14:paraId="59B1217B" w14:textId="77777777" w:rsidR="00DA4B66" w:rsidRDefault="00000000">
            <w:pPr>
              <w:jc w:val="center"/>
            </w:pPr>
            <w:r>
              <w:rPr>
                <w:sz w:val="20"/>
              </w:rPr>
              <w:t>-0.095 to 0.443</w:t>
            </w:r>
          </w:p>
        </w:tc>
        <w:tc>
          <w:tcPr>
            <w:tcW w:w="1738" w:type="dxa"/>
          </w:tcPr>
          <w:p w14:paraId="7B5E3F60" w14:textId="77777777" w:rsidR="00DA4B66" w:rsidRDefault="00000000">
            <w:pPr>
              <w:jc w:val="center"/>
            </w:pPr>
            <w:r>
              <w:rPr>
                <w:sz w:val="20"/>
              </w:rPr>
              <w:t>0.190</w:t>
            </w:r>
          </w:p>
        </w:tc>
      </w:tr>
      <w:tr w:rsidR="00DA4B66" w14:paraId="270CD952" w14:textId="77777777" w:rsidTr="00265491">
        <w:tc>
          <w:tcPr>
            <w:tcW w:w="2909" w:type="dxa"/>
          </w:tcPr>
          <w:p w14:paraId="7699260C" w14:textId="77777777" w:rsidR="00DA4B66" w:rsidRDefault="00000000">
            <w:r>
              <w:rPr>
                <w:sz w:val="20"/>
              </w:rPr>
              <w:t>Percent-predicted FVC</w:t>
            </w:r>
          </w:p>
        </w:tc>
        <w:tc>
          <w:tcPr>
            <w:tcW w:w="2256" w:type="dxa"/>
          </w:tcPr>
          <w:p w14:paraId="6C559697" w14:textId="77777777" w:rsidR="00DA4B66" w:rsidRDefault="00000000">
            <w:pPr>
              <w:jc w:val="center"/>
            </w:pPr>
            <w:r>
              <w:rPr>
                <w:sz w:val="20"/>
              </w:rPr>
              <w:t>0.168</w:t>
            </w:r>
          </w:p>
        </w:tc>
        <w:tc>
          <w:tcPr>
            <w:tcW w:w="2736" w:type="dxa"/>
          </w:tcPr>
          <w:p w14:paraId="2A7EFEFD" w14:textId="77777777" w:rsidR="00DA4B66" w:rsidRDefault="00000000">
            <w:pPr>
              <w:jc w:val="center"/>
            </w:pPr>
            <w:r>
              <w:rPr>
                <w:sz w:val="20"/>
              </w:rPr>
              <w:t>-0.116 to 0.426</w:t>
            </w:r>
          </w:p>
        </w:tc>
        <w:tc>
          <w:tcPr>
            <w:tcW w:w="1738" w:type="dxa"/>
          </w:tcPr>
          <w:p w14:paraId="65090B8C" w14:textId="77777777" w:rsidR="00DA4B66" w:rsidRDefault="00000000">
            <w:pPr>
              <w:jc w:val="center"/>
            </w:pPr>
            <w:r>
              <w:rPr>
                <w:sz w:val="20"/>
              </w:rPr>
              <w:t>0.243</w:t>
            </w:r>
          </w:p>
        </w:tc>
      </w:tr>
    </w:tbl>
    <w:p w14:paraId="32F9E200" w14:textId="77777777" w:rsidR="00DA4B66" w:rsidRDefault="00000000">
      <w:pPr>
        <w:spacing w:before="40" w:after="80" w:line="240" w:lineRule="auto"/>
      </w:pPr>
      <w:r>
        <w:rPr>
          <w:sz w:val="20"/>
        </w:rPr>
        <w:t>Pearson correlation; n = 50. 95% CIs were calculated using Fisher z transformation. FEV1, forced expiratory volume in 1 second; FVC, forced vital capacity.</w:t>
      </w:r>
    </w:p>
    <w:sectPr w:rsidR="00DA4B6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DF5B1" w14:textId="77777777" w:rsidR="0014537E" w:rsidRDefault="0014537E" w:rsidP="00CA18DC">
      <w:pPr>
        <w:spacing w:after="0" w:line="240" w:lineRule="auto"/>
      </w:pPr>
      <w:r>
        <w:separator/>
      </w:r>
    </w:p>
  </w:endnote>
  <w:endnote w:type="continuationSeparator" w:id="0">
    <w:p w14:paraId="44CBCBEB" w14:textId="77777777" w:rsidR="0014537E" w:rsidRDefault="0014537E" w:rsidP="00CA1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altName w:val="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venir Lt BT">
    <w:altName w:val="Georg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CA9C9" w14:textId="77777777" w:rsidR="00DE4B4E" w:rsidRDefault="00DE4B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22A1" w14:textId="77777777" w:rsidR="00DE4B4E" w:rsidRDefault="00DE4B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A1AF" w14:textId="77777777" w:rsidR="00DE4B4E" w:rsidRDefault="00DE4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63C0" w14:textId="77777777" w:rsidR="0014537E" w:rsidRDefault="0014537E" w:rsidP="00CA18DC">
      <w:pPr>
        <w:spacing w:after="0" w:line="240" w:lineRule="auto"/>
      </w:pPr>
      <w:r>
        <w:separator/>
      </w:r>
    </w:p>
  </w:footnote>
  <w:footnote w:type="continuationSeparator" w:id="0">
    <w:p w14:paraId="755C913A" w14:textId="77777777" w:rsidR="0014537E" w:rsidRDefault="0014537E" w:rsidP="00CA1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4712" w14:textId="77777777" w:rsidR="00CA18DC" w:rsidRDefault="00000000">
    <w:pPr>
      <w:pStyle w:val="Header"/>
    </w:pPr>
    <w:r>
      <w:rPr>
        <w:noProof/>
      </w:rPr>
      <w:pict w14:anchorId="23D52B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431.8pt;height:697.2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7C86" w14:textId="77777777" w:rsidR="00CA18DC" w:rsidRDefault="00000000">
    <w:pPr>
      <w:pStyle w:val="Header"/>
    </w:pPr>
    <w:r>
      <w:rPr>
        <w:noProof/>
      </w:rPr>
      <w:pict w14:anchorId="676D14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0;margin-top:0;width:431.8pt;height:697.2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D780" w14:textId="77777777" w:rsidR="00CA18DC" w:rsidRDefault="00000000">
    <w:pPr>
      <w:pStyle w:val="Header"/>
    </w:pPr>
    <w:r>
      <w:rPr>
        <w:noProof/>
      </w:rPr>
      <w:pict w14:anchorId="572E8A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8" type="#_x0000_t75" style="position:absolute;margin-left:0;margin-top:0;width:431.8pt;height:697.2pt;z-index:-251658240;mso-position-horizontal:center;mso-position-horizontal-relative:margin;mso-position-vertical:center;mso-position-vertical-relative:margin" o:allowincell="f">
          <v:imagedata r:id="rId1" o:title="download"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3BB"/>
    <w:rsid w:val="00075270"/>
    <w:rsid w:val="00103282"/>
    <w:rsid w:val="0014537E"/>
    <w:rsid w:val="00265491"/>
    <w:rsid w:val="00351B68"/>
    <w:rsid w:val="00465EB7"/>
    <w:rsid w:val="004751D3"/>
    <w:rsid w:val="004E629D"/>
    <w:rsid w:val="00614F24"/>
    <w:rsid w:val="007329F5"/>
    <w:rsid w:val="007B33BB"/>
    <w:rsid w:val="008050B0"/>
    <w:rsid w:val="009821C1"/>
    <w:rsid w:val="00A6019A"/>
    <w:rsid w:val="00CA18DC"/>
    <w:rsid w:val="00D75A99"/>
    <w:rsid w:val="00DA4B66"/>
    <w:rsid w:val="00DE4B4E"/>
    <w:rsid w:val="00E71E74"/>
    <w:rsid w:val="00E8337C"/>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9463D"/>
  <w15:chartTrackingRefBased/>
  <w15:docId w15:val="{5057A391-6C5D-4B43-8BEE-994C5920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rPr>
  </w:style>
  <w:style w:type="paragraph" w:styleId="Heading3">
    <w:name w:val="heading 3"/>
    <w:basedOn w:val="Normal"/>
    <w:next w:val="Normal"/>
    <w:link w:val="Heading3Char"/>
    <w:uiPriority w:val="9"/>
    <w:unhideWhenUsed/>
    <w:qFormat/>
    <w:rsid w:val="007B33B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7B33BB"/>
    <w:pPr>
      <w:spacing w:before="100" w:beforeAutospacing="1" w:after="100" w:afterAutospacing="1" w:line="240" w:lineRule="auto"/>
      <w:ind w:firstLine="216"/>
    </w:pPr>
    <w:rPr>
      <w:rFonts w:ascii="Souvenir Lt BT" w:eastAsia="Times New Roman" w:hAnsi="Souvenir Lt BT" w:cs="Times New Roman"/>
      <w:szCs w:val="24"/>
      <w:lang w:val="en-GB"/>
    </w:rPr>
  </w:style>
  <w:style w:type="character" w:styleId="CommentReference">
    <w:name w:val="annotation reference"/>
    <w:semiHidden/>
    <w:rsid w:val="007B33BB"/>
    <w:rPr>
      <w:sz w:val="16"/>
      <w:szCs w:val="16"/>
    </w:rPr>
  </w:style>
  <w:style w:type="paragraph" w:styleId="CommentText">
    <w:name w:val="annotation text"/>
    <w:basedOn w:val="Normal"/>
    <w:link w:val="CommentTextChar"/>
    <w:semiHidden/>
    <w:rsid w:val="007B33BB"/>
    <w:pPr>
      <w:spacing w:after="0" w:line="240" w:lineRule="auto"/>
    </w:pPr>
    <w:rPr>
      <w:rFonts w:ascii="Times New Roman" w:eastAsia="Times New Roman" w:hAnsi="Times New Roman" w:cs="Times New Roman"/>
      <w:sz w:val="20"/>
      <w:szCs w:val="20"/>
      <w:lang w:val="en-GB"/>
    </w:rPr>
  </w:style>
  <w:style w:type="character" w:customStyle="1" w:styleId="CommentTextChar">
    <w:name w:val="Comment Text Char"/>
    <w:basedOn w:val="DefaultParagraphFont"/>
    <w:link w:val="CommentText"/>
    <w:semiHidden/>
    <w:rsid w:val="007B33BB"/>
    <w:rPr>
      <w:rFonts w:ascii="Times New Roman" w:eastAsia="Times New Roman" w:hAnsi="Times New Roman" w:cs="Times New Roman"/>
      <w:sz w:val="20"/>
      <w:szCs w:val="20"/>
      <w:lang w:val="en-GB"/>
    </w:rPr>
  </w:style>
  <w:style w:type="character" w:customStyle="1" w:styleId="Heading3Char">
    <w:name w:val="Heading 3 Char"/>
    <w:basedOn w:val="DefaultParagraphFont"/>
    <w:link w:val="Heading3"/>
    <w:uiPriority w:val="9"/>
    <w:rsid w:val="007B33B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A1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8DC"/>
  </w:style>
  <w:style w:type="paragraph" w:styleId="Footer">
    <w:name w:val="footer"/>
    <w:basedOn w:val="Normal"/>
    <w:link w:val="FooterChar"/>
    <w:uiPriority w:val="99"/>
    <w:unhideWhenUsed/>
    <w:rsid w:val="00CA1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8DC"/>
  </w:style>
  <w:style w:type="table" w:styleId="TableGrid">
    <w:name w:val="Table Grid"/>
    <w:basedOn w:val="TableNormal"/>
    <w:uiPriority w:val="39"/>
    <w:rsid w:val="00732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2565</Words>
  <Characters>14624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Association between End-Expiratory Right Diaphragm Thickness and Spirometric Indices in Stable Chronic Obstructive Pulmonary Disease: A Cross-Sectional Study</vt:lpstr>
    </vt:vector>
  </TitlesOfParts>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End-Expiratory Right Diaphragm Thickness and Spirometric Indices in Stable Chronic Obstructive Pulmonary Disease: A Cross-Sectional Study</dc:title>
  <dc:subject>Original Research Article</dc:subject>
  <dc:creator/>
  <cp:keywords/>
  <dc:description/>
  <cp:lastModifiedBy>.</cp:lastModifiedBy>
  <cp:revision>11</cp:revision>
  <dcterms:created xsi:type="dcterms:W3CDTF">2022-08-29T08:43:00Z</dcterms:created>
  <dcterms:modified xsi:type="dcterms:W3CDTF">2026-06-24T01:33:00Z</dcterms:modified>
</cp:coreProperties>
</file>