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40318" w14:textId="060BE13C" w:rsidR="00451960" w:rsidRPr="002F3EC5" w:rsidRDefault="00725E09" w:rsidP="002F3EC5">
      <w:pPr>
        <w:jc w:val="center"/>
        <w:rPr>
          <w:b/>
          <w:bCs/>
        </w:rPr>
      </w:pPr>
      <w:r w:rsidRPr="002F3EC5">
        <w:rPr>
          <w:b/>
          <w:bCs/>
        </w:rPr>
        <w:t>ETHNOBOTANICAL DIVERSITY OF MEDICINAL PLANTS USED IN POSTPARTUM CARE AMONG ETHNIC COMMUNITIES IN INDONESIA: A SYSTEMATIC REVIEW AND META-ANALYSIS</w:t>
      </w:r>
    </w:p>
    <w:p w14:paraId="3FD24195" w14:textId="77777777" w:rsidR="00725E09" w:rsidRDefault="00725E09"/>
    <w:p w14:paraId="1353BC9C" w14:textId="638A31B1" w:rsidR="00E45F62" w:rsidRPr="00E45F62" w:rsidRDefault="00E45F62" w:rsidP="00E45F62">
      <w:pPr>
        <w:jc w:val="center"/>
        <w:rPr>
          <w:b/>
          <w:bCs/>
        </w:rPr>
      </w:pPr>
      <w:r w:rsidRPr="00E45F62">
        <w:rPr>
          <w:b/>
          <w:bCs/>
        </w:rPr>
        <w:t>ABSTRA</w:t>
      </w:r>
      <w:r w:rsidR="00357572">
        <w:rPr>
          <w:b/>
          <w:bCs/>
        </w:rPr>
        <w:t>CT</w:t>
      </w:r>
    </w:p>
    <w:p w14:paraId="357DAB77" w14:textId="621F2406" w:rsidR="00994EB3" w:rsidRPr="00994EB3" w:rsidRDefault="0043434C" w:rsidP="0043434C">
      <w:pPr>
        <w:jc w:val="both"/>
      </w:pPr>
      <w:r w:rsidRPr="0043434C">
        <w:t xml:space="preserve">Plant-based postpartum maternal care remains an integral part of the health knowledge of various communities in Indonesia; however, the ethnobotanical evidence is dispersed and reported using heterogeneous methods. This study aimed to harmonize plant taxonomy, map patterns of plant use during the postpartum period, and exploratorily evaluate the representation of </w:t>
      </w:r>
      <w:proofErr w:type="spellStart"/>
      <w:r w:rsidRPr="0043434C">
        <w:t>Zingiberaceae</w:t>
      </w:r>
      <w:proofErr w:type="spellEnd"/>
      <w:r w:rsidRPr="0043434C">
        <w:t xml:space="preserve"> in article-level inventories. A quantitative systematic review supplemented by a post hoc exploratory meta-analysis using a random-effects model was conducted. A total of 23 articles were included in the review, comprising 17 postpartum-specific articles for the primary analysis, four articles with separable postpartum data for the sensitivity analysis, and two articles containing combined maternal data for the narrative synthesis. The quantitative unit of analysis was the article-level floristic composition, defined as the proportion of </w:t>
      </w:r>
      <w:proofErr w:type="spellStart"/>
      <w:r w:rsidRPr="0043434C">
        <w:t>Zingiberaceae</w:t>
      </w:r>
      <w:proofErr w:type="spellEnd"/>
      <w:r w:rsidRPr="0043434C">
        <w:t xml:space="preserve"> species among all postpartum medicinal plant species reported in each inventory, rather than the prevalence of plant use among postpartum women. The primary analysis yielded a model-based mean estimate of 23.2% (95% CI: 16.7%–31.3%; 95% prediction interval: 6.8%–55.7%; I² = 65.6%). The sensitivity analysis of 21 articles produced an estimate of 21.3% (95% CI: 15.5%–28.6%; 95% prediction interval: 6.4%–51.9%; I² = 64.2%). The wide prediction intervals indicated substantial variation across articles. </w:t>
      </w:r>
      <w:proofErr w:type="spellStart"/>
      <w:r w:rsidRPr="0043434C">
        <w:t>Zingiberaceae</w:t>
      </w:r>
      <w:proofErr w:type="spellEnd"/>
      <w:r w:rsidRPr="0043434C">
        <w:t xml:space="preserve"> was frequently represented in the included inventories; however, these findings do not indicate national prevalence, effectiveness, safety, or the highest cultural importance. Geographic imbalance and methodological variation limit the generalizability of the findings. Standardized field studies, voucher specimen-based taxonomic verification, and toxicological and safety evaluations among breastfeeding mothers are required.</w:t>
      </w:r>
    </w:p>
    <w:p w14:paraId="3127D14B" w14:textId="0CBF138F" w:rsidR="00994EB3" w:rsidRPr="00994EB3" w:rsidRDefault="00357572" w:rsidP="00C3346E">
      <w:pPr>
        <w:jc w:val="both"/>
      </w:pPr>
      <w:r>
        <w:rPr>
          <w:b/>
          <w:bCs/>
        </w:rPr>
        <w:t>Keywords</w:t>
      </w:r>
      <w:r w:rsidR="00994EB3" w:rsidRPr="00994EB3">
        <w:rPr>
          <w:b/>
          <w:bCs/>
        </w:rPr>
        <w:t>:</w:t>
      </w:r>
      <w:r w:rsidR="00994EB3" w:rsidRPr="00994EB3">
        <w:t xml:space="preserve"> </w:t>
      </w:r>
      <w:r w:rsidR="00C3346E" w:rsidRPr="00C3346E">
        <w:t xml:space="preserve">ethnobotany, postpartum period, medicinal plants, ethnic communities, </w:t>
      </w:r>
      <w:proofErr w:type="spellStart"/>
      <w:r w:rsidR="00C3346E" w:rsidRPr="00C3346E">
        <w:t>Zingiberaceae</w:t>
      </w:r>
      <w:proofErr w:type="spellEnd"/>
      <w:r w:rsidR="00C3346E" w:rsidRPr="00C3346E">
        <w:t>, Indonesia</w:t>
      </w:r>
      <w:r w:rsidR="00994EB3" w:rsidRPr="00994EB3">
        <w:t>.</w:t>
      </w:r>
    </w:p>
    <w:p w14:paraId="31BABE18" w14:textId="77777777" w:rsidR="00E45F62" w:rsidRDefault="00E45F62"/>
    <w:p w14:paraId="404A58BA" w14:textId="0531FC08" w:rsidR="00C96791" w:rsidRPr="00C96791" w:rsidRDefault="00950A81" w:rsidP="00C96791">
      <w:pPr>
        <w:rPr>
          <w:b/>
          <w:bCs/>
        </w:rPr>
      </w:pPr>
      <w:r>
        <w:rPr>
          <w:b/>
          <w:bCs/>
        </w:rPr>
        <w:t>INTRODUCTION</w:t>
      </w:r>
    </w:p>
    <w:p w14:paraId="2932060E" w14:textId="593A8808" w:rsidR="004F3B80" w:rsidRPr="004F3B80" w:rsidRDefault="004F3B80" w:rsidP="004F3B80">
      <w:pPr>
        <w:ind w:firstLine="709"/>
        <w:jc w:val="both"/>
        <w:rPr>
          <w:lang w:val="en-ID"/>
        </w:rPr>
      </w:pPr>
      <w:r w:rsidRPr="004F3B80">
        <w:rPr>
          <w:lang w:val="en-ID"/>
        </w:rPr>
        <w:t xml:space="preserve">The postpartum period is a stage of recovery following childbirth that generally lasts for six weeks. This period requires continuous monitoring because physiological changes, the breastfeeding process, and the risks of </w:t>
      </w:r>
      <w:proofErr w:type="spellStart"/>
      <w:r w:rsidRPr="004F3B80">
        <w:rPr>
          <w:lang w:val="en-ID"/>
        </w:rPr>
        <w:t>hemorrhage</w:t>
      </w:r>
      <w:proofErr w:type="spellEnd"/>
      <w:r w:rsidRPr="004F3B80">
        <w:rPr>
          <w:lang w:val="en-ID"/>
        </w:rPr>
        <w:t xml:space="preserve">, infection, hypertension, and other health complications may persist after the mother has left the childbirth facility. The first six weeks after delivery are regarded as a critical period for maternal and infant health, necessitating scheduled and continuous postnatal contacts </w:t>
      </w:r>
      <w:r w:rsidR="008023E8">
        <w:rPr>
          <w:lang w:val="en-ID"/>
        </w:rPr>
        <w:fldChar w:fldCharType="begin" w:fldLock="1"/>
      </w:r>
      <w:r w:rsidR="008023E8">
        <w:rPr>
          <w:lang w:val="en-ID"/>
        </w:rPr>
        <w:instrText>ADDIN CSL_CITATION {"citationItems":[{"id":"ITEM-1","itemData":{"author":[{"dropping-particle":"","family":"World Health Organization","given":"","non-dropping-particle":"","parse-names":false,"suffix":""}],"id":"ITEM-1","issued":{"date-parts":[["2022"]]},"publisher":"World Health Organization","title":"WHO Recommendations on Maternal and Newborn Care for a Positive Postnatal Experience","type":"book"},"uris":["http://www.mendeley.com/documents/?uuid=683e2aff-7ce9-4c86-b788-72dccd373239"]}],"mendeley":{"formattedCitation":"(World Health Organization, 2022)","plainTextFormattedCitation":"(World Health Organization, 2022)","previouslyFormattedCitation":"(World Health Organization, 2022)"},"properties":{"noteIndex":0},"schema":"https://github.com/citation-style-language/schema/raw/master/csl-citation.json"}</w:instrText>
      </w:r>
      <w:r w:rsidR="008023E8">
        <w:rPr>
          <w:lang w:val="en-ID"/>
        </w:rPr>
        <w:fldChar w:fldCharType="separate"/>
      </w:r>
      <w:r w:rsidR="008023E8" w:rsidRPr="008023E8">
        <w:rPr>
          <w:noProof/>
          <w:lang w:val="en-ID"/>
        </w:rPr>
        <w:t>(World Health Organization, 2022)</w:t>
      </w:r>
      <w:r w:rsidR="008023E8">
        <w:rPr>
          <w:lang w:val="en-ID"/>
        </w:rPr>
        <w:fldChar w:fldCharType="end"/>
      </w:r>
      <w:r w:rsidRPr="004F3B80">
        <w:rPr>
          <w:lang w:val="en-ID"/>
        </w:rPr>
        <w:t xml:space="preserve">. The urgency of postpartum care remains high in Indonesia, where the maternal mortality ratio is recorded at 189 deaths per 100,000 live births, while the Sustainable Development Goals establish a target of fewer than 70 deaths per 100,000 live births by 2030 </w:t>
      </w:r>
      <w:r w:rsidR="008023E8">
        <w:rPr>
          <w:lang w:val="en-ID"/>
        </w:rPr>
        <w:fldChar w:fldCharType="begin" w:fldLock="1"/>
      </w:r>
      <w:r w:rsidR="00681955">
        <w:rPr>
          <w:lang w:val="en-ID"/>
        </w:rPr>
        <w:instrText>ADDIN CSL_CITATION {"citationItems":[{"id":"ITEM-1","itemData":{"author":[{"dropping-particle":"","family":"Kementerian Kesehatan Republik Indonesia","given":"","non-dropping-particle":"","parse-names":false,"suffix":""}],"id":"ITEM-1","issued":{"date-parts":[["2024"]]},"title":"Laporan Kinerja Kementerian Kesehatan Tahun 2023","type":"report"},"uris":["http://www.mendeley.com/documents/?uuid=5fd36f60-541d-4401-b1d5-5805c89f841c"]}],"mendeley":{"formattedCitation":"(Kementerian Kesehatan Republik Indonesia, 2024)","plainTextFormattedCitation":"(Kementerian Kesehatan Republik Indonesia, 2024)","previouslyFormattedCitation":"(Kementerian Kesehatan Republik Indonesia, 2024)"},"properties":{"noteIndex":0},"schema":"https://github.com/citation-style-language/schema/raw/master/csl-citation.json"}</w:instrText>
      </w:r>
      <w:r w:rsidR="008023E8">
        <w:rPr>
          <w:lang w:val="en-ID"/>
        </w:rPr>
        <w:fldChar w:fldCharType="separate"/>
      </w:r>
      <w:r w:rsidR="008023E8" w:rsidRPr="008023E8">
        <w:rPr>
          <w:noProof/>
          <w:lang w:val="en-ID"/>
        </w:rPr>
        <w:t>(Kementerian Kesehatan Republik Indonesia, 2024)</w:t>
      </w:r>
      <w:r w:rsidR="008023E8">
        <w:rPr>
          <w:lang w:val="en-ID"/>
        </w:rPr>
        <w:fldChar w:fldCharType="end"/>
      </w:r>
      <w:r w:rsidRPr="004F3B80">
        <w:rPr>
          <w:lang w:val="en-ID"/>
        </w:rPr>
        <w:t xml:space="preserve">. Approximately 4,150 maternal deaths were also reported in 2024, with the leading causes including non-obstetric complications, hypertension during pregnancy, childbirth, and the postpartum period, as well as obstetric </w:t>
      </w:r>
      <w:proofErr w:type="spellStart"/>
      <w:r w:rsidRPr="004F3B80">
        <w:rPr>
          <w:lang w:val="en-ID"/>
        </w:rPr>
        <w:t>hemorrhage</w:t>
      </w:r>
      <w:proofErr w:type="spellEnd"/>
      <w:r w:rsidRPr="004F3B80">
        <w:rPr>
          <w:lang w:val="en-ID"/>
        </w:rPr>
        <w:t xml:space="preserve"> </w:t>
      </w:r>
      <w:r w:rsidR="00681955">
        <w:rPr>
          <w:lang w:val="en-ID"/>
        </w:rPr>
        <w:fldChar w:fldCharType="begin" w:fldLock="1"/>
      </w:r>
      <w:r w:rsidR="00466880">
        <w:rPr>
          <w:lang w:val="en-ID"/>
        </w:rPr>
        <w:instrText>ADDIN CSL_CITATION {"citationItems":[{"id":"ITEM-1","itemData":{"author":[{"dropping-particle":"","family":"Kementerian Kesehatan Republik Indonesia","given":"","non-dropping-particle":"","parse-names":false,"suffix":""}],"id":"ITEM-1","issued":{"date-parts":[["2025"]]},"title":"Profil Kesehatan Indonesia 2024","type":"report"},"uris":["http://www.mendeley.com/documents/?uuid=b1b4fc7b-33a9-455a-a5ca-8b35a4bc7a14"]}],"mendeley":{"formattedCitation":"(Kementerian Kesehatan Republik Indonesia, 2025)","plainTextFormattedCitation":"(Kementerian Kesehatan Republik Indonesia, 2025)","previouslyFormattedCitation":"(Kementerian Kesehatan Republik Indonesia, 2025)"},"properties":{"noteIndex":0},"schema":"https://github.com/citation-style-language/schema/raw/master/csl-citation.json"}</w:instrText>
      </w:r>
      <w:r w:rsidR="00681955">
        <w:rPr>
          <w:lang w:val="en-ID"/>
        </w:rPr>
        <w:fldChar w:fldCharType="separate"/>
      </w:r>
      <w:r w:rsidR="00681955" w:rsidRPr="00681955">
        <w:rPr>
          <w:noProof/>
          <w:lang w:val="en-ID"/>
        </w:rPr>
        <w:t>(Kementerian Kesehatan Republik Indonesia, 2025)</w:t>
      </w:r>
      <w:r w:rsidR="00681955">
        <w:rPr>
          <w:lang w:val="en-ID"/>
        </w:rPr>
        <w:fldChar w:fldCharType="end"/>
      </w:r>
      <w:r w:rsidRPr="004F3B80">
        <w:rPr>
          <w:lang w:val="en-ID"/>
        </w:rPr>
        <w:t>. These conditions underscore the importance of postpartum care that is safe, accessible, socially acceptable, and attentive to health practices maintained within families.</w:t>
      </w:r>
    </w:p>
    <w:p w14:paraId="7F1F0101" w14:textId="6F7197E2" w:rsidR="004F3B80" w:rsidRPr="004F3B80" w:rsidRDefault="004F3B80" w:rsidP="004F3B80">
      <w:pPr>
        <w:ind w:firstLine="709"/>
        <w:jc w:val="both"/>
        <w:rPr>
          <w:lang w:val="en-ID"/>
        </w:rPr>
      </w:pPr>
      <w:r w:rsidRPr="004F3B80">
        <w:rPr>
          <w:lang w:val="en-ID"/>
        </w:rPr>
        <w:lastRenderedPageBreak/>
        <w:t xml:space="preserve">One practice that remains deeply embedded in postpartum care across various Indonesian communities is the use of medicinal plants. Indonesia’s biodiversity, estimated to comprise approximately 30,000 plant species, provides extensive resources for the development of traditional medicine </w:t>
      </w:r>
      <w:r w:rsidR="00FA7A98">
        <w:rPr>
          <w:lang w:val="en-ID"/>
        </w:rPr>
        <w:fldChar w:fldCharType="begin" w:fldLock="1"/>
      </w:r>
      <w:r w:rsidR="005A3945">
        <w:rPr>
          <w:lang w:val="en-ID"/>
        </w:rPr>
        <w:instrText>ADDIN CSL_CITATION {"citationItems":[{"id":"ITEM-1","itemData":{"author":[{"dropping-particle":"","family":"Badan Riset dan Inovasi Nasional","given":"","non-dropping-particle":"","parse-names":false,"suffix":""}],"id":"ITEM-1","issued":{"date-parts":[["2024","2"]]},"note":"Accessed 27 July 2026","title":"Indonesia has 30,000 plant species and marine resources for herbal medicine","type":"article"},"uris":["http://www.mendeley.com/documents/?uuid=bd93d998-37a2-446e-8950-d452ed6eb5c2"]}],"mendeley":{"formattedCitation":"(Badan Riset dan Inovasi Nasional, 2024)","plainTextFormattedCitation":"(Badan Riset dan Inovasi Nasional, 2024)","previouslyFormattedCitation":"(Badan Riset dan Inovasi Nasional, 2024)"},"properties":{"noteIndex":0},"schema":"https://github.com/citation-style-language/schema/raw/master/csl-citation.json"}</w:instrText>
      </w:r>
      <w:r w:rsidR="00FA7A98">
        <w:rPr>
          <w:lang w:val="en-ID"/>
        </w:rPr>
        <w:fldChar w:fldCharType="separate"/>
      </w:r>
      <w:r w:rsidR="00FA7A98" w:rsidRPr="00FA7A98">
        <w:rPr>
          <w:noProof/>
          <w:lang w:val="en-ID"/>
        </w:rPr>
        <w:t>(Badan Riset dan Inovasi Nasional, 2024)</w:t>
      </w:r>
      <w:r w:rsidR="00FA7A98">
        <w:rPr>
          <w:lang w:val="en-ID"/>
        </w:rPr>
        <w:fldChar w:fldCharType="end"/>
      </w:r>
      <w:r w:rsidRPr="004F3B80">
        <w:rPr>
          <w:lang w:val="en-ID"/>
        </w:rPr>
        <w:t xml:space="preserve">. This practice is also associated with the healthy culture of </w:t>
      </w:r>
      <w:r w:rsidRPr="004F3B80">
        <w:rPr>
          <w:i/>
          <w:iCs/>
          <w:lang w:val="en-ID"/>
        </w:rPr>
        <w:t>jamu</w:t>
      </w:r>
      <w:r w:rsidRPr="004F3B80">
        <w:rPr>
          <w:lang w:val="en-ID"/>
        </w:rPr>
        <w:t xml:space="preserve">, which has been recognized as an intangible cultural heritage of humanity </w:t>
      </w:r>
      <w:r w:rsidR="00466880">
        <w:rPr>
          <w:lang w:val="en-ID"/>
        </w:rPr>
        <w:fldChar w:fldCharType="begin" w:fldLock="1"/>
      </w:r>
      <w:r w:rsidR="00FA7A98">
        <w:rPr>
          <w:lang w:val="en-ID"/>
        </w:rPr>
        <w:instrText>ADDIN CSL_CITATION {"citationItems":[{"id":"ITEM-1","itemData":{"author":[{"dropping-particle":"","family":"UNESCO","given":"","non-dropping-particle":"","parse-names":false,"suffix":""}],"id":"ITEM-1","issued":{"date-parts":[["2023"]]},"note":"Accessed 27 July 2026","title":"Jamu Wellness Culture","type":"article"},"uris":["http://www.mendeley.com/documents/?uuid=77501942-d8e9-4f8d-b56d-226483cdfe5b"]}],"mendeley":{"formattedCitation":"(UNESCO, 2023)","plainTextFormattedCitation":"(UNESCO, 2023)","previouslyFormattedCitation":"(UNESCO, 2023)"},"properties":{"noteIndex":0},"schema":"https://github.com/citation-style-language/schema/raw/master/csl-citation.json"}</w:instrText>
      </w:r>
      <w:r w:rsidR="00466880">
        <w:rPr>
          <w:lang w:val="en-ID"/>
        </w:rPr>
        <w:fldChar w:fldCharType="separate"/>
      </w:r>
      <w:r w:rsidR="00466880" w:rsidRPr="00466880">
        <w:rPr>
          <w:noProof/>
          <w:lang w:val="en-ID"/>
        </w:rPr>
        <w:t>(UNESCO, 2023)</w:t>
      </w:r>
      <w:r w:rsidR="00466880">
        <w:rPr>
          <w:lang w:val="en-ID"/>
        </w:rPr>
        <w:fldChar w:fldCharType="end"/>
      </w:r>
      <w:r w:rsidRPr="004F3B80">
        <w:rPr>
          <w:lang w:val="en-ID"/>
        </w:rPr>
        <w:t>. In postpartum care, plants may be consumed as herbal preparations, used for bathing, applied topically to the body, prepared as compresses or steam treatments, and combined with other ingredients according to local knowledge. Their use is intended to support the restoration of physical strength, promote breast milk production, care for the reproductive organs, relieve pain, maintain personal hygiene, and improve comfort. Nevertheless, ethnobotanical documentation of traditional use must be distinguished from evidence of clinical effectiveness and safety. A plant’s frequent citation cannot be directly interpreted as evidence that it is effective or safe without pharmacological, toxicological, and clinical evaluation.</w:t>
      </w:r>
    </w:p>
    <w:p w14:paraId="63766CDC" w14:textId="70710805" w:rsidR="004F3B80" w:rsidRPr="004F3B80" w:rsidRDefault="004F3B80" w:rsidP="004F3B80">
      <w:pPr>
        <w:ind w:firstLine="709"/>
        <w:jc w:val="both"/>
        <w:rPr>
          <w:lang w:val="en-ID"/>
        </w:rPr>
      </w:pPr>
      <w:r w:rsidRPr="004F3B80">
        <w:rPr>
          <w:lang w:val="en-ID"/>
        </w:rPr>
        <w:t xml:space="preserve">Evidence concerning medicinal plants used for postpartum care in Indonesia remains fragmented according to geographical region, ethnic community, type of informant, data collection method, and the scope of the practices investigated. Studies conducted in North Sumatra, West Kalimantan, and Riau demonstrate that the number and composition of identified plants are strongly influenced by cultural context, the unit used to record herbal preparations, and the definition of maternal care applied in each study </w:t>
      </w:r>
      <w:r w:rsidR="005A3945">
        <w:rPr>
          <w:lang w:val="en-ID"/>
        </w:rPr>
        <w:fldChar w:fldCharType="begin" w:fldLock="1"/>
      </w:r>
      <w:r w:rsidR="005A3945">
        <w:rPr>
          <w:lang w:val="en-ID"/>
        </w:rPr>
        <w:instrText>ADDIN CSL_CITATION {"citationItems":[{"id":"ITEM-1","itemData":{"author":[{"dropping-particle":"","family":"Damanik","given":"J E F","non-dropping-particle":"","parse-names":false,"suffix":""}],"id":"ITEM-1","issued":{"date-parts":[["2021"]]},"note":"Repositori Universitas Medan Area","publisher":"Universitas Medan Area","title":"Kajian etnobotani ramuan herbal untuk perawatan pasca melahirkan pada masyarakat etnis Simalungun di Sumatera Utara","type":"thesis"},"uris":["http://www.mendeley.com/documents/?uuid=bd9f6847-a2fb-415c-8d28-a09afdd45b96"]},{"id":"ITEM-2","itemData":{"DOI":"10.30870/biodidaktika.v16i1.10805","author":[{"dropping-particle":"","family":"Pradita","given":"S","non-dropping-particle":"","parse-names":false,"suffix":""},{"dropping-particle":"","family":"Mariani","given":"Y","non-dropping-particle":"","parse-names":false,"suffix":""},{"dropping-particle":"","family":"Wardenaar","given":"E","non-dropping-particle":"","parse-names":false,"suffix":""},{"dropping-particle":"","family":"Yusro","given":"F","non-dropping-particle":"","parse-names":false,"suffix":""}],"container-title":"Biodidaktika: Jurnal Biologi dan Pembelajarannya","id":"ITEM-2","issue":"1","issued":{"date-parts":[["2021"]]},"page":"93-110","title":"Pemanfaatan tumbuhan obat oleh Suku Dayak Paus dan Melayu untuk perawatan ibu dan anak pasca persalinan di Desa Pengadang Kabupaten Sanggau Kalimantan Barat","type":"article-journal","volume":"16"},"uris":["http://www.mendeley.com/documents/?uuid=83626c9f-70b1-4b90-8cdd-ccea15b60e0a"]},{"id":"ITEM-3","itemData":{"DOI":"10.13057/biodiv/d220613","author":[{"dropping-particle":"","family":"Susandarini","given":"R","non-dropping-particle":"","parse-names":false,"suffix":""},{"dropping-particle":"","family":"Khasanah","given":"U","non-dropping-particle":"","parse-names":false,"suffix":""},{"dropping-particle":"","family":"Rosalia","given":"N","non-dropping-particle":"","parse-names":false,"suffix":""}],"container-title":"Biodiversitas","id":"ITEM-3","issue":"6","issued":{"date-parts":[["2021"]]},"page":"3111-3120","title":"Ethnobotanical study of plants used as food and for maternal health care by the Malay communities in Kampar Kiri Hulu, Riau, Indonesia","type":"article-journal","volume":"22"},"uris":["http://www.mendeley.com/documents/?uuid=ed7dff3a-d135-4d5e-be4e-6d2e5ca4ef5e"]}],"mendeley":{"formattedCitation":"(Damanik, 2021; Pradita et al., 2021; Susandarini et al., 2021)","plainTextFormattedCitation":"(Damanik, 2021; Pradita et al., 2021; Susandarini et al., 2021)","previouslyFormattedCitation":"(Damanik, 2021; Pradita et al., 2021; Susandarini et al., 2021)"},"properties":{"noteIndex":0},"schema":"https://github.com/citation-style-language/schema/raw/master/csl-citation.json"}</w:instrText>
      </w:r>
      <w:r w:rsidR="005A3945">
        <w:rPr>
          <w:lang w:val="en-ID"/>
        </w:rPr>
        <w:fldChar w:fldCharType="separate"/>
      </w:r>
      <w:r w:rsidR="005A3945" w:rsidRPr="005A3945">
        <w:rPr>
          <w:noProof/>
          <w:lang w:val="en-ID"/>
        </w:rPr>
        <w:t>(Damanik, 2021; Pradita et al., 2021; Susandarini et al., 2021)</w:t>
      </w:r>
      <w:r w:rsidR="005A3945">
        <w:rPr>
          <w:lang w:val="en-ID"/>
        </w:rPr>
        <w:fldChar w:fldCharType="end"/>
      </w:r>
      <w:r w:rsidRPr="004F3B80">
        <w:rPr>
          <w:lang w:val="en-ID"/>
        </w:rPr>
        <w:t xml:space="preserve">. Similar variations have been reported in studies from </w:t>
      </w:r>
      <w:proofErr w:type="spellStart"/>
      <w:r w:rsidRPr="004F3B80">
        <w:rPr>
          <w:lang w:val="en-ID"/>
        </w:rPr>
        <w:t>Subulussalam</w:t>
      </w:r>
      <w:proofErr w:type="spellEnd"/>
      <w:r w:rsidRPr="004F3B80">
        <w:rPr>
          <w:lang w:val="en-ID"/>
        </w:rPr>
        <w:t xml:space="preserve"> and Central Buton, including differences in the number of species, plant parts, forms of preparation, and duration of use after childbirth </w:t>
      </w:r>
      <w:r w:rsidR="005A3945">
        <w:rPr>
          <w:lang w:val="en-ID"/>
        </w:rPr>
        <w:fldChar w:fldCharType="begin" w:fldLock="1"/>
      </w:r>
      <w:r w:rsidR="005A3945">
        <w:rPr>
          <w:lang w:val="en-ID"/>
        </w:rPr>
        <w:instrText>ADDIN CSL_CITATION {"citationItems":[{"id":"ITEM-1","itemData":{"DOI":"10.30743/best.v6i1.6568","author":[{"dropping-particle":"","family":"Jubaidah","given":"","non-dropping-particle":"","parse-names":false,"suffix":""},{"dropping-particle":"","family":"Setyoko","given":"","non-dropping-particle":"","parse-names":false,"suffix":""},{"dropping-particle":"","family":"Sarjani","given":"T M","non-dropping-particle":"","parse-names":false,"suffix":""}],"container-title":"BEST Journal: Biology Education, Sains and Technology","id":"ITEM-1","issue":"1","issued":{"date-parts":[["2023"]]},"page":"190-196","title":"Etnobotani tumbuhan obat pasca melahirkan oleh khutbiah di Kecamatan Sultan Daulat Kota Subulussalam","type":"article-journal","volume":"6"},"uris":["http://www.mendeley.com/documents/?uuid=6814451f-7eb5-4e78-be9c-88d3a4d202f4"]},{"id":"ITEM-2","itemData":{"DOI":"10.29303/jbt.v23i3.5015","author":[{"dropping-particle":"","family":"Hasriani","given":"","non-dropping-particle":"","parse-names":false,"suffix":""},{"dropping-particle":"","family":"Andarias","given":"S H","non-dropping-particle":"","parse-names":false,"suffix":""},{"dropping-particle":"","family":"Slamet","given":"A","non-dropping-particle":"","parse-names":false,"suffix":""}],"container-title":"Jurnal Biologi Tropis","id":"ITEM-2","issue":"3","issued":{"date-parts":[["2023"]]},"page":"136-142","title":"Utilization of plants in postpartum maternal care in Watulea Village, Central Buton Regency","type":"article-journal","volume":"23"},"uris":["http://www.mendeley.com/documents/?uuid=35909a41-cb55-4f4c-a5d9-d0e54f35452a"]}],"mendeley":{"formattedCitation":"(Hasriani et al., 2023; Jubaidah et al., 2023)","plainTextFormattedCitation":"(Hasriani et al., 2023; Jubaidah et al., 2023)","previouslyFormattedCitation":"(Hasriani et al., 2023; Jubaidah et al., 2023)"},"properties":{"noteIndex":0},"schema":"https://github.com/citation-style-language/schema/raw/master/csl-citation.json"}</w:instrText>
      </w:r>
      <w:r w:rsidR="005A3945">
        <w:rPr>
          <w:lang w:val="en-ID"/>
        </w:rPr>
        <w:fldChar w:fldCharType="separate"/>
      </w:r>
      <w:r w:rsidR="005A3945" w:rsidRPr="005A3945">
        <w:rPr>
          <w:noProof/>
          <w:lang w:val="en-ID"/>
        </w:rPr>
        <w:t>(Hasriani et al., 2023; Jubaidah et al., 2023)</w:t>
      </w:r>
      <w:r w:rsidR="005A3945">
        <w:rPr>
          <w:lang w:val="en-ID"/>
        </w:rPr>
        <w:fldChar w:fldCharType="end"/>
      </w:r>
      <w:r w:rsidRPr="004F3B80">
        <w:rPr>
          <w:lang w:val="en-ID"/>
        </w:rPr>
        <w:t xml:space="preserve">. Differences in sample size and data collection intensity also mean that the number of species reported across studies cannot be directly compared, as illustrated by studies involving the Dayak </w:t>
      </w:r>
      <w:proofErr w:type="spellStart"/>
      <w:r w:rsidRPr="004F3B80">
        <w:rPr>
          <w:lang w:val="en-ID"/>
        </w:rPr>
        <w:t>Bakumpai</w:t>
      </w:r>
      <w:proofErr w:type="spellEnd"/>
      <w:r w:rsidRPr="004F3B80">
        <w:rPr>
          <w:lang w:val="en-ID"/>
        </w:rPr>
        <w:t xml:space="preserve"> and Dayak Kalis communities </w:t>
      </w:r>
      <w:r w:rsidR="005A3945">
        <w:rPr>
          <w:lang w:val="en-ID"/>
        </w:rPr>
        <w:fldChar w:fldCharType="begin" w:fldLock="1"/>
      </w:r>
      <w:r w:rsidR="005A3945">
        <w:rPr>
          <w:lang w:val="en-ID"/>
        </w:rPr>
        <w:instrText>ADDIN CSL_CITATION {"citationItems":[{"id":"ITEM-1","itemData":{"DOI":"10.13057/biodiv/d260637","author":[{"dropping-particle":"","family":"Hujjatusnaini","given":"N","non-dropping-particle":"","parse-names":false,"suffix":""},{"dropping-particle":"","family":"Fitri","given":"D R K","non-dropping-particle":"","parse-names":false,"suffix":""},{"dropping-particle":"","family":"Nirmalasari","given":"R","non-dropping-particle":"","parse-names":false,"suffix":""},{"dropping-particle":"","family":"Mila","given":"","non-dropping-particle":"","parse-names":false,"suffix":""},{"dropping-particle":"","family":"Amin","given":"A M","non-dropping-particle":"","parse-names":false,"suffix":""}],"container-title":"Biodiversitas","id":"ITEM-1","issue":"6","issued":{"date-parts":[["2025"]]},"page":"2946-2956","title":"Ethnobotanical study of medicinal plants for postpartum remedies by the Dayak Bakumpai Tribe in Central Kalimantan, Indonesia","type":"article-journal","volume":"26"},"uris":["http://www.mendeley.com/documents/?uuid=7601f705-e7e5-40c3-8189-01e24c164ef8"]},{"id":"ITEM-2","itemData":{"DOI":"10.13057/biodiv/d261203","author":[{"dropping-particle":"","family":"Panjaitan","given":"R G P","non-dropping-particle":"","parse-names":false,"suffix":""},{"dropping-particle":"","family":"Sandra","given":"K M","non-dropping-particle":"","parse-names":false,"suffix":""},{"dropping-particle":"","family":"Wahyuni","given":"E S","non-dropping-particle":"","parse-names":false,"suffix":""},{"dropping-particle":"","family":"Karmadi","given":"R M D","non-dropping-particle":"","parse-names":false,"suffix":""},{"dropping-particle":"","family":"Ningsih","given":"K","non-dropping-particle":"","parse-names":false,"suffix":""},{"dropping-particle":"","family":"Titin","given":"","non-dropping-particle":"","parse-names":false,"suffix":""},{"dropping-particle":"","family":"Harsono","given":"T","non-dropping-particle":"","parse-names":false,"suffix":""},{"dropping-particle":"","family":"Ali","given":"S S","non-dropping-particle":"","parse-names":false,"suffix":""}],"container-title":"Biodiversitas","id":"ITEM-2","issue":"12","issued":{"date-parts":[["2025"]]},"page":"5989-5999","title":"Ethnobotanical study of postpartum medicinal plants used by the Dayak Kalis in Nanga Danau, West Kalimantan, Indonesia","type":"article-journal","volume":"26"},"uris":["http://www.mendeley.com/documents/?uuid=e951c4f0-8ecd-488e-9fc3-c62b2c368654"]}],"mendeley":{"formattedCitation":"(Hujjatusnaini et al., 2025; Panjaitan et al., 2025)","plainTextFormattedCitation":"(Hujjatusnaini et al., 2025; Panjaitan et al., 2025)","previouslyFormattedCitation":"(Hujjatusnaini et al., 2025; Panjaitan et al., 2025)"},"properties":{"noteIndex":0},"schema":"https://github.com/citation-style-language/schema/raw/master/csl-citation.json"}</w:instrText>
      </w:r>
      <w:r w:rsidR="005A3945">
        <w:rPr>
          <w:lang w:val="en-ID"/>
        </w:rPr>
        <w:fldChar w:fldCharType="separate"/>
      </w:r>
      <w:r w:rsidR="005A3945" w:rsidRPr="005A3945">
        <w:rPr>
          <w:noProof/>
          <w:lang w:val="en-ID"/>
        </w:rPr>
        <w:t>(Hujjatusnaini et al., 2025; Panjaitan et al., 2025)</w:t>
      </w:r>
      <w:r w:rsidR="005A3945">
        <w:rPr>
          <w:lang w:val="en-ID"/>
        </w:rPr>
        <w:fldChar w:fldCharType="end"/>
      </w:r>
      <w:r w:rsidRPr="004F3B80">
        <w:rPr>
          <w:lang w:val="en-ID"/>
        </w:rPr>
        <w:t xml:space="preserve">. Furthermore, traditional postpartum care does not always consist solely of plant use but may form part of a broader set of practices, including heat therapy, abdominal binding with a </w:t>
      </w:r>
      <w:proofErr w:type="spellStart"/>
      <w:r w:rsidRPr="004F3B80">
        <w:rPr>
          <w:i/>
          <w:iCs/>
          <w:lang w:val="en-ID"/>
        </w:rPr>
        <w:t>bengkung</w:t>
      </w:r>
      <w:proofErr w:type="spellEnd"/>
      <w:r w:rsidRPr="004F3B80">
        <w:rPr>
          <w:lang w:val="en-ID"/>
        </w:rPr>
        <w:t xml:space="preserve">, compresses, and support from healthcare workers </w:t>
      </w:r>
      <w:r w:rsidR="005A3945">
        <w:rPr>
          <w:lang w:val="en-ID"/>
        </w:rPr>
        <w:fldChar w:fldCharType="begin" w:fldLock="1"/>
      </w:r>
      <w:r w:rsidR="005A3945">
        <w:rPr>
          <w:lang w:val="en-ID"/>
        </w:rPr>
        <w:instrText>ADDIN CSL_CITATION {"citationItems":[{"id":"ITEM-1","itemData":{"DOI":"10.37287/ijghr.v7i6.188","author":[{"dropping-particle":"","family":"Pibriani","given":"P","non-dropping-particle":"","parse-names":false,"suffix":""},{"dropping-particle":"","family":"Arlym","given":"L T","non-dropping-particle":"","parse-names":false,"suffix":""},{"dropping-particle":"","family":"Widowati","given":"R","non-dropping-particle":"","parse-names":false,"suffix":""}],"container-title":"Indonesian Journal of Global Health Research","id":"ITEM-1","issue":"6","issued":{"date-parts":[["2025"]]},"page":"505-514","title":"Analysis of traditional care of postpartum mothers","type":"article-journal","volume":"7"},"uris":["http://www.mendeley.com/documents/?uuid=25a6f1e1-5207-476d-a132-7b69b061466e"]},{"id":"ITEM-2","itemData":{"DOI":"10.56338/mppki.v8i12.8407","author":[{"dropping-particle":"","family":"Siregar","given":"P A","non-dropping-particle":"","parse-names":false,"suffix":""},{"dropping-particle":"","family":"Ritonga","given":"A R","non-dropping-particle":"","parse-names":false,"suffix":""},{"dropping-particle":"","family":"Suraya","given":"R","non-dropping-particle":"","parse-names":false,"suffix":""},{"dropping-particle":"","family":"Rezebri","given":"M","non-dropping-particle":"","parse-names":false,"suffix":""},{"dropping-particle":"","family":"Siregar","given":"P Y","non-dropping-particle":"","parse-names":false,"suffix":""},{"dropping-particle":"","family":"Iqbal","given":"M","non-dropping-particle":"","parse-names":false,"suffix":""},{"dropping-particle":"","family":"Pratiwi","given":"S","non-dropping-particle":"","parse-names":false,"suffix":""},{"dropping-particle":"","family":"Apriliani","given":"A","non-dropping-particle":"","parse-names":false,"suffix":""},{"dropping-particle":"","family":"Adinda","given":"D","non-dropping-particle":"","parse-names":false,"suffix":""}],"container-title":"Media Publikasi Promosi Kesehatan Indonesia","id":"ITEM-2","issue":"12","issued":{"date-parts":[["2025"]]},"page":"1564-1575","title":"Integrating the Mararang postpartum tradition into biomedical care: An interdisciplinary study of health beliefs, communication, and maternal-infant outcomes","type":"article-journal","volume":"8"},"uris":["http://www.mendeley.com/documents/?uuid=5ac21844-b718-429c-a296-0ed4693d1a1f"]}],"mendeley":{"formattedCitation":"(Pibriani et al., 2025; Siregar et al., 2025)","plainTextFormattedCitation":"(Pibriani et al., 2025; Siregar et al., 2025)","previouslyFormattedCitation":"(Pibriani et al., 2025; Siregar et al., 2025)"},"properties":{"noteIndex":0},"schema":"https://github.com/citation-style-language/schema/raw/master/csl-citation.json"}</w:instrText>
      </w:r>
      <w:r w:rsidR="005A3945">
        <w:rPr>
          <w:lang w:val="en-ID"/>
        </w:rPr>
        <w:fldChar w:fldCharType="separate"/>
      </w:r>
      <w:r w:rsidR="005A3945" w:rsidRPr="005A3945">
        <w:rPr>
          <w:noProof/>
          <w:lang w:val="en-ID"/>
        </w:rPr>
        <w:t>(Pibriani et al., 2025; Siregar et al., 2025)</w:t>
      </w:r>
      <w:r w:rsidR="005A3945">
        <w:rPr>
          <w:lang w:val="en-ID"/>
        </w:rPr>
        <w:fldChar w:fldCharType="end"/>
      </w:r>
      <w:r w:rsidRPr="004F3B80">
        <w:rPr>
          <w:lang w:val="en-ID"/>
        </w:rPr>
        <w:t>. Such diversity indicates the need to harmonize scientific names, local names, plant parts, processing methods, routes of administration, indications, and the boundaries between plant-based and non-plant-based practices.</w:t>
      </w:r>
    </w:p>
    <w:p w14:paraId="513B2A88" w14:textId="6B28B90B" w:rsidR="004F3B80" w:rsidRPr="004F3B80" w:rsidRDefault="004F3B80" w:rsidP="004F3B80">
      <w:pPr>
        <w:ind w:firstLine="709"/>
        <w:jc w:val="both"/>
        <w:rPr>
          <w:lang w:val="en-ID"/>
        </w:rPr>
      </w:pPr>
      <w:r w:rsidRPr="004F3B80">
        <w:rPr>
          <w:lang w:val="en-ID"/>
        </w:rPr>
        <w:t xml:space="preserve">Previous reviews have not fully addressed the need for a specific synthesis of medicinal plants used in postpartum care in Indonesia. A review of orally administered herbal medicines during the postpartum and breastfeeding periods primarily evaluated breastfeeding success, complications, infant weight gain, and adverse effects, but did not map plant diversity across geographical regions and ethnic communities </w:t>
      </w:r>
      <w:r w:rsidR="005A3945">
        <w:rPr>
          <w:lang w:val="en-ID"/>
        </w:rPr>
        <w:fldChar w:fldCharType="begin" w:fldLock="1"/>
      </w:r>
      <w:r w:rsidR="005A3945">
        <w:rPr>
          <w:lang w:val="en-ID"/>
        </w:rPr>
        <w:instrText>ADDIN CSL_CITATION {"citationItems":[{"id":"ITEM-1","itemData":{"DOI":"10.37341/interest.v13i2.585","author":[{"dropping-particle":"","family":"Sayuti","given":"N A","non-dropping-particle":"","parse-names":false,"suffix":""},{"dropping-particle":"","family":"Atikah","given":"","non-dropping-particle":"","parse-names":false,"suffix":""}],"container-title":"Interest: Jurnal Ilmu Kesehatan","id":"ITEM-1","issue":"2","issued":{"date-parts":[["2024"]]},"page":"129-149","title":"Effectiveness of oral herbal in postpartum and breastfeeding","type":"article-journal","volume":"13"},"uris":["http://www.mendeley.com/documents/?uuid=3b0da488-2a93-4075-be11-b6ce751507a4"]}],"mendeley":{"formattedCitation":"(Sayuti &amp; Atikah, 2024)","plainTextFormattedCitation":"(Sayuti &amp; Atikah, 2024)","previouslyFormattedCitation":"(Sayuti &amp; Atikah, 2024)"},"properties":{"noteIndex":0},"schema":"https://github.com/citation-style-language/schema/raw/master/csl-citation.json"}</w:instrText>
      </w:r>
      <w:r w:rsidR="005A3945">
        <w:rPr>
          <w:lang w:val="en-ID"/>
        </w:rPr>
        <w:fldChar w:fldCharType="separate"/>
      </w:r>
      <w:r w:rsidR="005A3945" w:rsidRPr="005A3945">
        <w:rPr>
          <w:noProof/>
          <w:lang w:val="en-ID"/>
        </w:rPr>
        <w:t>(Sayuti &amp; Atikah, 2024)</w:t>
      </w:r>
      <w:r w:rsidR="005A3945">
        <w:rPr>
          <w:lang w:val="en-ID"/>
        </w:rPr>
        <w:fldChar w:fldCharType="end"/>
      </w:r>
      <w:r w:rsidRPr="004F3B80">
        <w:rPr>
          <w:lang w:val="en-ID"/>
        </w:rPr>
        <w:t xml:space="preserve">. An ethnobotanical review in the Philippines identified 153 species used during pregnancy, childbirth, and the postpartum period, although only a proportion of these species were supported by toxicological or teratogenicity data </w:t>
      </w:r>
      <w:r w:rsidR="005A3945">
        <w:rPr>
          <w:lang w:val="en-ID"/>
        </w:rPr>
        <w:fldChar w:fldCharType="begin" w:fldLock="1"/>
      </w:r>
      <w:r w:rsidR="005A3945">
        <w:rPr>
          <w:lang w:val="en-ID"/>
        </w:rPr>
        <w:instrText>ADDIN CSL_CITATION {"citationItems":[{"id":"ITEM-1","itemData":{"DOI":"10.1016/j.phyplu.2023.100407","author":[{"dropping-particle":"","family":"Magtalas","given":"M C","non-dropping-particle":"","parse-names":false,"suffix":""},{"dropping-particle":"","family":"Balbin","given":"P T","non-dropping-particle":"","parse-names":false,"suffix":""},{"dropping-particle":"","family":"Cruz","given":"E C","non-dropping-particle":"","parse-names":false,"suffix":""},{"dropping-particle":"","family":"Guevarra","given":"R C","non-dropping-particle":"","parse-names":false,"suffix":""},{"dropping-particle":"","family":"Cruz","given":"A R D P","non-dropping-particle":"","parse-names":false,"suffix":""},{"dropping-particle":"","family":"Silverio","given":"C E","non-dropping-particle":"","parse-names":false,"suffix":""},{"dropping-particle":"","family":"Lee","given":"K Y","non-dropping-particle":"","parse-names":false,"suffix":""},{"dropping-particle":"","family":"Tantengco","given":"O A G","non-dropping-particle":"","parse-names":false,"suffix":""}],"container-title":"Phytomedicine Plus","id":"ITEM-1","issue":"1","issued":{"date-parts":[["2023"]]},"page":"100407","title":"A systematic review of ethnomedicinal plants used for pregnancy, childbirth, and postpartum care in the Philippines","type":"article-journal","volume":"3"},"uris":["http://www.mendeley.com/documents/?uuid=c9a9f419-fa4e-4512-9469-d29838a23669"]}],"mendeley":{"formattedCitation":"(Magtalas et al., 2023)","plainTextFormattedCitation":"(Magtalas et al., 2023)","previouslyFormattedCitation":"(Magtalas et al., 2023)"},"properties":{"noteIndex":0},"schema":"https://github.com/citation-style-language/schema/raw/master/csl-citation.json"}</w:instrText>
      </w:r>
      <w:r w:rsidR="005A3945">
        <w:rPr>
          <w:lang w:val="en-ID"/>
        </w:rPr>
        <w:fldChar w:fldCharType="separate"/>
      </w:r>
      <w:r w:rsidR="005A3945" w:rsidRPr="005A3945">
        <w:rPr>
          <w:noProof/>
          <w:lang w:val="en-ID"/>
        </w:rPr>
        <w:t>(Magtalas et al., 2023)</w:t>
      </w:r>
      <w:r w:rsidR="005A3945">
        <w:rPr>
          <w:lang w:val="en-ID"/>
        </w:rPr>
        <w:fldChar w:fldCharType="end"/>
      </w:r>
      <w:r w:rsidRPr="004F3B80">
        <w:rPr>
          <w:lang w:val="en-ID"/>
        </w:rPr>
        <w:t xml:space="preserve">. Meanwhile, a national synthesis of Indonesian ethnobotanical studies harmonized scientific names and classified indications for use but covered all health conditions and did not specifically focus on postpartum care </w:t>
      </w:r>
      <w:r w:rsidR="005A3945">
        <w:rPr>
          <w:lang w:val="en-ID"/>
        </w:rPr>
        <w:fldChar w:fldCharType="begin" w:fldLock="1"/>
      </w:r>
      <w:r w:rsidR="005A3945">
        <w:rPr>
          <w:lang w:val="en-ID"/>
        </w:rPr>
        <w:instrText>ADDIN CSL_CITATION {"citationItems":[{"id":"ITEM-1","itemData":{"DOI":"10.1186/s13002-026-00879-4","author":[{"dropping-particle":"","family":"Febriyanti","given":"R M","non-dropping-particle":"","parse-names":false,"suffix":""},{"dropping-particle":"","family":"Ramadhania","given":"Z M","non-dropping-particle":"","parse-names":false,"suffix":""},{"dropping-particle":"","family":"Tjitraresmi","given":"A","non-dropping-particle":"","parse-names":false,"suffix":""},{"dropping-particle":"","family":"Indradi","given":"R B","non-dropping-particle":"","parse-names":false,"suffix":""},{"dropping-particle":"","family":"Maisyarah","given":"I T","non-dropping-particle":"","parse-names":false,"suffix":""},{"dropping-particle":"","family":"Maundu","given":"P M","non-dropping-particle":"","parse-names":false,"suffix":""},{"dropping-particle":"","family":"Muhaimin","given":"M","non-dropping-particle":"","parse-names":false,"suffix":""},{"dropping-particle":"","family":"Sujarwo","given":"W","non-dropping-particle":"","parse-names":false,"suffix":""}],"container-title":"Journal of Ethnobiology and Ethnomedicine","id":"ITEM-1","issued":{"date-parts":[["2026"]]},"page":"42","title":"A systematic review of ethnobotanical study in Indonesia: Diversity and cultural patterns of medicinal plant use","type":"article-journal","volume":"22"},"uris":["http://www.mendeley.com/documents/?uuid=9d303383-c08f-4700-b204-19b867cc95f3"]}],"mendeley":{"formattedCitation":"(Febriyanti et al., 2026)","plainTextFormattedCitation":"(Febriyanti et al., 2026)","previouslyFormattedCitation":"(Febriyanti et al., 2026)"},"properties":{"noteIndex":0},"schema":"https://github.com/citation-style-language/schema/raw/master/csl-citation.json"}</w:instrText>
      </w:r>
      <w:r w:rsidR="005A3945">
        <w:rPr>
          <w:lang w:val="en-ID"/>
        </w:rPr>
        <w:fldChar w:fldCharType="separate"/>
      </w:r>
      <w:r w:rsidR="005A3945" w:rsidRPr="005A3945">
        <w:rPr>
          <w:noProof/>
          <w:lang w:val="en-ID"/>
        </w:rPr>
        <w:t>(Febriyanti et al., 2026)</w:t>
      </w:r>
      <w:r w:rsidR="005A3945">
        <w:rPr>
          <w:lang w:val="en-ID"/>
        </w:rPr>
        <w:fldChar w:fldCharType="end"/>
      </w:r>
      <w:r w:rsidRPr="004F3B80">
        <w:rPr>
          <w:lang w:val="en-ID"/>
        </w:rPr>
        <w:t>. Therefore, a review is still needed that integrates plant identity, geographical region, ethnic community, plant parts used, preparation methods, routes of administration, and postpartum care purposes within a single analytical framework.</w:t>
      </w:r>
    </w:p>
    <w:p w14:paraId="65DB91D9" w14:textId="6F8A109E" w:rsidR="004F3B80" w:rsidRPr="004F3B80" w:rsidRDefault="004F3B80" w:rsidP="004F3B80">
      <w:pPr>
        <w:ind w:firstLine="709"/>
        <w:jc w:val="both"/>
        <w:rPr>
          <w:lang w:val="en-ID"/>
        </w:rPr>
      </w:pPr>
      <w:r w:rsidRPr="004F3B80">
        <w:rPr>
          <w:lang w:val="en-ID"/>
        </w:rPr>
        <w:t xml:space="preserve">The research gap lies in the absence of a national synthesis specifically mapping the ethnobotanical diversity of medicinal plants used for postpartum care while simultaneously harmonizing taxonomic variations and categories of use. Primary studies employ different sample sizes, record local </w:t>
      </w:r>
      <w:r w:rsidRPr="004F3B80">
        <w:rPr>
          <w:lang w:val="en-ID"/>
        </w:rPr>
        <w:lastRenderedPageBreak/>
        <w:t xml:space="preserve">names using non-standardized identification procedures, and apply diverse categories of plant parts, processing methods, routes of administration, and indications. Problems related to reporting quality also remain because most Indonesian ethnobotanical articles do not explicitly describe ethical considerations, while some studies rely on secondary identification without preserving voucher specimens </w:t>
      </w:r>
      <w:r w:rsidR="005A3945">
        <w:rPr>
          <w:lang w:val="en-ID"/>
        </w:rPr>
        <w:fldChar w:fldCharType="begin" w:fldLock="1"/>
      </w:r>
      <w:r w:rsidR="005A3945">
        <w:rPr>
          <w:lang w:val="en-ID"/>
        </w:rPr>
        <w:instrText>ADDIN CSL_CITATION {"citationItems":[{"id":"ITEM-1","itemData":{"DOI":"10.1186/s13002-026-00879-4","author":[{"dropping-particle":"","family":"Febriyanti","given":"R M","non-dropping-particle":"","parse-names":false,"suffix":""},{"dropping-particle":"","family":"Ramadhania","given":"Z M","non-dropping-particle":"","parse-names":false,"suffix":""},{"dropping-particle":"","family":"Tjitraresmi","given":"A","non-dropping-particle":"","parse-names":false,"suffix":""},{"dropping-particle":"","family":"Indradi","given":"R B","non-dropping-particle":"","parse-names":false,"suffix":""},{"dropping-particle":"","family":"Maisyarah","given":"I T","non-dropping-particle":"","parse-names":false,"suffix":""},{"dropping-particle":"","family":"Maundu","given":"P M","non-dropping-particle":"","parse-names":false,"suffix":""},{"dropping-particle":"","family":"Muhaimin","given":"M","non-dropping-particle":"","parse-names":false,"suffix":""},{"dropping-particle":"","family":"Sujarwo","given":"W","non-dropping-particle":"","parse-names":false,"suffix":""}],"container-title":"Journal of Ethnobiology and Ethnomedicine","id":"ITEM-1","issued":{"date-parts":[["2026"]]},"page":"42","title":"A systematic review of ethnobotanical study in Indonesia: Diversity and cultural patterns of medicinal plant use","type":"article-journal","volume":"22"},"uris":["http://www.mendeley.com/documents/?uuid=9d303383-c08f-4700-b204-19b867cc95f3"]}],"mendeley":{"formattedCitation":"(Febriyanti et al., 2026)","plainTextFormattedCitation":"(Febriyanti et al., 2026)","previouslyFormattedCitation":"(Febriyanti et al., 2026)"},"properties":{"noteIndex":0},"schema":"https://github.com/citation-style-language/schema/raw/master/csl-citation.json"}</w:instrText>
      </w:r>
      <w:r w:rsidR="005A3945">
        <w:rPr>
          <w:lang w:val="en-ID"/>
        </w:rPr>
        <w:fldChar w:fldCharType="separate"/>
      </w:r>
      <w:r w:rsidR="005A3945" w:rsidRPr="005A3945">
        <w:rPr>
          <w:noProof/>
          <w:lang w:val="en-ID"/>
        </w:rPr>
        <w:t>(Febriyanti et al., 2026)</w:t>
      </w:r>
      <w:r w:rsidR="005A3945">
        <w:rPr>
          <w:lang w:val="en-ID"/>
        </w:rPr>
        <w:fldChar w:fldCharType="end"/>
      </w:r>
      <w:r w:rsidRPr="004F3B80">
        <w:rPr>
          <w:lang w:val="en-ID"/>
        </w:rPr>
        <w:t>. Therefore, the primary need addressed by this review is to map the diversity and patterns of plant use across communities, rather than to estimate the prevalence of medicinal plant use among the entire population of postpartum women in Indonesia.</w:t>
      </w:r>
    </w:p>
    <w:p w14:paraId="337727FF" w14:textId="07D6B178" w:rsidR="004F3B80" w:rsidRPr="004F3B80" w:rsidRDefault="004F3B80" w:rsidP="004F3B80">
      <w:pPr>
        <w:ind w:firstLine="709"/>
        <w:jc w:val="both"/>
        <w:rPr>
          <w:lang w:val="en-ID"/>
        </w:rPr>
      </w:pPr>
      <w:r w:rsidRPr="004F3B80">
        <w:rPr>
          <w:lang w:val="en-ID"/>
        </w:rPr>
        <w:t xml:space="preserve">In addition to this mapping, </w:t>
      </w:r>
      <w:proofErr w:type="spellStart"/>
      <w:r w:rsidRPr="004F3B80">
        <w:rPr>
          <w:lang w:val="en-ID"/>
        </w:rPr>
        <w:t>Zingiberaceae</w:t>
      </w:r>
      <w:proofErr w:type="spellEnd"/>
      <w:r w:rsidRPr="004F3B80">
        <w:rPr>
          <w:lang w:val="en-ID"/>
        </w:rPr>
        <w:t xml:space="preserve"> was selected as an exploratory quantitative outcome because this family repeatedly appeared in inventories of plants used for postpartum care and includes several commonly used taxa, such as </w:t>
      </w:r>
      <w:r w:rsidRPr="004F3B80">
        <w:rPr>
          <w:i/>
          <w:iCs/>
          <w:lang w:val="en-ID"/>
        </w:rPr>
        <w:t>Curcuma longa</w:t>
      </w:r>
      <w:r w:rsidRPr="004F3B80">
        <w:rPr>
          <w:lang w:val="en-ID"/>
        </w:rPr>
        <w:t xml:space="preserve">, </w:t>
      </w:r>
      <w:r w:rsidRPr="004F3B80">
        <w:rPr>
          <w:i/>
          <w:iCs/>
          <w:lang w:val="en-ID"/>
        </w:rPr>
        <w:t>Curcuma domestica</w:t>
      </w:r>
      <w:r w:rsidRPr="004F3B80">
        <w:rPr>
          <w:lang w:val="en-ID"/>
        </w:rPr>
        <w:t xml:space="preserve">, and </w:t>
      </w:r>
      <w:r w:rsidRPr="004F3B80">
        <w:rPr>
          <w:i/>
          <w:iCs/>
          <w:lang w:val="en-ID"/>
        </w:rPr>
        <w:t>Zingiber officinale</w:t>
      </w:r>
      <w:r w:rsidRPr="004F3B80">
        <w:rPr>
          <w:lang w:val="en-ID"/>
        </w:rPr>
        <w:t xml:space="preserve"> </w:t>
      </w:r>
      <w:r w:rsidR="005A3945">
        <w:rPr>
          <w:lang w:val="en-ID"/>
        </w:rPr>
        <w:fldChar w:fldCharType="begin" w:fldLock="1"/>
      </w:r>
      <w:r w:rsidR="005A3945">
        <w:rPr>
          <w:lang w:val="en-ID"/>
        </w:rPr>
        <w:instrText>ADDIN CSL_CITATION {"citationItems":[{"id":"ITEM-1","itemData":{"DOI":"10.13057/biodiv/d260637","author":[{"dropping-particle":"","family":"Hujjatusnaini","given":"N","non-dropping-particle":"","parse-names":false,"suffix":""},{"dropping-particle":"","family":"Fitri","given":"D R K","non-dropping-particle":"","parse-names":false,"suffix":""},{"dropping-particle":"","family":"Nirmalasari","given":"R","non-dropping-particle":"","parse-names":false,"suffix":""},{"dropping-particle":"","family":"Mila","given":"","non-dropping-particle":"","parse-names":false,"suffix":""},{"dropping-particle":"","family":"Amin","given":"A M","non-dropping-particle":"","parse-names":false,"suffix":""}],"container-title":"Biodiversitas","id":"ITEM-1","issue":"6","issued":{"date-parts":[["2025"]]},"page":"2946-2956","title":"Ethnobotanical study of medicinal plants for postpartum remedies by the Dayak Bakumpai Tribe in Central Kalimantan, Indonesia","type":"article-journal","volume":"26"},"uris":["http://www.mendeley.com/documents/?uuid=7601f705-e7e5-40c3-8189-01e24c164ef8"]},{"id":"ITEM-2","itemData":{"DOI":"10.13057/biodiv/d261203","author":[{"dropping-particle":"","family":"Panjaitan","given":"R G P","non-dropping-particle":"","parse-names":false,"suffix":""},{"dropping-particle":"","family":"Sandra","given":"K M","non-dropping-particle":"","parse-names":false,"suffix":""},{"dropping-particle":"","family":"Wahyuni","given":"E S","non-dropping-particle":"","parse-names":false,"suffix":""},{"dropping-particle":"","family":"Karmadi","given":"R M D","non-dropping-particle":"","parse-names":false,"suffix":""},{"dropping-particle":"","family":"Ningsih","given":"K","non-dropping-particle":"","parse-names":false,"suffix":""},{"dropping-particle":"","family":"Titin","given":"","non-dropping-particle":"","parse-names":false,"suffix":""},{"dropping-particle":"","family":"Harsono","given":"T","non-dropping-particle":"","parse-names":false,"suffix":""},{"dropping-particle":"","family":"Ali","given":"S S","non-dropping-particle":"","parse-names":false,"suffix":""}],"container-title":"Biodiversitas","id":"ITEM-2","issue":"12","issued":{"date-parts":[["2025"]]},"page":"5989-5999","title":"Ethnobotanical study of postpartum medicinal plants used by the Dayak Kalis in Nanga Danau, West Kalimantan, Indonesia","type":"article-journal","volume":"26"},"uris":["http://www.mendeley.com/documents/?uuid=e951c4f0-8ecd-488e-9fc3-c62b2c368654"]}],"mendeley":{"formattedCitation":"(Hujjatusnaini et al., 2025; Panjaitan et al., 2025)","plainTextFormattedCitation":"(Hujjatusnaini et al., 2025; Panjaitan et al., 2025)","previouslyFormattedCitation":"(Hujjatusnaini et al., 2025; Panjaitan et al., 2025)"},"properties":{"noteIndex":0},"schema":"https://github.com/citation-style-language/schema/raw/master/csl-citation.json"}</w:instrText>
      </w:r>
      <w:r w:rsidR="005A3945">
        <w:rPr>
          <w:lang w:val="en-ID"/>
        </w:rPr>
        <w:fldChar w:fldCharType="separate"/>
      </w:r>
      <w:r w:rsidR="005A3945" w:rsidRPr="005A3945">
        <w:rPr>
          <w:noProof/>
          <w:lang w:val="en-ID"/>
        </w:rPr>
        <w:t>(Hujjatusnaini et al., 2025; Panjaitan et al., 2025)</w:t>
      </w:r>
      <w:r w:rsidR="005A3945">
        <w:rPr>
          <w:lang w:val="en-ID"/>
        </w:rPr>
        <w:fldChar w:fldCharType="end"/>
      </w:r>
      <w:r w:rsidRPr="004F3B80">
        <w:rPr>
          <w:lang w:val="en-ID"/>
        </w:rPr>
        <w:t xml:space="preserve">. From an ethnobotanical perspective, rhizomatous plants belonging to this family are consistent with traditional preparation practices because they can easily be boiled, ground, dried, or mixed with other ingredients. </w:t>
      </w:r>
      <w:proofErr w:type="spellStart"/>
      <w:r w:rsidRPr="004F3B80">
        <w:rPr>
          <w:lang w:val="en-ID"/>
        </w:rPr>
        <w:t>Zingiberaceae</w:t>
      </w:r>
      <w:proofErr w:type="spellEnd"/>
      <w:r w:rsidRPr="004F3B80">
        <w:rPr>
          <w:lang w:val="en-ID"/>
        </w:rPr>
        <w:t xml:space="preserve"> was selected after the initial stages of data extraction and mapping; therefore, its analysis was treated as exploratory rather than as an outcome specified before the review was conducted. Consequently, the pooled proportion analysis represents the degree to which </w:t>
      </w:r>
      <w:proofErr w:type="spellStart"/>
      <w:r w:rsidRPr="004F3B80">
        <w:rPr>
          <w:lang w:val="en-ID"/>
        </w:rPr>
        <w:t>Zingiberaceae</w:t>
      </w:r>
      <w:proofErr w:type="spellEnd"/>
      <w:r w:rsidRPr="004F3B80">
        <w:rPr>
          <w:lang w:val="en-ID"/>
        </w:rPr>
        <w:t xml:space="preserve"> is represented in the plant inventories reported by the included articles. It does not indicate the prevalence of its use among postpartum women and does not constitute a measure of clinical effectiveness.</w:t>
      </w:r>
    </w:p>
    <w:p w14:paraId="7D462645" w14:textId="77777777" w:rsidR="004F3B80" w:rsidRPr="004F3B80" w:rsidRDefault="004F3B80" w:rsidP="004F3B80">
      <w:pPr>
        <w:ind w:firstLine="709"/>
        <w:jc w:val="both"/>
        <w:rPr>
          <w:lang w:val="en-ID"/>
        </w:rPr>
      </w:pPr>
      <w:r w:rsidRPr="004F3B80">
        <w:rPr>
          <w:lang w:val="en-ID"/>
        </w:rPr>
        <w:t xml:space="preserve">This study aims to identify and harmonize the taxonomy of medicinal plants used in postpartum care; map the diversity of their uses across ethnic communities and regions of Indonesia; descriptively evaluate the plant parts used, preparation methods, routes of administration, and indications; conduct an exploratory pooled analysis of the proportion of </w:t>
      </w:r>
      <w:proofErr w:type="spellStart"/>
      <w:r w:rsidRPr="004F3B80">
        <w:rPr>
          <w:lang w:val="en-ID"/>
        </w:rPr>
        <w:t>Zingiberaceae</w:t>
      </w:r>
      <w:proofErr w:type="spellEnd"/>
      <w:r w:rsidRPr="004F3B80">
        <w:rPr>
          <w:lang w:val="en-ID"/>
        </w:rPr>
        <w:t xml:space="preserve"> represented at the article level; and assess the heterogeneity and methodological quality of the available evidence.</w:t>
      </w:r>
    </w:p>
    <w:p w14:paraId="08C5477A" w14:textId="77777777" w:rsidR="00E45F62" w:rsidRDefault="00E45F62"/>
    <w:p w14:paraId="4C7BDCB8" w14:textId="56E07A82" w:rsidR="00291059" w:rsidRPr="00291059" w:rsidRDefault="0067085F" w:rsidP="0067085F">
      <w:pPr>
        <w:jc w:val="both"/>
        <w:rPr>
          <w:b/>
          <w:bCs/>
        </w:rPr>
      </w:pPr>
      <w:r w:rsidRPr="0067085F">
        <w:rPr>
          <w:b/>
          <w:bCs/>
        </w:rPr>
        <w:t>RESEARCH METHODS</w:t>
      </w:r>
    </w:p>
    <w:p w14:paraId="46CF698B" w14:textId="2385794B" w:rsidR="00291059" w:rsidRPr="00291059" w:rsidRDefault="00974981" w:rsidP="00974981">
      <w:pPr>
        <w:jc w:val="both"/>
        <w:rPr>
          <w:b/>
          <w:bCs/>
        </w:rPr>
      </w:pPr>
      <w:r w:rsidRPr="00974981">
        <w:rPr>
          <w:b/>
          <w:bCs/>
        </w:rPr>
        <w:t>Research Design</w:t>
      </w:r>
    </w:p>
    <w:p w14:paraId="10096820" w14:textId="741CAE2A" w:rsidR="00974981" w:rsidRPr="00974981" w:rsidRDefault="00974981" w:rsidP="00974981">
      <w:pPr>
        <w:ind w:firstLine="709"/>
        <w:jc w:val="both"/>
        <w:rPr>
          <w:lang w:val="en-ID"/>
        </w:rPr>
      </w:pPr>
      <w:r w:rsidRPr="00974981">
        <w:rPr>
          <w:lang w:val="en-ID"/>
        </w:rPr>
        <w:t xml:space="preserve">This study employed a quantitative systematic review design complemented by a post hoc exploratory meta-analysis to identify, evaluate, harmonize, and synthesize the diversity of medicinal plants used in postpartum maternal care by ethnic groups, Indigenous peoples, and local communities in Indonesia. The data </w:t>
      </w:r>
      <w:proofErr w:type="spellStart"/>
      <w:r w:rsidRPr="00974981">
        <w:rPr>
          <w:lang w:val="en-ID"/>
        </w:rPr>
        <w:t>analyzed</w:t>
      </w:r>
      <w:proofErr w:type="spellEnd"/>
      <w:r w:rsidRPr="00974981">
        <w:rPr>
          <w:lang w:val="en-ID"/>
        </w:rPr>
        <w:t xml:space="preserve"> included plant species and families, plant parts used, preparation methods, routes of administration, intended uses, geographical areas, user communities, and ethnobotanical indices. The article search and selection processes followed the PRISMA 2020 and PRISMA-S guidelines. This review was not prospectively registered </w:t>
      </w:r>
      <w:r w:rsidR="005A3945">
        <w:rPr>
          <w:lang w:val="en-ID"/>
        </w:rPr>
        <w:fldChar w:fldCharType="begin" w:fldLock="1"/>
      </w:r>
      <w:r w:rsidR="004F31F4">
        <w:rPr>
          <w:lang w:val="en-ID"/>
        </w:rPr>
        <w:instrText>ADDIN CSL_CITATION {"citationItems":[{"id":"ITEM-1","itemData":{"DOI":"10.1136/bmj.n71","author":[{"dropping-particle":"","family":"Page","given":"M J","non-dropping-particle":"","parse-names":false,"suffix":""},{"dropping-particle":"","family":"McKenzie","given":"J E","non-dropping-particle":"","parse-names":false,"suffix":""},{"dropping-particle":"","family":"Bossuyt","given":"P M","non-dropping-particle":"","parse-names":false,"suffix":""},{"dropping-particle":"","family":"Boutron","given":"I","non-dropping-particle":"","parse-names":false,"suffix":""},{"dropping-particle":"","family":"Hoffmann","given":"T C","non-dropping-particle":"","parse-names":false,"suffix":""},{"dropping-particle":"","family":"Mulrow","given":"C D","non-dropping-particle":"","parse-names":false,"suffix":""},{"dropping-particle":"","family":"Shamseer","given":"L","non-dropping-particle":"","parse-names":false,"suffix":""},{"dropping-particle":"","family":"Tetzlaff","given":"J M","non-dropping-particle":"","parse-names":false,"suffix":""},{"dropping-particle":"","family":"Akl","given":"E A","non-dropping-particle":"","parse-names":false,"suffix":""},{"dropping-particle":"","family":"Brennan","given":"S E","non-dropping-particle":"","parse-names":false,"suffix":""},{"dropping-particle":"","family":"Chou","given":"R","non-dropping-particle":"","parse-names":false,"suffix":""},{"dropping-particle":"","family":"Glanville","given":"J","non-dropping-particle":"","parse-names":false,"suffix":""},{"dropping-particle":"","family":"Grimshaw","given":"J M","non-dropping-particle":"","parse-names":false,"suffix":""},{"dropping-particle":"","family":"Hróbjartsson","given":"A","non-dropping-particle":"","parse-names":false,"suffix":""},{"dropping-particle":"","family":"Lalu","given":"M M","non-dropping-particle":"","parse-names":false,"suffix":""},{"dropping-particle":"","family":"Li","given":"T","non-dropping-particle":"","parse-names":false,"suffix":""},{"dropping-particle":"","family":"Loder","given":"E W","non-dropping-particle":"","parse-names":false,"suffix":""},{"dropping-particle":"","family":"Mayo-Wilson","given":"E","non-dropping-particle":"","parse-names":false,"suffix":""},{"dropping-particle":"","family":"McDonald","given":"S","non-dropping-particle":"","parse-names":false,"suffix":""},{"dropping-particle":"","family":"Moher","given":"D","non-dropping-particle":"","parse-names":false,"suffix":""}],"container-title":"BMJ","id":"ITEM-1","issued":{"date-parts":[["2021"]]},"page":"n71","title":"The PRISMA 2020 statement: An updated guideline for reporting systematic reviews","type":"article-journal","volume":"372"},"uris":["http://www.mendeley.com/documents/?uuid=2e577e46-e6b7-49a3-b10d-fddc05d63d92"]},{"id":"ITEM-2","itemData":{"DOI":"10.1186/s13643-020-01542-z","author":[{"dropping-particle":"","family":"Rethlefsen","given":"Melissa L","non-dropping-particle":"","parse-names":false,"suffix":""},{"dropping-particle":"","family":"Kirtley","given":"Shona","non-dropping-particle":"","parse-names":false,"suffix":""},{"dropping-particle":"","family":"Waffenschmidt","given":"Siw","non-dropping-particle":"","parse-names":false,"suffix":""},{"dropping-particle":"","family":"Ayala","given":"Ana Patricia","non-dropping-particle":"","parse-names":false,"suffix":""},{"dropping-particle":"","family":"Moher","given":"David","non-dropping-particle":"","parse-names":false,"suffix":""},{"dropping-particle":"","family":"Page","given":"Matthew J","non-dropping-particle":"","parse-names":false,"suffix":""},{"dropping-particle":"","family":"Koffel","given":"Jonathan B","non-dropping-particle":"","parse-names":false,"suffix":""},{"dropping-particle":"","family":"PRISMA-S Group","given":"","non-dropping-particle":"","parse-names":false,"suffix":""}],"container-title":"Systematic Reviews","id":"ITEM-2","issued":{"date-parts":[["2021"]]},"page":"39","title":"PRISMA-S: An extension to the PRISMA statement for reporting literature searches in systematic reviews","type":"article-journal","volume":"10"},"uris":["http://www.mendeley.com/documents/?uuid=d5cf8da4-ad92-42a2-ba03-b145103b3a79"]}],"mendeley":{"formattedCitation":"(Page et al., 2021; Rethlefsen et al., 2021)","plainTextFormattedCitation":"(Page et al., 2021; Rethlefsen et al., 2021)","previouslyFormattedCitation":"(Page et al., 2021; Rethlefsen et al., 2021)"},"properties":{"noteIndex":0},"schema":"https://github.com/citation-style-language/schema/raw/master/csl-citation.json"}</w:instrText>
      </w:r>
      <w:r w:rsidR="005A3945">
        <w:rPr>
          <w:lang w:val="en-ID"/>
        </w:rPr>
        <w:fldChar w:fldCharType="separate"/>
      </w:r>
      <w:r w:rsidR="005A3945" w:rsidRPr="005A3945">
        <w:rPr>
          <w:noProof/>
          <w:lang w:val="en-ID"/>
        </w:rPr>
        <w:t>(Page et al., 2021; Rethlefsen et al., 2021)</w:t>
      </w:r>
      <w:r w:rsidR="005A3945">
        <w:rPr>
          <w:lang w:val="en-ID"/>
        </w:rPr>
        <w:fldChar w:fldCharType="end"/>
      </w:r>
      <w:r w:rsidRPr="00974981">
        <w:rPr>
          <w:lang w:val="en-ID"/>
        </w:rPr>
        <w:t>.</w:t>
      </w:r>
    </w:p>
    <w:p w14:paraId="53EC4F0B" w14:textId="77777777" w:rsidR="00974981" w:rsidRPr="00974981" w:rsidRDefault="00974981" w:rsidP="00974981">
      <w:pPr>
        <w:ind w:firstLine="709"/>
        <w:jc w:val="both"/>
        <w:rPr>
          <w:lang w:val="en-ID"/>
        </w:rPr>
      </w:pPr>
      <w:r w:rsidRPr="00974981">
        <w:rPr>
          <w:lang w:val="en-ID"/>
        </w:rPr>
        <w:t xml:space="preserve">The meta-analysis was not intended to estimate the prevalence of medicinal plant use among the overall population of postpartum women. Instead, it was conducted to characterize article-level floristic composition by calculating the proportion of </w:t>
      </w:r>
      <w:proofErr w:type="spellStart"/>
      <w:r w:rsidRPr="00974981">
        <w:rPr>
          <w:lang w:val="en-ID"/>
        </w:rPr>
        <w:t>Zingiberaceae</w:t>
      </w:r>
      <w:proofErr w:type="spellEnd"/>
      <w:r w:rsidRPr="00974981">
        <w:rPr>
          <w:lang w:val="en-ID"/>
        </w:rPr>
        <w:t xml:space="preserve"> species relative to all postpartum medicinal plant species documented in each article. </w:t>
      </w:r>
      <w:proofErr w:type="spellStart"/>
      <w:r w:rsidRPr="00974981">
        <w:rPr>
          <w:lang w:val="en-ID"/>
        </w:rPr>
        <w:t>Zingiberaceae</w:t>
      </w:r>
      <w:proofErr w:type="spellEnd"/>
      <w:r w:rsidRPr="00974981">
        <w:rPr>
          <w:lang w:val="en-ID"/>
        </w:rPr>
        <w:t xml:space="preserve"> was selected after data extraction because members of this family were repeatedly documented across different communities and geographical areas and demonstrated ethnobotanical relevance in the form of oral herbal preparations, topical applications, </w:t>
      </w:r>
      <w:proofErr w:type="spellStart"/>
      <w:r w:rsidRPr="00974981">
        <w:rPr>
          <w:i/>
          <w:iCs/>
          <w:lang w:val="en-ID"/>
        </w:rPr>
        <w:lastRenderedPageBreak/>
        <w:t>tapel</w:t>
      </w:r>
      <w:proofErr w:type="spellEnd"/>
      <w:r w:rsidRPr="00974981">
        <w:rPr>
          <w:lang w:val="en-ID"/>
        </w:rPr>
        <w:t xml:space="preserve"> preparations, herbal baths, and body-warming remedies. Accordingly, this analysis was classified as a post hoc exploratory analysis, while the other plant families were presented descriptively.</w:t>
      </w:r>
    </w:p>
    <w:p w14:paraId="00E5E7D1" w14:textId="77777777" w:rsidR="00291059" w:rsidRPr="00291059" w:rsidRDefault="00291059" w:rsidP="00291059">
      <w:pPr>
        <w:jc w:val="both"/>
        <w:rPr>
          <w:b/>
          <w:bCs/>
        </w:rPr>
      </w:pPr>
      <w:r w:rsidRPr="00291059">
        <w:rPr>
          <w:b/>
          <w:bCs/>
        </w:rPr>
        <w:t>Research Questions</w:t>
      </w:r>
    </w:p>
    <w:p w14:paraId="0EFAF234" w14:textId="4CEA191A" w:rsidR="00291059" w:rsidRPr="00291059" w:rsidRDefault="00974981" w:rsidP="00974981">
      <w:pPr>
        <w:ind w:firstLine="709"/>
        <w:jc w:val="both"/>
      </w:pPr>
      <w:r w:rsidRPr="00974981">
        <w:t xml:space="preserve">This study addressed several principal questions: which medicinal plants are used in postpartum care; how these plants are distributed across communities and geographical areas; what patterns exist regarding plant parts, preparation methods, routes of administration, and indications; to what extent </w:t>
      </w:r>
      <w:proofErr w:type="spellStart"/>
      <w:r w:rsidRPr="00974981">
        <w:t>Zingiberaceae</w:t>
      </w:r>
      <w:proofErr w:type="spellEnd"/>
      <w:r w:rsidRPr="00974981">
        <w:t xml:space="preserve"> is represented in article-level floristic composition; which factors contribute to between-study heterogeneity; and what is the methodological quality of the available ethnobotanical studies?</w:t>
      </w:r>
    </w:p>
    <w:p w14:paraId="4C2A6DFD" w14:textId="77777777" w:rsidR="00291059" w:rsidRPr="00291059" w:rsidRDefault="00291059" w:rsidP="00291059">
      <w:pPr>
        <w:jc w:val="both"/>
        <w:rPr>
          <w:b/>
          <w:bCs/>
        </w:rPr>
      </w:pPr>
      <w:r w:rsidRPr="00291059">
        <w:rPr>
          <w:b/>
          <w:bCs/>
        </w:rPr>
        <w:t>Research Stages</w:t>
      </w:r>
    </w:p>
    <w:p w14:paraId="526DE450" w14:textId="22472BC9" w:rsidR="00042FDB" w:rsidRPr="00042FDB" w:rsidRDefault="00042FDB" w:rsidP="00042FDB">
      <w:pPr>
        <w:ind w:firstLine="709"/>
        <w:jc w:val="both"/>
        <w:rPr>
          <w:lang w:val="en-ID"/>
        </w:rPr>
      </w:pPr>
      <w:r w:rsidRPr="00042FDB">
        <w:rPr>
          <w:lang w:val="en-ID"/>
        </w:rPr>
        <w:t>The research stages included formulating the research questions, establishing eligibility criteria, developing the search strategy, searching electronic databases, removing duplicates, screening titles and abstracts, assessing full-text articles, classifying articles, extracting data, harmonizing plant taxonomy, assessing methodological quality, conducting descriptive synthesis, and performing exploratory pooled analysis.</w:t>
      </w:r>
      <w:r>
        <w:rPr>
          <w:lang w:val="en-ID"/>
        </w:rPr>
        <w:t xml:space="preserve"> </w:t>
      </w:r>
      <w:r w:rsidRPr="00042FDB">
        <w:rPr>
          <w:lang w:val="en-ID"/>
        </w:rPr>
        <w:t>Title and abstract screening and full-text assessment were independently conducted by two reviewers using the same eligibility criteria. Articles were retained for full-text assessment when the information provided in the abstract was insufficient to determine eligibility. Differences in decisions were resolved through discussion, while unresolved disagreements were reviewed by a third reviewer. Each excluded article was assigned only one principal reason for exclusion.</w:t>
      </w:r>
    </w:p>
    <w:p w14:paraId="19E58276" w14:textId="72CC4512" w:rsidR="00042FDB" w:rsidRPr="00042FDB" w:rsidRDefault="00042FDB" w:rsidP="00042FDB">
      <w:pPr>
        <w:ind w:firstLine="709"/>
        <w:jc w:val="both"/>
        <w:rPr>
          <w:lang w:val="en-ID"/>
        </w:rPr>
      </w:pPr>
      <w:r w:rsidRPr="00042FDB">
        <w:rPr>
          <w:lang w:val="en-ID"/>
        </w:rPr>
        <w:t>Data extraction was conducted by one reviewer and comprehensively verified by a second reviewer. Verification covered the number of species, number of families, communities, geographical areas, plant parts, preparation methods, routes of administration, intended uses, and the numerators and denominators used in the analysis.</w:t>
      </w:r>
      <w:r>
        <w:rPr>
          <w:lang w:val="en-ID"/>
        </w:rPr>
        <w:t xml:space="preserve"> </w:t>
      </w:r>
      <w:r w:rsidRPr="00042FDB">
        <w:rPr>
          <w:lang w:val="en-ID"/>
        </w:rPr>
        <w:t>The articles were classified into three categories. Group A comprised studies specifically examining medicinal plants used in postpartum maternal care. Group B comprised studies with a broader scope in which postpartum-specific plant data could be extracted separately. Group C comprised studies that combined data on pregnancy, childbirth, the postpartum period, or maternal health without adequately separating the relevant plant species. Groups A and B were included in the principal synthesis and exploratory meta-analysis, whereas Group C was used only in the narrative synthesis.</w:t>
      </w:r>
    </w:p>
    <w:p w14:paraId="44376133" w14:textId="235BD01C" w:rsidR="00291059" w:rsidRPr="00291059" w:rsidRDefault="00291059" w:rsidP="00C516E5">
      <w:pPr>
        <w:jc w:val="both"/>
        <w:rPr>
          <w:b/>
          <w:bCs/>
        </w:rPr>
      </w:pPr>
      <w:r w:rsidRPr="00291059">
        <w:rPr>
          <w:b/>
          <w:bCs/>
        </w:rPr>
        <w:t>Research PICO</w:t>
      </w:r>
      <w:r w:rsidR="00C516E5">
        <w:rPr>
          <w:b/>
          <w:bCs/>
        </w:rPr>
        <w:t xml:space="preserve"> </w:t>
      </w:r>
      <w:r w:rsidR="00C516E5" w:rsidRPr="00C516E5">
        <w:rPr>
          <w:b/>
          <w:bCs/>
        </w:rPr>
        <w:t>Framework</w:t>
      </w:r>
    </w:p>
    <w:p w14:paraId="1B98B899" w14:textId="5F2DD433" w:rsidR="00291059" w:rsidRPr="00291059" w:rsidRDefault="000A4845" w:rsidP="000A4845">
      <w:pPr>
        <w:ind w:firstLine="709"/>
        <w:jc w:val="both"/>
      </w:pPr>
      <w:r w:rsidRPr="000A4845">
        <w:t xml:space="preserve">The PICO framework was adapted to the characteristics of ethnobotanical research, which commonly employs descriptive designs, </w:t>
      </w:r>
      <w:proofErr w:type="spellStart"/>
      <w:r w:rsidRPr="000A4845">
        <w:t>semistructured</w:t>
      </w:r>
      <w:proofErr w:type="spellEnd"/>
      <w:r w:rsidRPr="000A4845">
        <w:t xml:space="preserve"> interviews, in-depth interviews, observations, and field surveys.</w:t>
      </w:r>
    </w:p>
    <w:p w14:paraId="4CEE7B9B" w14:textId="6EBE8D73" w:rsidR="00291059" w:rsidRPr="00291059" w:rsidRDefault="000A4845" w:rsidP="000A4845">
      <w:pPr>
        <w:jc w:val="center"/>
      </w:pPr>
      <w:r w:rsidRPr="000A4845">
        <w:rPr>
          <w:b/>
          <w:bCs/>
        </w:rPr>
        <w:t>Table 1. PICO Framework of the Study</w:t>
      </w:r>
    </w:p>
    <w:tbl>
      <w:tblPr>
        <w:tblW w:w="9350" w:type="dxa"/>
        <w:tblLook w:val="04A0" w:firstRow="1" w:lastRow="0" w:firstColumn="1" w:lastColumn="0" w:noHBand="0" w:noVBand="1"/>
      </w:tblPr>
      <w:tblGrid>
        <w:gridCol w:w="1555"/>
        <w:gridCol w:w="7795"/>
      </w:tblGrid>
      <w:tr w:rsidR="00291059" w:rsidRPr="00291059" w14:paraId="1F32555D" w14:textId="77777777" w:rsidTr="00291059">
        <w:trPr>
          <w:trHeight w:val="290"/>
        </w:trPr>
        <w:tc>
          <w:tcPr>
            <w:tcW w:w="1555" w:type="dxa"/>
            <w:tcBorders>
              <w:top w:val="single" w:sz="4" w:space="0" w:color="auto"/>
              <w:left w:val="single" w:sz="4" w:space="0" w:color="auto"/>
              <w:bottom w:val="single" w:sz="4" w:space="0" w:color="auto"/>
              <w:right w:val="single" w:sz="4" w:space="0" w:color="auto"/>
            </w:tcBorders>
            <w:noWrap/>
            <w:vAlign w:val="center"/>
            <w:hideMark/>
          </w:tcPr>
          <w:p w14:paraId="025A17A9" w14:textId="2A6AA39B" w:rsidR="00291059" w:rsidRPr="00291059" w:rsidRDefault="00C516E5" w:rsidP="00C516E5">
            <w:pPr>
              <w:spacing w:after="0" w:line="240" w:lineRule="auto"/>
              <w:jc w:val="center"/>
              <w:rPr>
                <w:rFonts w:ascii="Calibri" w:eastAsia="Times New Roman" w:hAnsi="Calibri" w:cs="Calibri"/>
                <w:b/>
                <w:bCs/>
                <w:color w:val="000000"/>
                <w:kern w:val="0"/>
                <w14:ligatures w14:val="none"/>
              </w:rPr>
            </w:pPr>
            <w:r w:rsidRPr="00C516E5">
              <w:rPr>
                <w:rFonts w:ascii="Calibri" w:eastAsia="Times New Roman" w:hAnsi="Calibri" w:cs="Calibri"/>
                <w:b/>
                <w:bCs/>
                <w:color w:val="000000"/>
                <w:kern w:val="0"/>
                <w14:ligatures w14:val="none"/>
              </w:rPr>
              <w:t>Component</w:t>
            </w:r>
          </w:p>
        </w:tc>
        <w:tc>
          <w:tcPr>
            <w:tcW w:w="7795" w:type="dxa"/>
            <w:tcBorders>
              <w:top w:val="single" w:sz="4" w:space="0" w:color="auto"/>
              <w:left w:val="nil"/>
              <w:bottom w:val="single" w:sz="4" w:space="0" w:color="auto"/>
              <w:right w:val="single" w:sz="4" w:space="0" w:color="auto"/>
            </w:tcBorders>
            <w:noWrap/>
            <w:vAlign w:val="center"/>
            <w:hideMark/>
          </w:tcPr>
          <w:p w14:paraId="554A51D6" w14:textId="1D9D8245" w:rsidR="00291059" w:rsidRPr="00291059" w:rsidRDefault="00C516E5" w:rsidP="00C516E5">
            <w:pPr>
              <w:spacing w:after="0" w:line="240" w:lineRule="auto"/>
              <w:jc w:val="center"/>
              <w:rPr>
                <w:rFonts w:ascii="Calibri" w:eastAsia="Times New Roman" w:hAnsi="Calibri" w:cs="Calibri"/>
                <w:b/>
                <w:bCs/>
                <w:color w:val="000000"/>
                <w:kern w:val="0"/>
                <w14:ligatures w14:val="none"/>
              </w:rPr>
            </w:pPr>
            <w:r w:rsidRPr="00C516E5">
              <w:rPr>
                <w:rFonts w:ascii="Calibri" w:eastAsia="Times New Roman" w:hAnsi="Calibri" w:cs="Calibri"/>
                <w:b/>
                <w:bCs/>
                <w:color w:val="000000"/>
                <w:kern w:val="0"/>
                <w14:ligatures w14:val="none"/>
              </w:rPr>
              <w:t>Description</w:t>
            </w:r>
          </w:p>
        </w:tc>
      </w:tr>
      <w:tr w:rsidR="00291059" w:rsidRPr="00291059" w14:paraId="76CBE239" w14:textId="77777777" w:rsidTr="00291059">
        <w:trPr>
          <w:trHeight w:val="290"/>
        </w:trPr>
        <w:tc>
          <w:tcPr>
            <w:tcW w:w="1555" w:type="dxa"/>
            <w:tcBorders>
              <w:top w:val="nil"/>
              <w:left w:val="single" w:sz="4" w:space="0" w:color="auto"/>
              <w:bottom w:val="single" w:sz="4" w:space="0" w:color="auto"/>
              <w:right w:val="single" w:sz="4" w:space="0" w:color="auto"/>
            </w:tcBorders>
            <w:noWrap/>
            <w:vAlign w:val="center"/>
            <w:hideMark/>
          </w:tcPr>
          <w:p w14:paraId="69019A5D" w14:textId="77777777" w:rsidR="00291059" w:rsidRPr="00291059" w:rsidRDefault="00291059" w:rsidP="00291059">
            <w:pPr>
              <w:spacing w:after="0" w:line="240" w:lineRule="auto"/>
              <w:jc w:val="center"/>
              <w:rPr>
                <w:rFonts w:ascii="Calibri" w:eastAsia="Times New Roman" w:hAnsi="Calibri" w:cs="Calibri"/>
                <w:color w:val="000000"/>
                <w:kern w:val="0"/>
                <w14:ligatures w14:val="none"/>
              </w:rPr>
            </w:pPr>
            <w:r w:rsidRPr="00291059">
              <w:rPr>
                <w:rFonts w:ascii="Calibri" w:eastAsia="Times New Roman" w:hAnsi="Calibri" w:cs="Calibri"/>
                <w:color w:val="000000"/>
                <w:kern w:val="0"/>
                <w14:ligatures w14:val="none"/>
              </w:rPr>
              <w:t>P</w:t>
            </w:r>
          </w:p>
        </w:tc>
        <w:tc>
          <w:tcPr>
            <w:tcW w:w="7795" w:type="dxa"/>
            <w:tcBorders>
              <w:top w:val="nil"/>
              <w:left w:val="nil"/>
              <w:bottom w:val="single" w:sz="4" w:space="0" w:color="auto"/>
              <w:right w:val="single" w:sz="4" w:space="0" w:color="auto"/>
            </w:tcBorders>
            <w:noWrap/>
            <w:vAlign w:val="center"/>
            <w:hideMark/>
          </w:tcPr>
          <w:p w14:paraId="7D8BC9DB" w14:textId="0EB96C5E" w:rsidR="00291059" w:rsidRPr="00291059" w:rsidRDefault="00C17A6C" w:rsidP="00C17A6C">
            <w:pPr>
              <w:spacing w:after="0" w:line="240" w:lineRule="auto"/>
              <w:jc w:val="center"/>
              <w:rPr>
                <w:rFonts w:ascii="Calibri" w:eastAsia="Times New Roman" w:hAnsi="Calibri" w:cs="Calibri"/>
                <w:color w:val="000000"/>
                <w:kern w:val="0"/>
                <w14:ligatures w14:val="none"/>
              </w:rPr>
            </w:pPr>
            <w:r w:rsidRPr="00C17A6C">
              <w:rPr>
                <w:rFonts w:ascii="Calibri" w:eastAsia="Times New Roman" w:hAnsi="Calibri" w:cs="Calibri"/>
                <w:color w:val="000000"/>
                <w:kern w:val="0"/>
                <w14:ligatures w14:val="none"/>
              </w:rPr>
              <w:t>Postpartum women and informants with knowledge of postnatal care, including traditional birth attendants, traditional healers, herbal practitioners, customary elders, family members, and women who use traditional herbal preparations</w:t>
            </w:r>
            <w:r w:rsidR="00291059" w:rsidRPr="00291059">
              <w:rPr>
                <w:rFonts w:ascii="Calibri" w:eastAsia="Times New Roman" w:hAnsi="Calibri" w:cs="Calibri"/>
                <w:color w:val="000000"/>
                <w:kern w:val="0"/>
                <w14:ligatures w14:val="none"/>
              </w:rPr>
              <w:t>.</w:t>
            </w:r>
          </w:p>
        </w:tc>
      </w:tr>
      <w:tr w:rsidR="00291059" w:rsidRPr="00291059" w14:paraId="0748944E" w14:textId="77777777" w:rsidTr="00291059">
        <w:trPr>
          <w:trHeight w:val="290"/>
        </w:trPr>
        <w:tc>
          <w:tcPr>
            <w:tcW w:w="1555" w:type="dxa"/>
            <w:tcBorders>
              <w:top w:val="nil"/>
              <w:left w:val="single" w:sz="4" w:space="0" w:color="auto"/>
              <w:bottom w:val="single" w:sz="4" w:space="0" w:color="auto"/>
              <w:right w:val="single" w:sz="4" w:space="0" w:color="auto"/>
            </w:tcBorders>
            <w:noWrap/>
            <w:vAlign w:val="center"/>
            <w:hideMark/>
          </w:tcPr>
          <w:p w14:paraId="06B294BB" w14:textId="77777777" w:rsidR="00291059" w:rsidRPr="00291059" w:rsidRDefault="00291059" w:rsidP="00291059">
            <w:pPr>
              <w:spacing w:after="0" w:line="240" w:lineRule="auto"/>
              <w:jc w:val="center"/>
              <w:rPr>
                <w:rFonts w:ascii="Calibri" w:eastAsia="Times New Roman" w:hAnsi="Calibri" w:cs="Calibri"/>
                <w:color w:val="000000"/>
                <w:kern w:val="0"/>
                <w14:ligatures w14:val="none"/>
              </w:rPr>
            </w:pPr>
            <w:r w:rsidRPr="00291059">
              <w:rPr>
                <w:rFonts w:ascii="Calibri" w:eastAsia="Times New Roman" w:hAnsi="Calibri" w:cs="Calibri"/>
                <w:color w:val="000000"/>
                <w:kern w:val="0"/>
                <w14:ligatures w14:val="none"/>
              </w:rPr>
              <w:t>I</w:t>
            </w:r>
          </w:p>
        </w:tc>
        <w:tc>
          <w:tcPr>
            <w:tcW w:w="7795" w:type="dxa"/>
            <w:tcBorders>
              <w:top w:val="nil"/>
              <w:left w:val="nil"/>
              <w:bottom w:val="single" w:sz="4" w:space="0" w:color="auto"/>
              <w:right w:val="single" w:sz="4" w:space="0" w:color="auto"/>
            </w:tcBorders>
            <w:noWrap/>
            <w:vAlign w:val="center"/>
            <w:hideMark/>
          </w:tcPr>
          <w:p w14:paraId="0C006C54" w14:textId="3D2227F1" w:rsidR="00291059" w:rsidRPr="00291059" w:rsidRDefault="00C17A6C" w:rsidP="00C17A6C">
            <w:pPr>
              <w:spacing w:after="0" w:line="240" w:lineRule="auto"/>
              <w:jc w:val="center"/>
              <w:rPr>
                <w:rFonts w:ascii="Calibri" w:eastAsia="Times New Roman" w:hAnsi="Calibri" w:cs="Calibri"/>
                <w:color w:val="000000"/>
                <w:kern w:val="0"/>
                <w14:ligatures w14:val="none"/>
              </w:rPr>
            </w:pPr>
            <w:r w:rsidRPr="00C17A6C">
              <w:rPr>
                <w:rFonts w:ascii="Calibri" w:eastAsia="Times New Roman" w:hAnsi="Calibri" w:cs="Calibri"/>
                <w:color w:val="000000"/>
                <w:kern w:val="0"/>
                <w14:ligatures w14:val="none"/>
              </w:rPr>
              <w:t xml:space="preserve">The use of medicinal plants, </w:t>
            </w:r>
            <w:r w:rsidRPr="00C17A6C">
              <w:rPr>
                <w:rFonts w:ascii="Calibri" w:eastAsia="Times New Roman" w:hAnsi="Calibri" w:cs="Calibri"/>
                <w:i/>
                <w:iCs/>
                <w:color w:val="000000"/>
                <w:kern w:val="0"/>
                <w14:ligatures w14:val="none"/>
              </w:rPr>
              <w:t>jamu</w:t>
            </w:r>
            <w:r w:rsidRPr="00C17A6C">
              <w:rPr>
                <w:rFonts w:ascii="Calibri" w:eastAsia="Times New Roman" w:hAnsi="Calibri" w:cs="Calibri"/>
                <w:color w:val="000000"/>
                <w:kern w:val="0"/>
                <w14:ligatures w14:val="none"/>
              </w:rPr>
              <w:t xml:space="preserve">, oral herbal preparations, medicinal foods, herbal baths, topical applications, </w:t>
            </w:r>
            <w:proofErr w:type="spellStart"/>
            <w:r w:rsidRPr="00C17A6C">
              <w:rPr>
                <w:rFonts w:ascii="Calibri" w:eastAsia="Times New Roman" w:hAnsi="Calibri" w:cs="Calibri"/>
                <w:i/>
                <w:iCs/>
                <w:color w:val="000000"/>
                <w:kern w:val="0"/>
                <w14:ligatures w14:val="none"/>
              </w:rPr>
              <w:t>tapel</w:t>
            </w:r>
            <w:proofErr w:type="spellEnd"/>
            <w:r w:rsidRPr="00C17A6C">
              <w:rPr>
                <w:rFonts w:ascii="Calibri" w:eastAsia="Times New Roman" w:hAnsi="Calibri" w:cs="Calibri"/>
                <w:color w:val="000000"/>
                <w:kern w:val="0"/>
                <w14:ligatures w14:val="none"/>
              </w:rPr>
              <w:t>, compresses, powders, steam treatments, or other plant-based materials for postpartum maternal care</w:t>
            </w:r>
            <w:r w:rsidR="00291059" w:rsidRPr="00291059">
              <w:rPr>
                <w:rFonts w:ascii="Calibri" w:eastAsia="Times New Roman" w:hAnsi="Calibri" w:cs="Calibri"/>
                <w:color w:val="000000"/>
                <w:kern w:val="0"/>
                <w14:ligatures w14:val="none"/>
              </w:rPr>
              <w:t>.</w:t>
            </w:r>
          </w:p>
        </w:tc>
      </w:tr>
      <w:tr w:rsidR="00291059" w:rsidRPr="00291059" w14:paraId="71902049" w14:textId="77777777" w:rsidTr="00291059">
        <w:trPr>
          <w:trHeight w:val="290"/>
        </w:trPr>
        <w:tc>
          <w:tcPr>
            <w:tcW w:w="1555" w:type="dxa"/>
            <w:tcBorders>
              <w:top w:val="nil"/>
              <w:left w:val="single" w:sz="4" w:space="0" w:color="auto"/>
              <w:bottom w:val="single" w:sz="4" w:space="0" w:color="auto"/>
              <w:right w:val="single" w:sz="4" w:space="0" w:color="auto"/>
            </w:tcBorders>
            <w:noWrap/>
            <w:vAlign w:val="center"/>
            <w:hideMark/>
          </w:tcPr>
          <w:p w14:paraId="066E3A3F" w14:textId="77777777" w:rsidR="00291059" w:rsidRPr="00291059" w:rsidRDefault="00291059" w:rsidP="00291059">
            <w:pPr>
              <w:spacing w:after="0" w:line="240" w:lineRule="auto"/>
              <w:jc w:val="center"/>
              <w:rPr>
                <w:rFonts w:ascii="Calibri" w:eastAsia="Times New Roman" w:hAnsi="Calibri" w:cs="Calibri"/>
                <w:color w:val="000000"/>
                <w:kern w:val="0"/>
                <w14:ligatures w14:val="none"/>
              </w:rPr>
            </w:pPr>
            <w:r w:rsidRPr="00291059">
              <w:rPr>
                <w:rFonts w:ascii="Calibri" w:eastAsia="Times New Roman" w:hAnsi="Calibri" w:cs="Calibri"/>
                <w:color w:val="000000"/>
                <w:kern w:val="0"/>
                <w14:ligatures w14:val="none"/>
              </w:rPr>
              <w:lastRenderedPageBreak/>
              <w:t>C</w:t>
            </w:r>
          </w:p>
        </w:tc>
        <w:tc>
          <w:tcPr>
            <w:tcW w:w="7795" w:type="dxa"/>
            <w:tcBorders>
              <w:top w:val="nil"/>
              <w:left w:val="nil"/>
              <w:bottom w:val="single" w:sz="4" w:space="0" w:color="auto"/>
              <w:right w:val="single" w:sz="4" w:space="0" w:color="auto"/>
            </w:tcBorders>
            <w:noWrap/>
            <w:vAlign w:val="center"/>
            <w:hideMark/>
          </w:tcPr>
          <w:p w14:paraId="4DBD486B" w14:textId="70270B95" w:rsidR="00291059" w:rsidRPr="00291059" w:rsidRDefault="00BF49DC" w:rsidP="00BF49DC">
            <w:pPr>
              <w:spacing w:after="0" w:line="240" w:lineRule="auto"/>
              <w:jc w:val="center"/>
              <w:rPr>
                <w:rFonts w:ascii="Calibri" w:eastAsia="Times New Roman" w:hAnsi="Calibri" w:cs="Calibri"/>
                <w:color w:val="000000"/>
                <w:kern w:val="0"/>
                <w14:ligatures w14:val="none"/>
              </w:rPr>
            </w:pPr>
            <w:r w:rsidRPr="00BF49DC">
              <w:rPr>
                <w:rFonts w:ascii="Calibri" w:eastAsia="Times New Roman" w:hAnsi="Calibri" w:cs="Calibri"/>
                <w:color w:val="000000"/>
                <w:kern w:val="0"/>
                <w14:ligatures w14:val="none"/>
              </w:rPr>
              <w:t>Comparisons of plant composition across articles, communities, geographical areas, plant families, plant parts, preparation methods, routes of administration, and intended uses</w:t>
            </w:r>
            <w:r w:rsidR="00291059" w:rsidRPr="00291059">
              <w:rPr>
                <w:rFonts w:ascii="Calibri" w:eastAsia="Times New Roman" w:hAnsi="Calibri" w:cs="Calibri"/>
                <w:color w:val="000000"/>
                <w:kern w:val="0"/>
                <w14:ligatures w14:val="none"/>
              </w:rPr>
              <w:t>.</w:t>
            </w:r>
          </w:p>
        </w:tc>
      </w:tr>
      <w:tr w:rsidR="00291059" w:rsidRPr="00291059" w14:paraId="283D9B4B" w14:textId="77777777" w:rsidTr="00291059">
        <w:trPr>
          <w:trHeight w:val="290"/>
        </w:trPr>
        <w:tc>
          <w:tcPr>
            <w:tcW w:w="1555" w:type="dxa"/>
            <w:tcBorders>
              <w:top w:val="nil"/>
              <w:left w:val="single" w:sz="4" w:space="0" w:color="auto"/>
              <w:bottom w:val="single" w:sz="4" w:space="0" w:color="auto"/>
              <w:right w:val="single" w:sz="4" w:space="0" w:color="auto"/>
            </w:tcBorders>
            <w:noWrap/>
            <w:vAlign w:val="center"/>
            <w:hideMark/>
          </w:tcPr>
          <w:p w14:paraId="4133948B" w14:textId="77777777" w:rsidR="00291059" w:rsidRPr="00291059" w:rsidRDefault="00291059" w:rsidP="00291059">
            <w:pPr>
              <w:spacing w:after="0" w:line="240" w:lineRule="auto"/>
              <w:jc w:val="center"/>
              <w:rPr>
                <w:rFonts w:ascii="Calibri" w:eastAsia="Times New Roman" w:hAnsi="Calibri" w:cs="Calibri"/>
                <w:color w:val="000000"/>
                <w:kern w:val="0"/>
                <w14:ligatures w14:val="none"/>
              </w:rPr>
            </w:pPr>
            <w:r w:rsidRPr="00291059">
              <w:rPr>
                <w:rFonts w:ascii="Calibri" w:eastAsia="Times New Roman" w:hAnsi="Calibri" w:cs="Calibri"/>
                <w:color w:val="000000"/>
                <w:kern w:val="0"/>
                <w14:ligatures w14:val="none"/>
              </w:rPr>
              <w:t>O</w:t>
            </w:r>
          </w:p>
        </w:tc>
        <w:tc>
          <w:tcPr>
            <w:tcW w:w="7795" w:type="dxa"/>
            <w:tcBorders>
              <w:top w:val="nil"/>
              <w:left w:val="nil"/>
              <w:bottom w:val="single" w:sz="4" w:space="0" w:color="auto"/>
              <w:right w:val="single" w:sz="4" w:space="0" w:color="auto"/>
            </w:tcBorders>
            <w:noWrap/>
            <w:vAlign w:val="center"/>
            <w:hideMark/>
          </w:tcPr>
          <w:p w14:paraId="72D6746E" w14:textId="0312AA3F" w:rsidR="00291059" w:rsidRPr="00291059" w:rsidRDefault="00BF49DC" w:rsidP="00BF49DC">
            <w:pPr>
              <w:spacing w:after="0" w:line="240" w:lineRule="auto"/>
              <w:jc w:val="center"/>
              <w:rPr>
                <w:rFonts w:ascii="Calibri" w:eastAsia="Times New Roman" w:hAnsi="Calibri" w:cs="Calibri"/>
                <w:color w:val="000000"/>
                <w:kern w:val="0"/>
                <w14:ligatures w14:val="none"/>
              </w:rPr>
            </w:pPr>
            <w:r w:rsidRPr="00BF49DC">
              <w:rPr>
                <w:rFonts w:ascii="Calibri" w:eastAsia="Times New Roman" w:hAnsi="Calibri" w:cs="Calibri"/>
                <w:color w:val="000000"/>
                <w:kern w:val="0"/>
                <w14:ligatures w14:val="none"/>
              </w:rPr>
              <w:t xml:space="preserve">The identity and number of species, plant families, plant parts, preparation methods, routes of administration, indications, community and geographical distributions, ethnobotanical indices, and article-level proportions of </w:t>
            </w:r>
            <w:proofErr w:type="spellStart"/>
            <w:r w:rsidRPr="00BF49DC">
              <w:rPr>
                <w:rFonts w:ascii="Calibri" w:eastAsia="Times New Roman" w:hAnsi="Calibri" w:cs="Calibri"/>
                <w:color w:val="000000"/>
                <w:kern w:val="0"/>
                <w14:ligatures w14:val="none"/>
              </w:rPr>
              <w:t>Zingiberaceae</w:t>
            </w:r>
            <w:proofErr w:type="spellEnd"/>
            <w:r w:rsidR="00291059" w:rsidRPr="00291059">
              <w:rPr>
                <w:rFonts w:ascii="Calibri" w:eastAsia="Times New Roman" w:hAnsi="Calibri" w:cs="Calibri"/>
                <w:color w:val="000000"/>
                <w:kern w:val="0"/>
                <w14:ligatures w14:val="none"/>
              </w:rPr>
              <w:t>.</w:t>
            </w:r>
          </w:p>
        </w:tc>
      </w:tr>
    </w:tbl>
    <w:p w14:paraId="1A41493D" w14:textId="77777777" w:rsidR="00291059" w:rsidRDefault="00291059" w:rsidP="00291059">
      <w:pPr>
        <w:jc w:val="both"/>
        <w:rPr>
          <w:b/>
          <w:bCs/>
        </w:rPr>
      </w:pPr>
    </w:p>
    <w:p w14:paraId="7206522C" w14:textId="4F728EC0" w:rsidR="00291059" w:rsidRPr="00291059" w:rsidRDefault="00BF49DC" w:rsidP="00BF49DC">
      <w:pPr>
        <w:jc w:val="both"/>
        <w:rPr>
          <w:b/>
          <w:bCs/>
        </w:rPr>
      </w:pPr>
      <w:r w:rsidRPr="00BF49DC">
        <w:rPr>
          <w:b/>
          <w:bCs/>
        </w:rPr>
        <w:t>Eligibility Criteria</w:t>
      </w:r>
    </w:p>
    <w:p w14:paraId="323E9FE0" w14:textId="77777777" w:rsidR="00BF49DC" w:rsidRPr="00BF49DC" w:rsidRDefault="00BF49DC" w:rsidP="00BF49DC">
      <w:pPr>
        <w:ind w:firstLine="709"/>
        <w:jc w:val="both"/>
        <w:rPr>
          <w:lang w:val="en-ID"/>
        </w:rPr>
      </w:pPr>
      <w:r w:rsidRPr="00BF49DC">
        <w:rPr>
          <w:lang w:val="en-ID"/>
        </w:rPr>
        <w:t>Articles were included if they reported primary ethnobotanical, ethnomedical, descriptive, qualitative, or mixed-methods research; were conducted in Indonesia; documented the use of plant materials for postpartum maternal care; and reported an ethnic group, Indigenous people, or local community that could be geographically and culturally identified. Articles were also required to provide extractable botanical or ethnobotanical data, such as local names, scientific names, plant families, number of species, plant parts, preparation methods, routes of administration, indications, or ethnobotanical indices.</w:t>
      </w:r>
    </w:p>
    <w:p w14:paraId="2DD4EBFE" w14:textId="709FA359" w:rsidR="00BF49DC" w:rsidRPr="00BF49DC" w:rsidRDefault="00BF49DC" w:rsidP="00BF49DC">
      <w:pPr>
        <w:ind w:firstLine="709"/>
        <w:jc w:val="both"/>
        <w:rPr>
          <w:lang w:val="en-ID"/>
        </w:rPr>
      </w:pPr>
      <w:r w:rsidRPr="00BF49DC">
        <w:rPr>
          <w:lang w:val="en-ID"/>
        </w:rPr>
        <w:t>An ethnic community was defined as a group identified as a tribe or ethnic group in the original article. Indigenous peoples were defined as groups possessing a customary identity, traditional territory, and intergenerationally transmitted knowledge. Local communities included named communities residing in a particular geographical area and sharing common healthcare practices, even when they were not explicitly identified as ethnic groups.</w:t>
      </w:r>
      <w:r>
        <w:rPr>
          <w:lang w:val="en-ID"/>
        </w:rPr>
        <w:t xml:space="preserve"> </w:t>
      </w:r>
      <w:r w:rsidRPr="00BF49DC">
        <w:rPr>
          <w:lang w:val="en-ID"/>
        </w:rPr>
        <w:t>No restrictions were imposed on publication year because earlier ethnobotanical documentation could still provide relevant information. Articles that were not directly accessible were searched through publisher websites, institutional repositories, Garuda, other legitimate versions of the publication, and communication with the authors. The absence of a full-text version was used as a reason for exclusion only after all retrieval efforts had been exhausted.</w:t>
      </w:r>
    </w:p>
    <w:p w14:paraId="09AAC0BE" w14:textId="30BA370A" w:rsidR="00BF49DC" w:rsidRPr="00BF49DC" w:rsidRDefault="00BF49DC" w:rsidP="00BF49DC">
      <w:pPr>
        <w:ind w:firstLine="709"/>
        <w:jc w:val="both"/>
        <w:rPr>
          <w:lang w:val="en-ID"/>
        </w:rPr>
      </w:pPr>
      <w:r w:rsidRPr="00BF49DC">
        <w:rPr>
          <w:lang w:val="en-ID"/>
        </w:rPr>
        <w:t>Studies covering pregnancy, childbirth, the postpartum period, lactation, or infant care were eligible for inclusion in the systematic review. However, an article was included in the pooled analysis only when plant species specifically used for postpartum maternal care could be separated from other data. Multiethnic articles were treated as combined inventories when data for each community were not separately available and were not labelled as representing a single ethnic group.</w:t>
      </w:r>
      <w:r>
        <w:rPr>
          <w:lang w:val="en-ID"/>
        </w:rPr>
        <w:t xml:space="preserve"> </w:t>
      </w:r>
      <w:r w:rsidRPr="00BF49DC">
        <w:rPr>
          <w:lang w:val="en-ID"/>
        </w:rPr>
        <w:t>Articles were excluded if they were reviews, editorials, conference abstracts, undergraduate theses, master’s theses, dissertations, books, or non-article reports; were conducted outside Indonesia; did not address the postpartum period; focused exclusively on infant care; evaluated only one herbal product through clinical or pharmacological testing; failed to identify plant materials; or contained data overlapping with another publication. Non-plant practices, including massage, abdominal binding, heat therapy, and rituals, were recorded only as contextual information when the article also reported the use of plant materials.</w:t>
      </w:r>
    </w:p>
    <w:p w14:paraId="7A8B665B" w14:textId="77777777" w:rsidR="00291059" w:rsidRPr="00291059" w:rsidRDefault="00291059" w:rsidP="00291059">
      <w:pPr>
        <w:jc w:val="both"/>
        <w:rPr>
          <w:b/>
          <w:bCs/>
        </w:rPr>
      </w:pPr>
      <w:r w:rsidRPr="00291059">
        <w:rPr>
          <w:b/>
          <w:bCs/>
        </w:rPr>
        <w:t>Article Search Strategy</w:t>
      </w:r>
    </w:p>
    <w:p w14:paraId="50E29FE0" w14:textId="52DCD8E5" w:rsidR="00291059" w:rsidRPr="00291059" w:rsidRDefault="00A97F19" w:rsidP="00A97F19">
      <w:pPr>
        <w:ind w:firstLine="709"/>
        <w:jc w:val="both"/>
      </w:pPr>
      <w:r w:rsidRPr="00A97F19">
        <w:t>The literature search was conducted in PubMed, Scopus, ScienceDirect, Google Scholar, and Garuda for publications available up to 2026. The keywords combined terms related to ethnobotany, ethnomedicine, medicinal plants, traditional medicine, the postpartum period, postnatal care, ethnic communities, Indigenous peoples, and Indonesia. The search syntax was adapted to the characteristics of each database.</w:t>
      </w:r>
    </w:p>
    <w:p w14:paraId="211C4718" w14:textId="4025BC54" w:rsidR="00291059" w:rsidRPr="00291059" w:rsidRDefault="00A97F19" w:rsidP="00A97F19">
      <w:pPr>
        <w:jc w:val="both"/>
      </w:pPr>
      <w:r w:rsidRPr="00A97F19">
        <w:lastRenderedPageBreak/>
        <w:t>The general English-language search strategy was as follows:</w:t>
      </w:r>
    </w:p>
    <w:p w14:paraId="54E01AB7" w14:textId="473DAF4C" w:rsidR="00291059" w:rsidRPr="00291059" w:rsidRDefault="00291059" w:rsidP="00291059">
      <w:pPr>
        <w:jc w:val="both"/>
      </w:pPr>
      <w:r w:rsidRPr="00291059">
        <w:t>(</w:t>
      </w:r>
      <w:proofErr w:type="spellStart"/>
      <w:r w:rsidRPr="00291059">
        <w:t>ethnobotan</w:t>
      </w:r>
      <w:proofErr w:type="spellEnd"/>
      <w:r w:rsidRPr="00291059">
        <w:t xml:space="preserve"> OR </w:t>
      </w:r>
      <w:proofErr w:type="spellStart"/>
      <w:r w:rsidRPr="00291059">
        <w:t>ethnomedic</w:t>
      </w:r>
      <w:proofErr w:type="spellEnd"/>
      <w:r w:rsidRPr="00291059">
        <w:t xml:space="preserve"> OR "medicinal plant" OR "traditional medicine" OR herbal OR jamu) AND (postpartum OR postnatal OR </w:t>
      </w:r>
      <w:proofErr w:type="spellStart"/>
      <w:r w:rsidRPr="00291059">
        <w:t>puerper</w:t>
      </w:r>
      <w:proofErr w:type="spellEnd"/>
      <w:r w:rsidRPr="00291059">
        <w:t xml:space="preserve"> OR "after childbirth" OR "maternal care") AND (ethnic OR tribe OR indigenous OR "local </w:t>
      </w:r>
      <w:proofErr w:type="spellStart"/>
      <w:r w:rsidRPr="00291059">
        <w:t>communit</w:t>
      </w:r>
      <w:proofErr w:type="spellEnd"/>
      <w:r w:rsidRPr="00291059">
        <w:t>") AND Indonesia</w:t>
      </w:r>
    </w:p>
    <w:p w14:paraId="346DC4C2" w14:textId="46C8172C" w:rsidR="00291059" w:rsidRPr="00291059" w:rsidRDefault="00174760" w:rsidP="00174760">
      <w:pPr>
        <w:jc w:val="both"/>
      </w:pPr>
      <w:r w:rsidRPr="00174760">
        <w:t>The Indonesian-language search strategy was as follows</w:t>
      </w:r>
      <w:r w:rsidR="00291059" w:rsidRPr="00291059">
        <w:t>:</w:t>
      </w:r>
    </w:p>
    <w:p w14:paraId="72221DFD" w14:textId="77777777" w:rsidR="00291059" w:rsidRPr="00291059" w:rsidRDefault="00291059" w:rsidP="00291059">
      <w:pPr>
        <w:ind w:left="709"/>
        <w:jc w:val="both"/>
      </w:pPr>
      <w:r w:rsidRPr="00291059">
        <w:t>(</w:t>
      </w:r>
      <w:proofErr w:type="spellStart"/>
      <w:r w:rsidRPr="00291059">
        <w:t>etnobotani</w:t>
      </w:r>
      <w:proofErr w:type="spellEnd"/>
      <w:r w:rsidRPr="00291059">
        <w:t xml:space="preserve"> OR </w:t>
      </w:r>
      <w:proofErr w:type="spellStart"/>
      <w:r w:rsidRPr="00291059">
        <w:t>etnomedisin</w:t>
      </w:r>
      <w:proofErr w:type="spellEnd"/>
      <w:r w:rsidRPr="00291059">
        <w:t xml:space="preserve"> OR "</w:t>
      </w:r>
      <w:proofErr w:type="spellStart"/>
      <w:r w:rsidRPr="00291059">
        <w:t>tumbuhan</w:t>
      </w:r>
      <w:proofErr w:type="spellEnd"/>
      <w:r w:rsidRPr="00291059">
        <w:t xml:space="preserve"> </w:t>
      </w:r>
      <w:proofErr w:type="spellStart"/>
      <w:r w:rsidRPr="00291059">
        <w:t>obat</w:t>
      </w:r>
      <w:proofErr w:type="spellEnd"/>
      <w:r w:rsidRPr="00291059">
        <w:t>" OR "</w:t>
      </w:r>
      <w:proofErr w:type="spellStart"/>
      <w:r w:rsidRPr="00291059">
        <w:t>tanaman</w:t>
      </w:r>
      <w:proofErr w:type="spellEnd"/>
      <w:r w:rsidRPr="00291059">
        <w:t xml:space="preserve"> </w:t>
      </w:r>
      <w:proofErr w:type="spellStart"/>
      <w:r w:rsidRPr="00291059">
        <w:t>obat</w:t>
      </w:r>
      <w:proofErr w:type="spellEnd"/>
      <w:r w:rsidRPr="00291059">
        <w:t>" OR "</w:t>
      </w:r>
      <w:proofErr w:type="spellStart"/>
      <w:r w:rsidRPr="00291059">
        <w:t>obat</w:t>
      </w:r>
      <w:proofErr w:type="spellEnd"/>
      <w:r w:rsidRPr="00291059">
        <w:t xml:space="preserve"> </w:t>
      </w:r>
      <w:proofErr w:type="spellStart"/>
      <w:r w:rsidRPr="00291059">
        <w:t>tradisional</w:t>
      </w:r>
      <w:proofErr w:type="spellEnd"/>
      <w:r w:rsidRPr="00291059">
        <w:t xml:space="preserve">" OR </w:t>
      </w:r>
      <w:proofErr w:type="spellStart"/>
      <w:r w:rsidRPr="00291059">
        <w:t>ramuan</w:t>
      </w:r>
      <w:proofErr w:type="spellEnd"/>
      <w:r w:rsidRPr="00291059">
        <w:t xml:space="preserve"> OR jamu) AND (</w:t>
      </w:r>
      <w:proofErr w:type="spellStart"/>
      <w:r w:rsidRPr="00291059">
        <w:t>nifas</w:t>
      </w:r>
      <w:proofErr w:type="spellEnd"/>
      <w:r w:rsidRPr="00291059">
        <w:t xml:space="preserve"> OR "</w:t>
      </w:r>
      <w:proofErr w:type="spellStart"/>
      <w:r w:rsidRPr="00291059">
        <w:t>pasca</w:t>
      </w:r>
      <w:proofErr w:type="spellEnd"/>
      <w:r w:rsidRPr="00291059">
        <w:t xml:space="preserve"> </w:t>
      </w:r>
      <w:proofErr w:type="spellStart"/>
      <w:r w:rsidRPr="00291059">
        <w:t>melahirkan</w:t>
      </w:r>
      <w:proofErr w:type="spellEnd"/>
      <w:r w:rsidRPr="00291059">
        <w:t>" OR "</w:t>
      </w:r>
      <w:proofErr w:type="spellStart"/>
      <w:r w:rsidRPr="00291059">
        <w:t>pasca</w:t>
      </w:r>
      <w:proofErr w:type="spellEnd"/>
      <w:r w:rsidRPr="00291059">
        <w:t xml:space="preserve"> </w:t>
      </w:r>
      <w:proofErr w:type="spellStart"/>
      <w:r w:rsidRPr="00291059">
        <w:t>persalinan</w:t>
      </w:r>
      <w:proofErr w:type="spellEnd"/>
      <w:r w:rsidRPr="00291059">
        <w:t>") AND (</w:t>
      </w:r>
      <w:proofErr w:type="spellStart"/>
      <w:r w:rsidRPr="00291059">
        <w:t>suku</w:t>
      </w:r>
      <w:proofErr w:type="spellEnd"/>
      <w:r w:rsidRPr="00291059">
        <w:t xml:space="preserve"> OR </w:t>
      </w:r>
      <w:proofErr w:type="spellStart"/>
      <w:r w:rsidRPr="00291059">
        <w:t>etnis</w:t>
      </w:r>
      <w:proofErr w:type="spellEnd"/>
      <w:r w:rsidRPr="00291059">
        <w:t xml:space="preserve"> OR </w:t>
      </w:r>
      <w:proofErr w:type="spellStart"/>
      <w:r w:rsidRPr="00291059">
        <w:t>adat</w:t>
      </w:r>
      <w:proofErr w:type="spellEnd"/>
      <w:r w:rsidRPr="00291059">
        <w:t xml:space="preserve"> OR "</w:t>
      </w:r>
      <w:proofErr w:type="spellStart"/>
      <w:r w:rsidRPr="00291059">
        <w:t>masyarakat</w:t>
      </w:r>
      <w:proofErr w:type="spellEnd"/>
      <w:r w:rsidRPr="00291059">
        <w:t xml:space="preserve"> </w:t>
      </w:r>
      <w:proofErr w:type="spellStart"/>
      <w:r w:rsidRPr="00291059">
        <w:t>lokal</w:t>
      </w:r>
      <w:proofErr w:type="spellEnd"/>
      <w:r w:rsidRPr="00291059">
        <w:t xml:space="preserve">" OR </w:t>
      </w:r>
      <w:proofErr w:type="spellStart"/>
      <w:r w:rsidRPr="00291059">
        <w:t>komunitas</w:t>
      </w:r>
      <w:proofErr w:type="spellEnd"/>
      <w:r w:rsidRPr="00291059">
        <w:t>)</w:t>
      </w:r>
    </w:p>
    <w:p w14:paraId="21E5791C" w14:textId="1F6F10C3" w:rsidR="00291059" w:rsidRPr="00291059" w:rsidRDefault="00174760" w:rsidP="00174760">
      <w:pPr>
        <w:ind w:firstLine="709"/>
        <w:jc w:val="both"/>
      </w:pPr>
      <w:r w:rsidRPr="00174760">
        <w:t>Additional searches were conducted through reference lists, cited-by functions, journal websites, institutional repositories, and community-name-based searches. The first 200 results from each principal Google Scholar search combination were examined according to relevance. All records were managed using Zotero. Duplicate records were identified by comparing DOI, title, authors, publication year, journal, location, community, and sample characteristics.</w:t>
      </w:r>
    </w:p>
    <w:p w14:paraId="7B63E6EF" w14:textId="77777777" w:rsidR="00291059" w:rsidRPr="00291059" w:rsidRDefault="00291059" w:rsidP="00291059">
      <w:pPr>
        <w:jc w:val="both"/>
        <w:rPr>
          <w:b/>
          <w:bCs/>
        </w:rPr>
      </w:pPr>
      <w:r w:rsidRPr="00291059">
        <w:rPr>
          <w:b/>
          <w:bCs/>
        </w:rPr>
        <w:t>Article Selection</w:t>
      </w:r>
    </w:p>
    <w:p w14:paraId="16A76EBD" w14:textId="1AD6EF63" w:rsidR="00621974" w:rsidRPr="00621974" w:rsidRDefault="00621974" w:rsidP="00621974">
      <w:pPr>
        <w:ind w:firstLine="709"/>
        <w:jc w:val="both"/>
        <w:rPr>
          <w:lang w:val="en-ID"/>
        </w:rPr>
      </w:pPr>
      <w:r w:rsidRPr="00621974">
        <w:rPr>
          <w:lang w:val="en-ID"/>
        </w:rPr>
        <w:t>A total of 94 records were identified through database searches and additional search methods. After five duplicate records were removed, 89 articles underwent title and abstract screening. Fifty articles were excluded because they were irrelevant to postpartum care, were not primary ethnobotanical studies, did not report medicinal plants, were conducted outside Indonesia, or focused exclusively on infants and non-plant practices.</w:t>
      </w:r>
      <w:r>
        <w:rPr>
          <w:lang w:val="en-ID"/>
        </w:rPr>
        <w:t xml:space="preserve"> </w:t>
      </w:r>
      <w:r w:rsidRPr="00621974">
        <w:rPr>
          <w:lang w:val="en-ID"/>
        </w:rPr>
        <w:t>A total of 39 articles were assessed in full-text form. Sixteen articles were excluded because they did not provide postpartum plant data, lacked adequate botanical information, addressed only non-plant cultural practices, focused on clinical or pharmacological testing, or contained overlapping data.</w:t>
      </w:r>
      <w:r>
        <w:rPr>
          <w:lang w:val="en-ID"/>
        </w:rPr>
        <w:t xml:space="preserve"> </w:t>
      </w:r>
      <w:r w:rsidRPr="00621974">
        <w:rPr>
          <w:lang w:val="en-ID"/>
        </w:rPr>
        <w:t xml:space="preserve">A re-audit of the initial 24 included articles resulted in the exclusion of one article on the use of </w:t>
      </w:r>
      <w:proofErr w:type="spellStart"/>
      <w:r w:rsidRPr="00621974">
        <w:rPr>
          <w:i/>
          <w:iCs/>
          <w:lang w:val="en-ID"/>
        </w:rPr>
        <w:t>lalaban</w:t>
      </w:r>
      <w:proofErr w:type="spellEnd"/>
      <w:r w:rsidRPr="00621974">
        <w:rPr>
          <w:lang w:val="en-ID"/>
        </w:rPr>
        <w:t xml:space="preserve"> as food among Sundanese communities because it did not examine medicinal plants used in postpartum care. Consequently, the systematic review included 23 articles, comprising 17 Group A articles, four Group B articles, and two Group C articles. Twenty-one Group A and Group B articles were eligible for the exploratory meta-analysis, whereas the two Group C articles were included only in the narrative synthesis.</w:t>
      </w:r>
    </w:p>
    <w:p w14:paraId="527C1E52" w14:textId="084B5E40" w:rsidR="00291059" w:rsidRDefault="00044173" w:rsidP="00291059">
      <w:pPr>
        <w:jc w:val="center"/>
        <w:rPr>
          <w:b/>
          <w:bCs/>
        </w:rPr>
      </w:pPr>
      <w:r>
        <w:rPr>
          <w:b/>
          <w:bCs/>
          <w:noProof/>
        </w:rPr>
        <w:lastRenderedPageBreak/>
        <w:drawing>
          <wp:inline distT="0" distB="0" distL="0" distR="0" wp14:anchorId="14762760" wp14:editId="1E40F73A">
            <wp:extent cx="4868333" cy="4782042"/>
            <wp:effectExtent l="0" t="0" r="8890" b="0"/>
            <wp:docPr id="204232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83031" cy="4796479"/>
                    </a:xfrm>
                    <a:prstGeom prst="rect">
                      <a:avLst/>
                    </a:prstGeom>
                    <a:noFill/>
                  </pic:spPr>
                </pic:pic>
              </a:graphicData>
            </a:graphic>
          </wp:inline>
        </w:drawing>
      </w:r>
    </w:p>
    <w:p w14:paraId="5D2966AB" w14:textId="4ACBBABC" w:rsidR="00291059" w:rsidRPr="00291059" w:rsidRDefault="00621974" w:rsidP="00621974">
      <w:pPr>
        <w:jc w:val="center"/>
      </w:pPr>
      <w:r w:rsidRPr="00621974">
        <w:rPr>
          <w:b/>
          <w:bCs/>
        </w:rPr>
        <w:t>Figure 1. PRISMA 2020 Flow Diagram of Article Selection</w:t>
      </w:r>
    </w:p>
    <w:p w14:paraId="1854857D" w14:textId="77777777" w:rsidR="00291059" w:rsidRPr="00291059" w:rsidRDefault="00291059" w:rsidP="00291059">
      <w:pPr>
        <w:jc w:val="both"/>
        <w:rPr>
          <w:b/>
          <w:bCs/>
        </w:rPr>
      </w:pPr>
      <w:r w:rsidRPr="00291059">
        <w:rPr>
          <w:b/>
          <w:bCs/>
        </w:rPr>
        <w:t>Data Extraction and Taxonomic Harmonization</w:t>
      </w:r>
    </w:p>
    <w:p w14:paraId="08502D64" w14:textId="56470257" w:rsidR="00621974" w:rsidRDefault="00621974" w:rsidP="00621974">
      <w:pPr>
        <w:ind w:firstLine="709"/>
        <w:jc w:val="both"/>
        <w:rPr>
          <w:lang w:val="en-ID"/>
        </w:rPr>
      </w:pPr>
      <w:r w:rsidRPr="00621974">
        <w:rPr>
          <w:lang w:val="en-ID"/>
        </w:rPr>
        <w:t>The data extraction form included bibliographic information, geographical location, community, number of informants, sampling technique, interview method, number of species and families, local names, scientific names, plant parts, preparation methods, routes of administration, intended uses, ethnobotanical indices, voucher specimens, identification methods, and the separability of postpartum-specific data.</w:t>
      </w:r>
      <w:r>
        <w:rPr>
          <w:lang w:val="en-ID"/>
        </w:rPr>
        <w:t xml:space="preserve"> </w:t>
      </w:r>
      <w:r w:rsidRPr="00621974">
        <w:rPr>
          <w:lang w:val="en-ID"/>
        </w:rPr>
        <w:t>Data were recalculated only when all required components were clearly provided in the tables or descriptions of the original articles. Unavailable data were coded as “not reported” and were not replaced with estimated values. A species was counted only once within an article-level inventory, even when it had multiple indications or methods of use.</w:t>
      </w:r>
      <w:r>
        <w:rPr>
          <w:lang w:val="en-ID"/>
        </w:rPr>
        <w:t xml:space="preserve"> </w:t>
      </w:r>
      <w:r w:rsidRPr="00621974">
        <w:rPr>
          <w:lang w:val="en-ID"/>
        </w:rPr>
        <w:t>Scientific names were verified using World Flora Online and Plants of the World Online. Synonyms were replaced with their accepted names, while the names originally reported in the articles were retained to maintain traceability. Plants identified only to the genus level or reported solely by local names without scientific identification were excluded from the meta-analysis denominator but remained documented in the narrative synthesis.</w:t>
      </w:r>
    </w:p>
    <w:p w14:paraId="5B6DFBF3" w14:textId="77777777" w:rsidR="004F31F4" w:rsidRPr="00621974" w:rsidRDefault="004F31F4" w:rsidP="00621974">
      <w:pPr>
        <w:ind w:firstLine="709"/>
        <w:jc w:val="both"/>
        <w:rPr>
          <w:lang w:val="en-ID"/>
        </w:rPr>
      </w:pPr>
    </w:p>
    <w:p w14:paraId="2F0F855C" w14:textId="77777777" w:rsidR="00291059" w:rsidRPr="00291059" w:rsidRDefault="00291059" w:rsidP="00291059">
      <w:pPr>
        <w:jc w:val="both"/>
        <w:rPr>
          <w:b/>
          <w:bCs/>
        </w:rPr>
      </w:pPr>
      <w:r w:rsidRPr="00291059">
        <w:rPr>
          <w:b/>
          <w:bCs/>
        </w:rPr>
        <w:lastRenderedPageBreak/>
        <w:t>Methodological Quality Assessment</w:t>
      </w:r>
    </w:p>
    <w:p w14:paraId="5DE81983" w14:textId="77777777" w:rsidR="001B0001" w:rsidRPr="001B0001" w:rsidRDefault="001B0001" w:rsidP="001B0001">
      <w:pPr>
        <w:ind w:firstLine="709"/>
        <w:jc w:val="both"/>
        <w:rPr>
          <w:lang w:val="en-ID"/>
        </w:rPr>
      </w:pPr>
      <w:r w:rsidRPr="001B0001">
        <w:rPr>
          <w:lang w:val="en-ID"/>
        </w:rPr>
        <w:t>Methodological quality was assessed using JBI domains adapted to the characteristics of ethnobotanical studies. Each domain was rated as adequate, unclear, or inadequate, without calculating an overall quality score. The assessment domains included the clarity of the study objective, study design, population, sampling, interview methods, analysis, researcher positioning, ethical considerations, botanical identification, availability of voucher specimens, separability of postpartum-specific data, clarity of the denominator, and completeness of plant-use reporting.</w:t>
      </w:r>
    </w:p>
    <w:p w14:paraId="2C27A543" w14:textId="77777777" w:rsidR="001B0001" w:rsidRPr="001B0001" w:rsidRDefault="001B0001" w:rsidP="001B0001">
      <w:pPr>
        <w:ind w:firstLine="709"/>
        <w:jc w:val="both"/>
        <w:rPr>
          <w:lang w:val="en-ID"/>
        </w:rPr>
      </w:pPr>
      <w:r w:rsidRPr="001B0001">
        <w:rPr>
          <w:lang w:val="en-ID"/>
        </w:rPr>
        <w:t>Four critical domains were identified: separability of postpartum-specific data, clarity of the denominator, accuracy of taxonomic identification, and traceability of specimens or botanical documentation. The assessments were conducted independently by two reviewers, and disagreements were resolved through discussion or consultation with a third reviewer.</w:t>
      </w:r>
    </w:p>
    <w:p w14:paraId="22CEF420" w14:textId="77777777" w:rsidR="00291059" w:rsidRPr="00291059" w:rsidRDefault="00291059" w:rsidP="00044173">
      <w:pPr>
        <w:jc w:val="both"/>
        <w:rPr>
          <w:b/>
          <w:bCs/>
        </w:rPr>
      </w:pPr>
      <w:r w:rsidRPr="00291059">
        <w:rPr>
          <w:b/>
          <w:bCs/>
        </w:rPr>
        <w:t>Data Synthesis and Analysis</w:t>
      </w:r>
    </w:p>
    <w:p w14:paraId="11BE6D59" w14:textId="77777777" w:rsidR="001B0001" w:rsidRPr="001B0001" w:rsidRDefault="001B0001" w:rsidP="001B0001">
      <w:pPr>
        <w:ind w:firstLine="709"/>
        <w:jc w:val="both"/>
        <w:rPr>
          <w:lang w:val="en-ID"/>
        </w:rPr>
      </w:pPr>
      <w:r w:rsidRPr="001B0001">
        <w:rPr>
          <w:lang w:val="en-ID"/>
        </w:rPr>
        <w:t>Descriptive analysis was used to present the distribution of articles, communities, geographical areas, species, plant families, plant parts, preparation methods, routes of administration, indications, and methodological quality. The Use Value, Relative Frequency of Citation, Fidelity Level, Informant Consensus Factor, Family Importance Value, and Index of Cultural Significance were not pooled because they were calculated using different formulas and measurement scales.</w:t>
      </w:r>
    </w:p>
    <w:p w14:paraId="5175AC8C" w14:textId="77777777" w:rsidR="001B0001" w:rsidRPr="001B0001" w:rsidRDefault="001B0001" w:rsidP="001B0001">
      <w:pPr>
        <w:ind w:firstLine="709"/>
        <w:jc w:val="both"/>
        <w:rPr>
          <w:lang w:val="en-ID"/>
        </w:rPr>
      </w:pPr>
      <w:r w:rsidRPr="001B0001">
        <w:rPr>
          <w:lang w:val="en-ID"/>
        </w:rPr>
        <w:t>The meta-analysis was performed using JASP with a random-effects model and the restricted maximum likelihood estimator. The effect size was calculated as follows:</w:t>
      </w:r>
    </w:p>
    <w:p w14:paraId="5BEBD8B5" w14:textId="491748A8" w:rsidR="00291059" w:rsidRDefault="00000000" w:rsidP="00291059">
      <w:pPr>
        <w:jc w:val="both"/>
      </w:pPr>
      <m:oMathPara>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i</m:t>
                  </m:r>
                </m:sub>
              </m:sSub>
            </m:num>
            <m:den>
              <m:sSub>
                <m:sSubPr>
                  <m:ctrlPr>
                    <w:rPr>
                      <w:rFonts w:ascii="Cambria Math" w:hAnsi="Cambria Math"/>
                      <w:i/>
                    </w:rPr>
                  </m:ctrlPr>
                </m:sSubPr>
                <m:e>
                  <m:r>
                    <w:rPr>
                      <w:rFonts w:ascii="Cambria Math" w:hAnsi="Cambria Math"/>
                    </w:rPr>
                    <m:t>n</m:t>
                  </m:r>
                </m:e>
                <m:sub>
                  <m:r>
                    <w:rPr>
                      <w:rFonts w:ascii="Cambria Math" w:hAnsi="Cambria Math"/>
                    </w:rPr>
                    <m:t>i</m:t>
                  </m:r>
                </m:sub>
              </m:sSub>
            </m:den>
          </m:f>
        </m:oMath>
      </m:oMathPara>
    </w:p>
    <w:p w14:paraId="43F2B83F" w14:textId="31ECB7C5" w:rsidR="0008213A" w:rsidRPr="0008213A" w:rsidRDefault="001B0001" w:rsidP="0008213A">
      <w:pPr>
        <w:ind w:firstLine="709"/>
        <w:jc w:val="both"/>
        <w:rPr>
          <w:lang w:val="en-ID"/>
        </w:rPr>
      </w:pPr>
      <w:r w:rsidRPr="001B0001">
        <w:t xml:space="preserve">where </w:t>
      </w:r>
      <w:r w:rsidR="00291059" w:rsidRPr="00291059">
        <w:t>(</w:t>
      </w:r>
      <m:oMath>
        <m:sSub>
          <m:sSubPr>
            <m:ctrlPr>
              <w:rPr>
                <w:rFonts w:ascii="Cambria Math" w:hAnsi="Cambria Math"/>
                <w:i/>
              </w:rPr>
            </m:ctrlPr>
          </m:sSubPr>
          <m:e>
            <m:r>
              <w:rPr>
                <w:rFonts w:ascii="Cambria Math" w:hAnsi="Cambria Math"/>
              </w:rPr>
              <m:t>z</m:t>
            </m:r>
          </m:e>
          <m:sub>
            <m:r>
              <w:rPr>
                <w:rFonts w:ascii="Cambria Math" w:hAnsi="Cambria Math"/>
              </w:rPr>
              <m:t>i</m:t>
            </m:r>
          </m:sub>
        </m:sSub>
      </m:oMath>
      <w:r w:rsidR="00291059" w:rsidRPr="00291059">
        <w:t xml:space="preserve">) </w:t>
      </w:r>
      <w:r w:rsidR="0008213A" w:rsidRPr="0008213A">
        <w:t xml:space="preserve">represents the number of </w:t>
      </w:r>
      <w:proofErr w:type="spellStart"/>
      <w:r w:rsidR="0008213A" w:rsidRPr="0008213A">
        <w:t>Zingiberaceae</w:t>
      </w:r>
      <w:proofErr w:type="spellEnd"/>
      <w:r w:rsidR="0008213A" w:rsidRPr="0008213A">
        <w:t xml:space="preserve"> species and </w:t>
      </w:r>
      <w:r w:rsidR="00291059" w:rsidRPr="00291059">
        <w:t>(</w:t>
      </w:r>
      <m:oMath>
        <m:sSub>
          <m:sSubPr>
            <m:ctrlPr>
              <w:rPr>
                <w:rFonts w:ascii="Cambria Math" w:hAnsi="Cambria Math"/>
                <w:i/>
              </w:rPr>
            </m:ctrlPr>
          </m:sSubPr>
          <m:e>
            <m:r>
              <w:rPr>
                <w:rFonts w:ascii="Cambria Math" w:hAnsi="Cambria Math"/>
              </w:rPr>
              <m:t>n</m:t>
            </m:r>
          </m:e>
          <m:sub>
            <m:r>
              <w:rPr>
                <w:rFonts w:ascii="Cambria Math" w:hAnsi="Cambria Math"/>
              </w:rPr>
              <m:t>i</m:t>
            </m:r>
          </m:sub>
        </m:sSub>
      </m:oMath>
      <w:r w:rsidR="00291059" w:rsidRPr="00291059">
        <w:t xml:space="preserve">) </w:t>
      </w:r>
      <w:r w:rsidR="0008213A" w:rsidRPr="0008213A">
        <w:t>represents the total number of postpartum medicinal plant species reported in the (</w:t>
      </w:r>
      <w:proofErr w:type="spellStart"/>
      <w:r w:rsidR="0008213A" w:rsidRPr="0008213A">
        <w:t>i</w:t>
      </w:r>
      <w:proofErr w:type="spellEnd"/>
      <w:r w:rsidR="0008213A" w:rsidRPr="0008213A">
        <w:t>)-</w:t>
      </w:r>
      <w:proofErr w:type="spellStart"/>
      <w:r w:rsidR="0008213A" w:rsidRPr="0008213A">
        <w:t>th</w:t>
      </w:r>
      <w:proofErr w:type="spellEnd"/>
      <w:r w:rsidR="0008213A" w:rsidRPr="0008213A">
        <w:t xml:space="preserve"> article. The proportions were transformed using the logit transformation. When proportions of zero or one were identified, a continuity correction of 0.5 was applied.</w:t>
      </w:r>
      <w:r w:rsidR="0008213A">
        <w:t xml:space="preserve"> </w:t>
      </w:r>
      <w:r w:rsidR="0008213A" w:rsidRPr="0008213A">
        <w:rPr>
          <w:lang w:val="en-ID"/>
        </w:rPr>
        <w:t xml:space="preserve">The principal results included the pooled article-level proportion, 95% confidence interval, 95% prediction interval, Cochran’s Q, (I^2), (\sigma), and (\sigma^2). The p-value was not used to demonstrate the importance or dominance of </w:t>
      </w:r>
      <w:proofErr w:type="spellStart"/>
      <w:r w:rsidR="0008213A" w:rsidRPr="0008213A">
        <w:rPr>
          <w:lang w:val="en-ID"/>
        </w:rPr>
        <w:t>Zingiberaceae</w:t>
      </w:r>
      <w:proofErr w:type="spellEnd"/>
      <w:r w:rsidR="0008213A" w:rsidRPr="0008213A">
        <w:rPr>
          <w:lang w:val="en-ID"/>
        </w:rPr>
        <w:t xml:space="preserve">. Instead, the prediction interval was used to indicate the range of </w:t>
      </w:r>
      <w:proofErr w:type="spellStart"/>
      <w:r w:rsidR="0008213A" w:rsidRPr="0008213A">
        <w:rPr>
          <w:lang w:val="en-ID"/>
        </w:rPr>
        <w:t>Zingiberaceae</w:t>
      </w:r>
      <w:proofErr w:type="spellEnd"/>
      <w:r w:rsidR="0008213A" w:rsidRPr="0008213A">
        <w:rPr>
          <w:lang w:val="en-ID"/>
        </w:rPr>
        <w:t xml:space="preserve"> compositions that might be observed in a new study with comparable characteristics.</w:t>
      </w:r>
    </w:p>
    <w:p w14:paraId="16AA9418" w14:textId="13361315" w:rsidR="0008213A" w:rsidRDefault="0008213A" w:rsidP="0008213A">
      <w:pPr>
        <w:ind w:firstLine="709"/>
        <w:jc w:val="both"/>
        <w:rPr>
          <w:lang w:val="en-ID"/>
        </w:rPr>
      </w:pPr>
      <w:r w:rsidRPr="0008213A">
        <w:rPr>
          <w:lang w:val="en-ID"/>
        </w:rPr>
        <w:t>Subgroup analysis or meta-regression was conducted when the number of available articles was sufficient, based on article group, geographical area, number of informants, number of communities, number of study locations, availability of voucher specimens, data sources, and methodological quality. Sensitivity analyses were performed by restricting the analysis to Group A articles, excluding multiethnic, multisite, or low-quality articles, and applying a leave-one-out approach.</w:t>
      </w:r>
      <w:r>
        <w:rPr>
          <w:lang w:val="en-ID"/>
        </w:rPr>
        <w:t xml:space="preserve"> </w:t>
      </w:r>
      <w:r w:rsidRPr="0008213A">
        <w:rPr>
          <w:lang w:val="en-ID"/>
        </w:rPr>
        <w:t>Funnel plots and formal tests of publication bias were not used because asymmetry could be influenced by biodiversity, geographical area, number of informants, inventory intensity, and the quality of botanical identification. Bias assessment therefore focused on study design quality, the separability of postpartum-specific data, the clarity of the denominator, and the quality of taxonomic reporting.</w:t>
      </w:r>
    </w:p>
    <w:p w14:paraId="43F4A548" w14:textId="77777777" w:rsidR="00BE2CCE" w:rsidRPr="0008213A" w:rsidRDefault="00BE2CCE" w:rsidP="0008213A">
      <w:pPr>
        <w:ind w:firstLine="709"/>
        <w:jc w:val="both"/>
        <w:rPr>
          <w:lang w:val="en-ID"/>
        </w:rPr>
      </w:pPr>
    </w:p>
    <w:p w14:paraId="7B0CCF78" w14:textId="338B02B9" w:rsidR="00871DD2" w:rsidRPr="00E850F2" w:rsidRDefault="00E2066C" w:rsidP="00E2066C">
      <w:pPr>
        <w:rPr>
          <w:b/>
          <w:bCs/>
        </w:rPr>
      </w:pPr>
      <w:r w:rsidRPr="00E2066C">
        <w:rPr>
          <w:b/>
          <w:bCs/>
        </w:rPr>
        <w:lastRenderedPageBreak/>
        <w:t>RESULTS</w:t>
      </w:r>
    </w:p>
    <w:p w14:paraId="35802BE0" w14:textId="6DF386FE" w:rsidR="00871DD2" w:rsidRPr="00E850F2" w:rsidRDefault="00E2066C" w:rsidP="00E2066C">
      <w:pPr>
        <w:rPr>
          <w:b/>
          <w:bCs/>
        </w:rPr>
      </w:pPr>
      <w:r w:rsidRPr="00E2066C">
        <w:rPr>
          <w:b/>
          <w:bCs/>
        </w:rPr>
        <w:t>Characteristics of the Articles Analyzed</w:t>
      </w:r>
    </w:p>
    <w:p w14:paraId="008C43D8" w14:textId="451FE210" w:rsidR="00E2066C" w:rsidRPr="00E2066C" w:rsidRDefault="00E2066C" w:rsidP="00E2066C">
      <w:pPr>
        <w:ind w:firstLine="709"/>
        <w:jc w:val="both"/>
        <w:rPr>
          <w:lang w:val="en-ID"/>
        </w:rPr>
      </w:pPr>
      <w:r w:rsidRPr="00E2066C">
        <w:rPr>
          <w:lang w:val="en-ID"/>
        </w:rPr>
        <w:t>Following a reassessment of the eligibility and consistency of the dataset, 23 primary articles were included in the systematic review. The article by</w:t>
      </w:r>
      <w:r w:rsidR="004F31F4">
        <w:rPr>
          <w:lang w:val="en-ID"/>
        </w:rPr>
        <w:t xml:space="preserve"> </w:t>
      </w:r>
      <w:r w:rsidR="004F31F4">
        <w:rPr>
          <w:lang w:val="en-ID"/>
        </w:rPr>
        <w:fldChar w:fldCharType="begin" w:fldLock="1"/>
      </w:r>
      <w:r w:rsidR="004F31F4">
        <w:rPr>
          <w:lang w:val="en-ID"/>
        </w:rPr>
        <w:instrText>ADDIN CSL_CITATION {"citationItems":[{"id":"ITEM-1","itemData":{"DOI":"10.15294/biosaintifika.v11i1.17917","author":[{"dropping-particle":"","family":"Santoso","given":"E A","non-dropping-particle":"","parse-names":false,"suffix":""},{"dropping-particle":"","family":"Jumari","given":"","non-dropping-particle":"","parse-names":false,"suffix":""},{"dropping-particle":"","family":"Utami","given":"S","non-dropping-particle":"","parse-names":false,"suffix":""}],"container-title":"Biosaintifika: Journal of Biology &amp; Biology Education","id":"ITEM-1","issue":"1","issued":{"date-parts":[["2019"]]},"page":"25-31","title":"Inventory of medicinal plants for pregnant and postpartum women in Dayak Tomun of the Lopus Village Lamandau Regency of Central Kalimantan","type":"article-journal","volume":"11"},"uris":["http://www.mendeley.com/documents/?uuid=95c38db7-ce49-404f-acd1-4e34d5bbfdd5"]}],"mendeley":{"formattedCitation":"(Santoso et al., 2019)","manualFormatting":"Santoso et al. (2019)","plainTextFormattedCitation":"(Santoso et al., 2019)","previouslyFormattedCitation":"(Santoso et al., 2019)"},"properties":{"noteIndex":0},"schema":"https://github.com/citation-style-language/schema/raw/master/csl-citation.json"}</w:instrText>
      </w:r>
      <w:r w:rsidR="004F31F4">
        <w:rPr>
          <w:lang w:val="en-ID"/>
        </w:rPr>
        <w:fldChar w:fldCharType="separate"/>
      </w:r>
      <w:r w:rsidR="004F31F4" w:rsidRPr="004F31F4">
        <w:rPr>
          <w:noProof/>
          <w:lang w:val="en-ID"/>
        </w:rPr>
        <w:t xml:space="preserve">Santoso et al. </w:t>
      </w:r>
      <w:r w:rsidR="004F31F4">
        <w:rPr>
          <w:noProof/>
          <w:lang w:val="en-ID"/>
        </w:rPr>
        <w:t>(</w:t>
      </w:r>
      <w:r w:rsidR="004F31F4" w:rsidRPr="004F31F4">
        <w:rPr>
          <w:noProof/>
          <w:lang w:val="en-ID"/>
        </w:rPr>
        <w:t>2019)</w:t>
      </w:r>
      <w:r w:rsidR="004F31F4">
        <w:rPr>
          <w:lang w:val="en-ID"/>
        </w:rPr>
        <w:fldChar w:fldCharType="end"/>
      </w:r>
      <w:r w:rsidRPr="00E2066C">
        <w:rPr>
          <w:lang w:val="en-ID"/>
        </w:rPr>
        <w:t xml:space="preserve">, which had previously appeared in the table and forest plot, was not part of the final corpus of eligible articles and was therefore removed from the dataset. The article concerning </w:t>
      </w:r>
      <w:proofErr w:type="spellStart"/>
      <w:r w:rsidRPr="00E2066C">
        <w:rPr>
          <w:i/>
          <w:iCs/>
          <w:lang w:val="en-ID"/>
        </w:rPr>
        <w:t>lalaban</w:t>
      </w:r>
      <w:proofErr w:type="spellEnd"/>
      <w:r w:rsidRPr="00E2066C">
        <w:rPr>
          <w:lang w:val="en-ID"/>
        </w:rPr>
        <w:t xml:space="preserve"> as food plants also remained excluded because it was not related to postpartum maternal care.</w:t>
      </w:r>
    </w:p>
    <w:p w14:paraId="20136D25" w14:textId="77777777" w:rsidR="00E2066C" w:rsidRPr="00E2066C" w:rsidRDefault="00E2066C" w:rsidP="00E2066C">
      <w:pPr>
        <w:ind w:firstLine="709"/>
        <w:jc w:val="both"/>
        <w:rPr>
          <w:lang w:val="en-ID"/>
        </w:rPr>
      </w:pPr>
      <w:r w:rsidRPr="00E2066C">
        <w:rPr>
          <w:lang w:val="en-ID"/>
        </w:rPr>
        <w:t>The included articles consisted of 17 Group A articles that specifically investigated medicinal plants used for postpartum maternal care, four Group B articles that provided postpartum data that could be separated from a broader maternal scope, and two Group C articles that presented combined maternal data. The primary analysis was conducted using the 17 Group A articles. The four Group B articles were added to the sensitivity analysis, whereas the two Group C articles were used only in the narrative synthesis.</w:t>
      </w:r>
    </w:p>
    <w:p w14:paraId="244ED659" w14:textId="77777777" w:rsidR="00E2066C" w:rsidRPr="00E2066C" w:rsidRDefault="00E2066C" w:rsidP="00E2066C">
      <w:pPr>
        <w:ind w:firstLine="709"/>
        <w:jc w:val="both"/>
        <w:rPr>
          <w:lang w:val="en-ID"/>
        </w:rPr>
      </w:pPr>
      <w:r w:rsidRPr="00E2066C">
        <w:rPr>
          <w:lang w:val="en-ID"/>
        </w:rPr>
        <w:t xml:space="preserve">The 23 articles generated 828 article-level species records, consisting of 134 </w:t>
      </w:r>
      <w:proofErr w:type="spellStart"/>
      <w:r w:rsidRPr="00E2066C">
        <w:rPr>
          <w:lang w:val="en-ID"/>
        </w:rPr>
        <w:t>Zingiberaceae</w:t>
      </w:r>
      <w:proofErr w:type="spellEnd"/>
      <w:r w:rsidRPr="00E2066C">
        <w:rPr>
          <w:lang w:val="en-ID"/>
        </w:rPr>
        <w:t xml:space="preserve"> records and 694 records from other families. This figure does not represent the number of unique species because the same species may have been reported by multiple articles or communities. The 17 articles included in the primary analysis contained 577 species records, including 108 </w:t>
      </w:r>
      <w:proofErr w:type="spellStart"/>
      <w:r w:rsidRPr="00E2066C">
        <w:rPr>
          <w:lang w:val="en-ID"/>
        </w:rPr>
        <w:t>Zingiberaceae</w:t>
      </w:r>
      <w:proofErr w:type="spellEnd"/>
      <w:r w:rsidRPr="00E2066C">
        <w:rPr>
          <w:lang w:val="en-ID"/>
        </w:rPr>
        <w:t xml:space="preserve"> records. After the four Group B articles were added, the sensitivity analysis comprised 729 species records, including 126 </w:t>
      </w:r>
      <w:proofErr w:type="spellStart"/>
      <w:r w:rsidRPr="00E2066C">
        <w:rPr>
          <w:lang w:val="en-ID"/>
        </w:rPr>
        <w:t>Zingiberaceae</w:t>
      </w:r>
      <w:proofErr w:type="spellEnd"/>
      <w:r w:rsidRPr="00E2066C">
        <w:rPr>
          <w:lang w:val="en-ID"/>
        </w:rPr>
        <w:t xml:space="preserve"> records. The number of plants documented in each article ranged from 10 to 143 species.</w:t>
      </w:r>
    </w:p>
    <w:p w14:paraId="3DCDC7DB" w14:textId="27C2EBA2" w:rsidR="00871DD2" w:rsidRPr="00E850F2" w:rsidRDefault="00E2066C" w:rsidP="00E2066C">
      <w:pPr>
        <w:jc w:val="center"/>
        <w:rPr>
          <w:b/>
          <w:bCs/>
        </w:rPr>
      </w:pPr>
      <w:r w:rsidRPr="00E2066C">
        <w:rPr>
          <w:b/>
          <w:bCs/>
        </w:rPr>
        <w:t>Table 3. Distribution of Articles Included in the Systematic Review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2"/>
        <w:gridCol w:w="4847"/>
        <w:gridCol w:w="1232"/>
        <w:gridCol w:w="1369"/>
      </w:tblGrid>
      <w:tr w:rsidR="00871DD2" w:rsidRPr="00E850F2" w14:paraId="7AC627BE" w14:textId="77777777" w:rsidTr="00871DD2">
        <w:trPr>
          <w:trHeight w:val="290"/>
        </w:trPr>
        <w:tc>
          <w:tcPr>
            <w:tcW w:w="1017" w:type="pct"/>
            <w:noWrap/>
            <w:vAlign w:val="center"/>
            <w:hideMark/>
          </w:tcPr>
          <w:p w14:paraId="1A78E684" w14:textId="7DC17516" w:rsidR="00871DD2" w:rsidRPr="00E850F2" w:rsidRDefault="00E2066C" w:rsidP="00E2066C">
            <w:pPr>
              <w:spacing w:after="0" w:line="240" w:lineRule="auto"/>
              <w:jc w:val="center"/>
              <w:rPr>
                <w:rFonts w:ascii="Calibri" w:eastAsia="Times New Roman" w:hAnsi="Calibri" w:cs="Calibri"/>
                <w:b/>
                <w:bCs/>
                <w:color w:val="000000"/>
                <w:kern w:val="0"/>
                <w14:ligatures w14:val="none"/>
              </w:rPr>
            </w:pPr>
            <w:r w:rsidRPr="00E2066C">
              <w:rPr>
                <w:rFonts w:ascii="Calibri" w:eastAsia="Times New Roman" w:hAnsi="Calibri" w:cs="Calibri"/>
                <w:b/>
                <w:bCs/>
                <w:color w:val="000000"/>
                <w:kern w:val="0"/>
                <w14:ligatures w14:val="none"/>
              </w:rPr>
              <w:t>Aspect</w:t>
            </w:r>
          </w:p>
        </w:tc>
        <w:tc>
          <w:tcPr>
            <w:tcW w:w="2592" w:type="pct"/>
            <w:noWrap/>
            <w:vAlign w:val="center"/>
            <w:hideMark/>
          </w:tcPr>
          <w:p w14:paraId="2B301425" w14:textId="014D03C4" w:rsidR="00871DD2" w:rsidRPr="00E850F2" w:rsidRDefault="00567F1A" w:rsidP="00567F1A">
            <w:pPr>
              <w:spacing w:after="0" w:line="240" w:lineRule="auto"/>
              <w:jc w:val="center"/>
              <w:rPr>
                <w:rFonts w:ascii="Calibri" w:eastAsia="Times New Roman" w:hAnsi="Calibri" w:cs="Calibri"/>
                <w:b/>
                <w:bCs/>
                <w:color w:val="000000"/>
                <w:kern w:val="0"/>
                <w14:ligatures w14:val="none"/>
              </w:rPr>
            </w:pPr>
            <w:r w:rsidRPr="00567F1A">
              <w:rPr>
                <w:rFonts w:ascii="Calibri" w:eastAsia="Times New Roman" w:hAnsi="Calibri" w:cs="Calibri"/>
                <w:b/>
                <w:bCs/>
                <w:color w:val="000000"/>
                <w:kern w:val="0"/>
                <w14:ligatures w14:val="none"/>
              </w:rPr>
              <w:t>Category</w:t>
            </w:r>
          </w:p>
        </w:tc>
        <w:tc>
          <w:tcPr>
            <w:tcW w:w="659" w:type="pct"/>
            <w:noWrap/>
            <w:vAlign w:val="center"/>
            <w:hideMark/>
          </w:tcPr>
          <w:p w14:paraId="6E81A023" w14:textId="4A40E35C" w:rsidR="00871DD2" w:rsidRPr="00E850F2" w:rsidRDefault="00567F1A" w:rsidP="00567F1A">
            <w:pPr>
              <w:spacing w:after="0" w:line="240" w:lineRule="auto"/>
              <w:jc w:val="center"/>
              <w:rPr>
                <w:rFonts w:ascii="Calibri" w:eastAsia="Times New Roman" w:hAnsi="Calibri" w:cs="Calibri"/>
                <w:b/>
                <w:bCs/>
                <w:color w:val="000000"/>
                <w:kern w:val="0"/>
                <w14:ligatures w14:val="none"/>
              </w:rPr>
            </w:pPr>
            <w:r w:rsidRPr="00567F1A">
              <w:rPr>
                <w:rFonts w:ascii="Calibri" w:eastAsia="Times New Roman" w:hAnsi="Calibri" w:cs="Calibri"/>
                <w:b/>
                <w:bCs/>
                <w:color w:val="000000"/>
                <w:kern w:val="0"/>
                <w14:ligatures w14:val="none"/>
              </w:rPr>
              <w:t>Frequency</w:t>
            </w:r>
          </w:p>
        </w:tc>
        <w:tc>
          <w:tcPr>
            <w:tcW w:w="732" w:type="pct"/>
            <w:noWrap/>
            <w:vAlign w:val="center"/>
            <w:hideMark/>
          </w:tcPr>
          <w:p w14:paraId="7DE9509A" w14:textId="623BEEE0" w:rsidR="00871DD2" w:rsidRPr="00E850F2" w:rsidRDefault="00567F1A" w:rsidP="00567F1A">
            <w:pPr>
              <w:spacing w:after="0" w:line="240" w:lineRule="auto"/>
              <w:jc w:val="center"/>
              <w:rPr>
                <w:rFonts w:ascii="Calibri" w:eastAsia="Times New Roman" w:hAnsi="Calibri" w:cs="Calibri"/>
                <w:b/>
                <w:bCs/>
                <w:color w:val="000000"/>
                <w:kern w:val="0"/>
                <w14:ligatures w14:val="none"/>
              </w:rPr>
            </w:pPr>
            <w:r w:rsidRPr="00567F1A">
              <w:rPr>
                <w:rFonts w:ascii="Calibri" w:eastAsia="Times New Roman" w:hAnsi="Calibri" w:cs="Calibri"/>
                <w:b/>
                <w:bCs/>
                <w:color w:val="000000"/>
                <w:kern w:val="0"/>
                <w14:ligatures w14:val="none"/>
              </w:rPr>
              <w:t>Percentage</w:t>
            </w:r>
          </w:p>
        </w:tc>
      </w:tr>
      <w:tr w:rsidR="00871DD2" w:rsidRPr="00E850F2" w14:paraId="5E450744" w14:textId="77777777" w:rsidTr="00871DD2">
        <w:trPr>
          <w:trHeight w:val="290"/>
        </w:trPr>
        <w:tc>
          <w:tcPr>
            <w:tcW w:w="1017" w:type="pct"/>
            <w:vMerge w:val="restart"/>
            <w:noWrap/>
            <w:vAlign w:val="center"/>
            <w:hideMark/>
          </w:tcPr>
          <w:p w14:paraId="1EEF9159" w14:textId="5A18C9D2" w:rsidR="00871DD2" w:rsidRPr="00E850F2" w:rsidRDefault="00567F1A" w:rsidP="00567F1A">
            <w:pPr>
              <w:spacing w:after="0" w:line="240" w:lineRule="auto"/>
              <w:jc w:val="center"/>
              <w:rPr>
                <w:rFonts w:ascii="Calibri" w:eastAsia="Times New Roman" w:hAnsi="Calibri" w:cs="Calibri"/>
                <w:color w:val="000000"/>
                <w:kern w:val="0"/>
                <w14:ligatures w14:val="none"/>
              </w:rPr>
            </w:pPr>
            <w:r w:rsidRPr="00567F1A">
              <w:rPr>
                <w:rFonts w:ascii="Calibri" w:eastAsia="Times New Roman" w:hAnsi="Calibri" w:cs="Calibri"/>
                <w:color w:val="000000"/>
                <w:kern w:val="0"/>
                <w14:ligatures w14:val="none"/>
              </w:rPr>
              <w:t>Publication year</w:t>
            </w:r>
          </w:p>
        </w:tc>
        <w:tc>
          <w:tcPr>
            <w:tcW w:w="2592" w:type="pct"/>
            <w:noWrap/>
            <w:vAlign w:val="center"/>
            <w:hideMark/>
          </w:tcPr>
          <w:p w14:paraId="67A7B768"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2019</w:t>
            </w:r>
          </w:p>
        </w:tc>
        <w:tc>
          <w:tcPr>
            <w:tcW w:w="659" w:type="pct"/>
            <w:noWrap/>
            <w:vAlign w:val="center"/>
            <w:hideMark/>
          </w:tcPr>
          <w:p w14:paraId="2833F3D7"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3</w:t>
            </w:r>
          </w:p>
        </w:tc>
        <w:tc>
          <w:tcPr>
            <w:tcW w:w="732" w:type="pct"/>
            <w:noWrap/>
            <w:vAlign w:val="center"/>
            <w:hideMark/>
          </w:tcPr>
          <w:p w14:paraId="6C1E3786"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13,0%</w:t>
            </w:r>
          </w:p>
        </w:tc>
      </w:tr>
      <w:tr w:rsidR="00871DD2" w:rsidRPr="00E850F2" w14:paraId="02A192FF" w14:textId="77777777" w:rsidTr="00871DD2">
        <w:trPr>
          <w:trHeight w:val="290"/>
        </w:trPr>
        <w:tc>
          <w:tcPr>
            <w:tcW w:w="1017" w:type="pct"/>
            <w:vMerge/>
            <w:vAlign w:val="center"/>
            <w:hideMark/>
          </w:tcPr>
          <w:p w14:paraId="193491A6" w14:textId="77777777" w:rsidR="00871DD2" w:rsidRPr="00E850F2" w:rsidRDefault="00871DD2" w:rsidP="00B454C2">
            <w:pPr>
              <w:spacing w:after="0" w:line="240" w:lineRule="auto"/>
              <w:rPr>
                <w:rFonts w:ascii="Calibri" w:eastAsia="Times New Roman" w:hAnsi="Calibri" w:cs="Calibri"/>
                <w:color w:val="000000"/>
                <w:kern w:val="0"/>
                <w14:ligatures w14:val="none"/>
              </w:rPr>
            </w:pPr>
          </w:p>
        </w:tc>
        <w:tc>
          <w:tcPr>
            <w:tcW w:w="2592" w:type="pct"/>
            <w:noWrap/>
            <w:vAlign w:val="center"/>
            <w:hideMark/>
          </w:tcPr>
          <w:p w14:paraId="10C44DE5"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2020</w:t>
            </w:r>
          </w:p>
        </w:tc>
        <w:tc>
          <w:tcPr>
            <w:tcW w:w="659" w:type="pct"/>
            <w:noWrap/>
            <w:vAlign w:val="center"/>
            <w:hideMark/>
          </w:tcPr>
          <w:p w14:paraId="55ED13B2"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3</w:t>
            </w:r>
          </w:p>
        </w:tc>
        <w:tc>
          <w:tcPr>
            <w:tcW w:w="732" w:type="pct"/>
            <w:noWrap/>
            <w:vAlign w:val="center"/>
            <w:hideMark/>
          </w:tcPr>
          <w:p w14:paraId="031974C6"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13,0%</w:t>
            </w:r>
          </w:p>
        </w:tc>
      </w:tr>
      <w:tr w:rsidR="00871DD2" w:rsidRPr="00E850F2" w14:paraId="085C70CB" w14:textId="77777777" w:rsidTr="00871DD2">
        <w:trPr>
          <w:trHeight w:val="290"/>
        </w:trPr>
        <w:tc>
          <w:tcPr>
            <w:tcW w:w="1017" w:type="pct"/>
            <w:vMerge/>
            <w:vAlign w:val="center"/>
            <w:hideMark/>
          </w:tcPr>
          <w:p w14:paraId="0B90E38F" w14:textId="77777777" w:rsidR="00871DD2" w:rsidRPr="00E850F2" w:rsidRDefault="00871DD2" w:rsidP="00B454C2">
            <w:pPr>
              <w:spacing w:after="0" w:line="240" w:lineRule="auto"/>
              <w:rPr>
                <w:rFonts w:ascii="Calibri" w:eastAsia="Times New Roman" w:hAnsi="Calibri" w:cs="Calibri"/>
                <w:color w:val="000000"/>
                <w:kern w:val="0"/>
                <w14:ligatures w14:val="none"/>
              </w:rPr>
            </w:pPr>
          </w:p>
        </w:tc>
        <w:tc>
          <w:tcPr>
            <w:tcW w:w="2592" w:type="pct"/>
            <w:noWrap/>
            <w:vAlign w:val="center"/>
            <w:hideMark/>
          </w:tcPr>
          <w:p w14:paraId="5076A1C9"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2021</w:t>
            </w:r>
          </w:p>
        </w:tc>
        <w:tc>
          <w:tcPr>
            <w:tcW w:w="659" w:type="pct"/>
            <w:noWrap/>
            <w:vAlign w:val="center"/>
            <w:hideMark/>
          </w:tcPr>
          <w:p w14:paraId="7229811D"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2</w:t>
            </w:r>
          </w:p>
        </w:tc>
        <w:tc>
          <w:tcPr>
            <w:tcW w:w="732" w:type="pct"/>
            <w:noWrap/>
            <w:vAlign w:val="center"/>
            <w:hideMark/>
          </w:tcPr>
          <w:p w14:paraId="3D4B2F25"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8,7%</w:t>
            </w:r>
          </w:p>
        </w:tc>
      </w:tr>
      <w:tr w:rsidR="00871DD2" w:rsidRPr="00E850F2" w14:paraId="444A0D18" w14:textId="77777777" w:rsidTr="00871DD2">
        <w:trPr>
          <w:trHeight w:val="290"/>
        </w:trPr>
        <w:tc>
          <w:tcPr>
            <w:tcW w:w="1017" w:type="pct"/>
            <w:vMerge/>
            <w:vAlign w:val="center"/>
            <w:hideMark/>
          </w:tcPr>
          <w:p w14:paraId="5D5FC0C2" w14:textId="77777777" w:rsidR="00871DD2" w:rsidRPr="00E850F2" w:rsidRDefault="00871DD2" w:rsidP="00B454C2">
            <w:pPr>
              <w:spacing w:after="0" w:line="240" w:lineRule="auto"/>
              <w:rPr>
                <w:rFonts w:ascii="Calibri" w:eastAsia="Times New Roman" w:hAnsi="Calibri" w:cs="Calibri"/>
                <w:color w:val="000000"/>
                <w:kern w:val="0"/>
                <w14:ligatures w14:val="none"/>
              </w:rPr>
            </w:pPr>
          </w:p>
        </w:tc>
        <w:tc>
          <w:tcPr>
            <w:tcW w:w="2592" w:type="pct"/>
            <w:noWrap/>
            <w:vAlign w:val="center"/>
            <w:hideMark/>
          </w:tcPr>
          <w:p w14:paraId="3D72C857"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2022</w:t>
            </w:r>
          </w:p>
        </w:tc>
        <w:tc>
          <w:tcPr>
            <w:tcW w:w="659" w:type="pct"/>
            <w:noWrap/>
            <w:vAlign w:val="center"/>
            <w:hideMark/>
          </w:tcPr>
          <w:p w14:paraId="777C80BA"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2</w:t>
            </w:r>
          </w:p>
        </w:tc>
        <w:tc>
          <w:tcPr>
            <w:tcW w:w="732" w:type="pct"/>
            <w:noWrap/>
            <w:vAlign w:val="center"/>
            <w:hideMark/>
          </w:tcPr>
          <w:p w14:paraId="7E635893"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8,7%</w:t>
            </w:r>
          </w:p>
        </w:tc>
      </w:tr>
      <w:tr w:rsidR="00871DD2" w:rsidRPr="00E850F2" w14:paraId="72754E07" w14:textId="77777777" w:rsidTr="00871DD2">
        <w:trPr>
          <w:trHeight w:val="290"/>
        </w:trPr>
        <w:tc>
          <w:tcPr>
            <w:tcW w:w="1017" w:type="pct"/>
            <w:vMerge/>
            <w:vAlign w:val="center"/>
            <w:hideMark/>
          </w:tcPr>
          <w:p w14:paraId="67E517C6" w14:textId="77777777" w:rsidR="00871DD2" w:rsidRPr="00E850F2" w:rsidRDefault="00871DD2" w:rsidP="00B454C2">
            <w:pPr>
              <w:spacing w:after="0" w:line="240" w:lineRule="auto"/>
              <w:rPr>
                <w:rFonts w:ascii="Calibri" w:eastAsia="Times New Roman" w:hAnsi="Calibri" w:cs="Calibri"/>
                <w:color w:val="000000"/>
                <w:kern w:val="0"/>
                <w14:ligatures w14:val="none"/>
              </w:rPr>
            </w:pPr>
          </w:p>
        </w:tc>
        <w:tc>
          <w:tcPr>
            <w:tcW w:w="2592" w:type="pct"/>
            <w:noWrap/>
            <w:vAlign w:val="center"/>
            <w:hideMark/>
          </w:tcPr>
          <w:p w14:paraId="5ACE00C3"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2023</w:t>
            </w:r>
          </w:p>
        </w:tc>
        <w:tc>
          <w:tcPr>
            <w:tcW w:w="659" w:type="pct"/>
            <w:noWrap/>
            <w:vAlign w:val="center"/>
            <w:hideMark/>
          </w:tcPr>
          <w:p w14:paraId="2C002005"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4</w:t>
            </w:r>
          </w:p>
        </w:tc>
        <w:tc>
          <w:tcPr>
            <w:tcW w:w="732" w:type="pct"/>
            <w:noWrap/>
            <w:vAlign w:val="center"/>
            <w:hideMark/>
          </w:tcPr>
          <w:p w14:paraId="1BD917DE"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17,4%</w:t>
            </w:r>
          </w:p>
        </w:tc>
      </w:tr>
      <w:tr w:rsidR="00871DD2" w:rsidRPr="00E850F2" w14:paraId="68344465" w14:textId="77777777" w:rsidTr="00871DD2">
        <w:trPr>
          <w:trHeight w:val="290"/>
        </w:trPr>
        <w:tc>
          <w:tcPr>
            <w:tcW w:w="1017" w:type="pct"/>
            <w:vMerge/>
            <w:vAlign w:val="center"/>
            <w:hideMark/>
          </w:tcPr>
          <w:p w14:paraId="193F4D18" w14:textId="77777777" w:rsidR="00871DD2" w:rsidRPr="00E850F2" w:rsidRDefault="00871DD2" w:rsidP="00B454C2">
            <w:pPr>
              <w:spacing w:after="0" w:line="240" w:lineRule="auto"/>
              <w:rPr>
                <w:rFonts w:ascii="Calibri" w:eastAsia="Times New Roman" w:hAnsi="Calibri" w:cs="Calibri"/>
                <w:color w:val="000000"/>
                <w:kern w:val="0"/>
                <w14:ligatures w14:val="none"/>
              </w:rPr>
            </w:pPr>
          </w:p>
        </w:tc>
        <w:tc>
          <w:tcPr>
            <w:tcW w:w="2592" w:type="pct"/>
            <w:noWrap/>
            <w:vAlign w:val="center"/>
            <w:hideMark/>
          </w:tcPr>
          <w:p w14:paraId="2C7D5096"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2024</w:t>
            </w:r>
          </w:p>
        </w:tc>
        <w:tc>
          <w:tcPr>
            <w:tcW w:w="659" w:type="pct"/>
            <w:noWrap/>
            <w:vAlign w:val="center"/>
            <w:hideMark/>
          </w:tcPr>
          <w:p w14:paraId="5E894D2D"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2</w:t>
            </w:r>
          </w:p>
        </w:tc>
        <w:tc>
          <w:tcPr>
            <w:tcW w:w="732" w:type="pct"/>
            <w:noWrap/>
            <w:vAlign w:val="center"/>
            <w:hideMark/>
          </w:tcPr>
          <w:p w14:paraId="5462AA83"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8,7%</w:t>
            </w:r>
          </w:p>
        </w:tc>
      </w:tr>
      <w:tr w:rsidR="00871DD2" w:rsidRPr="00E850F2" w14:paraId="2EBFEA24" w14:textId="77777777" w:rsidTr="00871DD2">
        <w:trPr>
          <w:trHeight w:val="290"/>
        </w:trPr>
        <w:tc>
          <w:tcPr>
            <w:tcW w:w="1017" w:type="pct"/>
            <w:vMerge/>
            <w:vAlign w:val="center"/>
            <w:hideMark/>
          </w:tcPr>
          <w:p w14:paraId="3830CA9B" w14:textId="77777777" w:rsidR="00871DD2" w:rsidRPr="00E850F2" w:rsidRDefault="00871DD2" w:rsidP="00B454C2">
            <w:pPr>
              <w:spacing w:after="0" w:line="240" w:lineRule="auto"/>
              <w:rPr>
                <w:rFonts w:ascii="Calibri" w:eastAsia="Times New Roman" w:hAnsi="Calibri" w:cs="Calibri"/>
                <w:color w:val="000000"/>
                <w:kern w:val="0"/>
                <w14:ligatures w14:val="none"/>
              </w:rPr>
            </w:pPr>
          </w:p>
        </w:tc>
        <w:tc>
          <w:tcPr>
            <w:tcW w:w="2592" w:type="pct"/>
            <w:noWrap/>
            <w:vAlign w:val="center"/>
            <w:hideMark/>
          </w:tcPr>
          <w:p w14:paraId="42D97613"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2025</w:t>
            </w:r>
          </w:p>
        </w:tc>
        <w:tc>
          <w:tcPr>
            <w:tcW w:w="659" w:type="pct"/>
            <w:noWrap/>
            <w:vAlign w:val="center"/>
            <w:hideMark/>
          </w:tcPr>
          <w:p w14:paraId="2B93819C"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3</w:t>
            </w:r>
          </w:p>
        </w:tc>
        <w:tc>
          <w:tcPr>
            <w:tcW w:w="732" w:type="pct"/>
            <w:noWrap/>
            <w:vAlign w:val="center"/>
            <w:hideMark/>
          </w:tcPr>
          <w:p w14:paraId="54DFF4D1"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13,0%</w:t>
            </w:r>
          </w:p>
        </w:tc>
      </w:tr>
      <w:tr w:rsidR="00871DD2" w:rsidRPr="00E850F2" w14:paraId="09573C87" w14:textId="77777777" w:rsidTr="00871DD2">
        <w:trPr>
          <w:trHeight w:val="290"/>
        </w:trPr>
        <w:tc>
          <w:tcPr>
            <w:tcW w:w="1017" w:type="pct"/>
            <w:vMerge/>
            <w:vAlign w:val="center"/>
            <w:hideMark/>
          </w:tcPr>
          <w:p w14:paraId="1386365B" w14:textId="77777777" w:rsidR="00871DD2" w:rsidRPr="00E850F2" w:rsidRDefault="00871DD2" w:rsidP="00B454C2">
            <w:pPr>
              <w:spacing w:after="0" w:line="240" w:lineRule="auto"/>
              <w:rPr>
                <w:rFonts w:ascii="Calibri" w:eastAsia="Times New Roman" w:hAnsi="Calibri" w:cs="Calibri"/>
                <w:color w:val="000000"/>
                <w:kern w:val="0"/>
                <w14:ligatures w14:val="none"/>
              </w:rPr>
            </w:pPr>
          </w:p>
        </w:tc>
        <w:tc>
          <w:tcPr>
            <w:tcW w:w="2592" w:type="pct"/>
            <w:noWrap/>
            <w:vAlign w:val="center"/>
            <w:hideMark/>
          </w:tcPr>
          <w:p w14:paraId="1EDFFB48"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2026</w:t>
            </w:r>
          </w:p>
        </w:tc>
        <w:tc>
          <w:tcPr>
            <w:tcW w:w="659" w:type="pct"/>
            <w:noWrap/>
            <w:vAlign w:val="center"/>
            <w:hideMark/>
          </w:tcPr>
          <w:p w14:paraId="11B7B1CE"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4</w:t>
            </w:r>
          </w:p>
        </w:tc>
        <w:tc>
          <w:tcPr>
            <w:tcW w:w="732" w:type="pct"/>
            <w:noWrap/>
            <w:vAlign w:val="center"/>
            <w:hideMark/>
          </w:tcPr>
          <w:p w14:paraId="4F2CEB99"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17,4%</w:t>
            </w:r>
          </w:p>
        </w:tc>
      </w:tr>
      <w:tr w:rsidR="00871DD2" w:rsidRPr="00E850F2" w14:paraId="7A80F063" w14:textId="77777777" w:rsidTr="00871DD2">
        <w:trPr>
          <w:trHeight w:val="290"/>
        </w:trPr>
        <w:tc>
          <w:tcPr>
            <w:tcW w:w="1017" w:type="pct"/>
            <w:vMerge w:val="restart"/>
            <w:noWrap/>
            <w:vAlign w:val="center"/>
            <w:hideMark/>
          </w:tcPr>
          <w:p w14:paraId="72B9C8C1" w14:textId="5BAAE3D1" w:rsidR="00871DD2" w:rsidRPr="00E850F2" w:rsidRDefault="00567F1A" w:rsidP="00567F1A">
            <w:pPr>
              <w:spacing w:after="0" w:line="240" w:lineRule="auto"/>
              <w:jc w:val="center"/>
              <w:rPr>
                <w:rFonts w:ascii="Calibri" w:eastAsia="Times New Roman" w:hAnsi="Calibri" w:cs="Calibri"/>
                <w:color w:val="000000"/>
                <w:kern w:val="0"/>
                <w14:ligatures w14:val="none"/>
              </w:rPr>
            </w:pPr>
            <w:r w:rsidRPr="00567F1A">
              <w:rPr>
                <w:rFonts w:ascii="Calibri" w:eastAsia="Times New Roman" w:hAnsi="Calibri" w:cs="Calibri"/>
                <w:color w:val="000000"/>
                <w:kern w:val="0"/>
                <w14:ligatures w14:val="none"/>
              </w:rPr>
              <w:t>Study region</w:t>
            </w:r>
          </w:p>
        </w:tc>
        <w:tc>
          <w:tcPr>
            <w:tcW w:w="2592" w:type="pct"/>
            <w:noWrap/>
            <w:vAlign w:val="center"/>
            <w:hideMark/>
          </w:tcPr>
          <w:p w14:paraId="5C57796A"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Kalimantan</w:t>
            </w:r>
          </w:p>
        </w:tc>
        <w:tc>
          <w:tcPr>
            <w:tcW w:w="659" w:type="pct"/>
            <w:noWrap/>
            <w:vAlign w:val="center"/>
            <w:hideMark/>
          </w:tcPr>
          <w:p w14:paraId="22D9C787"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7</w:t>
            </w:r>
          </w:p>
        </w:tc>
        <w:tc>
          <w:tcPr>
            <w:tcW w:w="732" w:type="pct"/>
            <w:noWrap/>
            <w:vAlign w:val="center"/>
            <w:hideMark/>
          </w:tcPr>
          <w:p w14:paraId="17C84EBA"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30,4%</w:t>
            </w:r>
          </w:p>
        </w:tc>
      </w:tr>
      <w:tr w:rsidR="00871DD2" w:rsidRPr="00E850F2" w14:paraId="1B2621F3" w14:textId="77777777" w:rsidTr="00871DD2">
        <w:trPr>
          <w:trHeight w:val="290"/>
        </w:trPr>
        <w:tc>
          <w:tcPr>
            <w:tcW w:w="1017" w:type="pct"/>
            <w:vMerge/>
            <w:vAlign w:val="center"/>
            <w:hideMark/>
          </w:tcPr>
          <w:p w14:paraId="3F92F65C" w14:textId="77777777" w:rsidR="00871DD2" w:rsidRPr="00E850F2" w:rsidRDefault="00871DD2" w:rsidP="00B454C2">
            <w:pPr>
              <w:spacing w:after="0" w:line="240" w:lineRule="auto"/>
              <w:rPr>
                <w:rFonts w:ascii="Calibri" w:eastAsia="Times New Roman" w:hAnsi="Calibri" w:cs="Calibri"/>
                <w:color w:val="000000"/>
                <w:kern w:val="0"/>
                <w14:ligatures w14:val="none"/>
              </w:rPr>
            </w:pPr>
          </w:p>
        </w:tc>
        <w:tc>
          <w:tcPr>
            <w:tcW w:w="2592" w:type="pct"/>
            <w:noWrap/>
            <w:vAlign w:val="center"/>
            <w:hideMark/>
          </w:tcPr>
          <w:p w14:paraId="0401EC96"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Sumatra</w:t>
            </w:r>
          </w:p>
        </w:tc>
        <w:tc>
          <w:tcPr>
            <w:tcW w:w="659" w:type="pct"/>
            <w:noWrap/>
            <w:vAlign w:val="center"/>
            <w:hideMark/>
          </w:tcPr>
          <w:p w14:paraId="58DDDCB4"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7</w:t>
            </w:r>
          </w:p>
        </w:tc>
        <w:tc>
          <w:tcPr>
            <w:tcW w:w="732" w:type="pct"/>
            <w:noWrap/>
            <w:vAlign w:val="center"/>
            <w:hideMark/>
          </w:tcPr>
          <w:p w14:paraId="5268D7A8"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30,4%</w:t>
            </w:r>
          </w:p>
        </w:tc>
      </w:tr>
      <w:tr w:rsidR="00871DD2" w:rsidRPr="00E850F2" w14:paraId="6D81575C" w14:textId="77777777" w:rsidTr="00871DD2">
        <w:trPr>
          <w:trHeight w:val="290"/>
        </w:trPr>
        <w:tc>
          <w:tcPr>
            <w:tcW w:w="1017" w:type="pct"/>
            <w:vMerge/>
            <w:vAlign w:val="center"/>
            <w:hideMark/>
          </w:tcPr>
          <w:p w14:paraId="20F1198E" w14:textId="77777777" w:rsidR="00871DD2" w:rsidRPr="00E850F2" w:rsidRDefault="00871DD2" w:rsidP="00B454C2">
            <w:pPr>
              <w:spacing w:after="0" w:line="240" w:lineRule="auto"/>
              <w:rPr>
                <w:rFonts w:ascii="Calibri" w:eastAsia="Times New Roman" w:hAnsi="Calibri" w:cs="Calibri"/>
                <w:color w:val="000000"/>
                <w:kern w:val="0"/>
                <w14:ligatures w14:val="none"/>
              </w:rPr>
            </w:pPr>
          </w:p>
        </w:tc>
        <w:tc>
          <w:tcPr>
            <w:tcW w:w="2592" w:type="pct"/>
            <w:noWrap/>
            <w:vAlign w:val="center"/>
            <w:hideMark/>
          </w:tcPr>
          <w:p w14:paraId="5C6E31DA"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Jawa</w:t>
            </w:r>
          </w:p>
        </w:tc>
        <w:tc>
          <w:tcPr>
            <w:tcW w:w="659" w:type="pct"/>
            <w:noWrap/>
            <w:vAlign w:val="center"/>
            <w:hideMark/>
          </w:tcPr>
          <w:p w14:paraId="0A7B6D29"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7</w:t>
            </w:r>
          </w:p>
        </w:tc>
        <w:tc>
          <w:tcPr>
            <w:tcW w:w="732" w:type="pct"/>
            <w:noWrap/>
            <w:vAlign w:val="center"/>
            <w:hideMark/>
          </w:tcPr>
          <w:p w14:paraId="3C178620"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30,4%</w:t>
            </w:r>
          </w:p>
        </w:tc>
      </w:tr>
      <w:tr w:rsidR="00871DD2" w:rsidRPr="00E850F2" w14:paraId="64A1D5B6" w14:textId="77777777" w:rsidTr="00871DD2">
        <w:trPr>
          <w:trHeight w:val="290"/>
        </w:trPr>
        <w:tc>
          <w:tcPr>
            <w:tcW w:w="1017" w:type="pct"/>
            <w:vMerge/>
            <w:vAlign w:val="center"/>
            <w:hideMark/>
          </w:tcPr>
          <w:p w14:paraId="1601472E" w14:textId="77777777" w:rsidR="00871DD2" w:rsidRPr="00E850F2" w:rsidRDefault="00871DD2" w:rsidP="00B454C2">
            <w:pPr>
              <w:spacing w:after="0" w:line="240" w:lineRule="auto"/>
              <w:rPr>
                <w:rFonts w:ascii="Calibri" w:eastAsia="Times New Roman" w:hAnsi="Calibri" w:cs="Calibri"/>
                <w:color w:val="000000"/>
                <w:kern w:val="0"/>
                <w14:ligatures w14:val="none"/>
              </w:rPr>
            </w:pPr>
          </w:p>
        </w:tc>
        <w:tc>
          <w:tcPr>
            <w:tcW w:w="2592" w:type="pct"/>
            <w:noWrap/>
            <w:vAlign w:val="center"/>
            <w:hideMark/>
          </w:tcPr>
          <w:p w14:paraId="4A1472C5"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Sulawesi</w:t>
            </w:r>
          </w:p>
        </w:tc>
        <w:tc>
          <w:tcPr>
            <w:tcW w:w="659" w:type="pct"/>
            <w:noWrap/>
            <w:vAlign w:val="center"/>
            <w:hideMark/>
          </w:tcPr>
          <w:p w14:paraId="0D83DF37"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1</w:t>
            </w:r>
          </w:p>
        </w:tc>
        <w:tc>
          <w:tcPr>
            <w:tcW w:w="732" w:type="pct"/>
            <w:noWrap/>
            <w:vAlign w:val="center"/>
            <w:hideMark/>
          </w:tcPr>
          <w:p w14:paraId="1716E6D2"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4,3%</w:t>
            </w:r>
          </w:p>
        </w:tc>
      </w:tr>
      <w:tr w:rsidR="00871DD2" w:rsidRPr="00E850F2" w14:paraId="4FB85B8F" w14:textId="77777777" w:rsidTr="00871DD2">
        <w:trPr>
          <w:trHeight w:val="290"/>
        </w:trPr>
        <w:tc>
          <w:tcPr>
            <w:tcW w:w="1017" w:type="pct"/>
            <w:vMerge/>
            <w:vAlign w:val="center"/>
            <w:hideMark/>
          </w:tcPr>
          <w:p w14:paraId="2F9095A3" w14:textId="77777777" w:rsidR="00871DD2" w:rsidRPr="00E850F2" w:rsidRDefault="00871DD2" w:rsidP="00B454C2">
            <w:pPr>
              <w:spacing w:after="0" w:line="240" w:lineRule="auto"/>
              <w:rPr>
                <w:rFonts w:ascii="Calibri" w:eastAsia="Times New Roman" w:hAnsi="Calibri" w:cs="Calibri"/>
                <w:color w:val="000000"/>
                <w:kern w:val="0"/>
                <w14:ligatures w14:val="none"/>
              </w:rPr>
            </w:pPr>
          </w:p>
        </w:tc>
        <w:tc>
          <w:tcPr>
            <w:tcW w:w="2592" w:type="pct"/>
            <w:noWrap/>
            <w:vAlign w:val="center"/>
            <w:hideMark/>
          </w:tcPr>
          <w:p w14:paraId="58C964FB"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Maluku</w:t>
            </w:r>
          </w:p>
        </w:tc>
        <w:tc>
          <w:tcPr>
            <w:tcW w:w="659" w:type="pct"/>
            <w:noWrap/>
            <w:vAlign w:val="center"/>
            <w:hideMark/>
          </w:tcPr>
          <w:p w14:paraId="4133D80F"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1</w:t>
            </w:r>
          </w:p>
        </w:tc>
        <w:tc>
          <w:tcPr>
            <w:tcW w:w="732" w:type="pct"/>
            <w:noWrap/>
            <w:vAlign w:val="center"/>
            <w:hideMark/>
          </w:tcPr>
          <w:p w14:paraId="7CF4A058"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4,3%</w:t>
            </w:r>
          </w:p>
        </w:tc>
      </w:tr>
      <w:tr w:rsidR="00871DD2" w:rsidRPr="00E850F2" w14:paraId="0FABE2D2" w14:textId="77777777" w:rsidTr="00871DD2">
        <w:trPr>
          <w:trHeight w:val="290"/>
        </w:trPr>
        <w:tc>
          <w:tcPr>
            <w:tcW w:w="1017" w:type="pct"/>
            <w:vMerge w:val="restart"/>
            <w:noWrap/>
            <w:vAlign w:val="center"/>
            <w:hideMark/>
          </w:tcPr>
          <w:p w14:paraId="6E9D6612" w14:textId="759F55A8" w:rsidR="00871DD2" w:rsidRPr="00E850F2" w:rsidRDefault="00567F1A" w:rsidP="00567F1A">
            <w:pPr>
              <w:spacing w:after="0" w:line="240" w:lineRule="auto"/>
              <w:jc w:val="center"/>
              <w:rPr>
                <w:rFonts w:ascii="Calibri" w:eastAsia="Times New Roman" w:hAnsi="Calibri" w:cs="Calibri"/>
                <w:color w:val="000000"/>
                <w:kern w:val="0"/>
                <w14:ligatures w14:val="none"/>
              </w:rPr>
            </w:pPr>
            <w:r w:rsidRPr="00567F1A">
              <w:rPr>
                <w:rFonts w:ascii="Calibri" w:eastAsia="Times New Roman" w:hAnsi="Calibri" w:cs="Calibri"/>
                <w:color w:val="000000"/>
                <w:kern w:val="0"/>
                <w14:ligatures w14:val="none"/>
              </w:rPr>
              <w:t>Data classification</w:t>
            </w:r>
          </w:p>
        </w:tc>
        <w:tc>
          <w:tcPr>
            <w:tcW w:w="2592" w:type="pct"/>
            <w:noWrap/>
            <w:vAlign w:val="center"/>
            <w:hideMark/>
          </w:tcPr>
          <w:p w14:paraId="2761BAAD" w14:textId="7BE19DBC" w:rsidR="00871DD2" w:rsidRPr="00E850F2" w:rsidRDefault="004F5138" w:rsidP="004F5138">
            <w:pPr>
              <w:spacing w:after="0" w:line="240" w:lineRule="auto"/>
              <w:jc w:val="center"/>
              <w:rPr>
                <w:rFonts w:ascii="Calibri" w:eastAsia="Times New Roman" w:hAnsi="Calibri" w:cs="Calibri"/>
                <w:color w:val="000000"/>
                <w:kern w:val="0"/>
                <w14:ligatures w14:val="none"/>
              </w:rPr>
            </w:pPr>
            <w:r w:rsidRPr="004F5138">
              <w:rPr>
                <w:rFonts w:ascii="Calibri" w:eastAsia="Times New Roman" w:hAnsi="Calibri" w:cs="Calibri"/>
                <w:color w:val="000000"/>
                <w:kern w:val="0"/>
                <w14:ligatures w14:val="none"/>
              </w:rPr>
              <w:t>Group A: postpartum-specific</w:t>
            </w:r>
          </w:p>
        </w:tc>
        <w:tc>
          <w:tcPr>
            <w:tcW w:w="659" w:type="pct"/>
            <w:noWrap/>
            <w:vAlign w:val="center"/>
            <w:hideMark/>
          </w:tcPr>
          <w:p w14:paraId="6B433551"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17</w:t>
            </w:r>
          </w:p>
        </w:tc>
        <w:tc>
          <w:tcPr>
            <w:tcW w:w="732" w:type="pct"/>
            <w:noWrap/>
            <w:vAlign w:val="center"/>
            <w:hideMark/>
          </w:tcPr>
          <w:p w14:paraId="0C6166A8"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73,9%</w:t>
            </w:r>
          </w:p>
        </w:tc>
      </w:tr>
      <w:tr w:rsidR="00871DD2" w:rsidRPr="00E850F2" w14:paraId="22BA75F4" w14:textId="77777777" w:rsidTr="00871DD2">
        <w:trPr>
          <w:trHeight w:val="290"/>
        </w:trPr>
        <w:tc>
          <w:tcPr>
            <w:tcW w:w="1017" w:type="pct"/>
            <w:vMerge/>
            <w:vAlign w:val="center"/>
            <w:hideMark/>
          </w:tcPr>
          <w:p w14:paraId="50295713" w14:textId="77777777" w:rsidR="00871DD2" w:rsidRPr="00E850F2" w:rsidRDefault="00871DD2" w:rsidP="00B454C2">
            <w:pPr>
              <w:spacing w:after="0" w:line="240" w:lineRule="auto"/>
              <w:rPr>
                <w:rFonts w:ascii="Calibri" w:eastAsia="Times New Roman" w:hAnsi="Calibri" w:cs="Calibri"/>
                <w:color w:val="000000"/>
                <w:kern w:val="0"/>
                <w14:ligatures w14:val="none"/>
              </w:rPr>
            </w:pPr>
          </w:p>
        </w:tc>
        <w:tc>
          <w:tcPr>
            <w:tcW w:w="2592" w:type="pct"/>
            <w:noWrap/>
            <w:vAlign w:val="center"/>
            <w:hideMark/>
          </w:tcPr>
          <w:p w14:paraId="5CFE4400" w14:textId="19CF7A3A" w:rsidR="00871DD2" w:rsidRPr="00E850F2" w:rsidRDefault="004F5138" w:rsidP="004F5138">
            <w:pPr>
              <w:spacing w:after="0" w:line="240" w:lineRule="auto"/>
              <w:jc w:val="center"/>
              <w:rPr>
                <w:rFonts w:ascii="Calibri" w:eastAsia="Times New Roman" w:hAnsi="Calibri" w:cs="Calibri"/>
                <w:color w:val="000000"/>
                <w:kern w:val="0"/>
                <w14:ligatures w14:val="none"/>
              </w:rPr>
            </w:pPr>
            <w:r w:rsidRPr="004F5138">
              <w:rPr>
                <w:rFonts w:ascii="Calibri" w:eastAsia="Times New Roman" w:hAnsi="Calibri" w:cs="Calibri"/>
                <w:color w:val="000000"/>
                <w:kern w:val="0"/>
                <w14:ligatures w14:val="none"/>
              </w:rPr>
              <w:t>Group B: postpartum data could be separated</w:t>
            </w:r>
          </w:p>
        </w:tc>
        <w:tc>
          <w:tcPr>
            <w:tcW w:w="659" w:type="pct"/>
            <w:noWrap/>
            <w:vAlign w:val="center"/>
            <w:hideMark/>
          </w:tcPr>
          <w:p w14:paraId="21839483"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4</w:t>
            </w:r>
          </w:p>
        </w:tc>
        <w:tc>
          <w:tcPr>
            <w:tcW w:w="732" w:type="pct"/>
            <w:noWrap/>
            <w:vAlign w:val="center"/>
            <w:hideMark/>
          </w:tcPr>
          <w:p w14:paraId="4FE51744"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17,4%</w:t>
            </w:r>
          </w:p>
        </w:tc>
      </w:tr>
      <w:tr w:rsidR="00871DD2" w:rsidRPr="00E850F2" w14:paraId="25734733" w14:textId="77777777" w:rsidTr="00871DD2">
        <w:trPr>
          <w:trHeight w:val="290"/>
        </w:trPr>
        <w:tc>
          <w:tcPr>
            <w:tcW w:w="1017" w:type="pct"/>
            <w:vMerge/>
            <w:vAlign w:val="center"/>
            <w:hideMark/>
          </w:tcPr>
          <w:p w14:paraId="664BDAD8" w14:textId="77777777" w:rsidR="00871DD2" w:rsidRPr="00E850F2" w:rsidRDefault="00871DD2" w:rsidP="00B454C2">
            <w:pPr>
              <w:spacing w:after="0" w:line="240" w:lineRule="auto"/>
              <w:rPr>
                <w:rFonts w:ascii="Calibri" w:eastAsia="Times New Roman" w:hAnsi="Calibri" w:cs="Calibri"/>
                <w:color w:val="000000"/>
                <w:kern w:val="0"/>
                <w14:ligatures w14:val="none"/>
              </w:rPr>
            </w:pPr>
          </w:p>
        </w:tc>
        <w:tc>
          <w:tcPr>
            <w:tcW w:w="2592" w:type="pct"/>
            <w:noWrap/>
            <w:vAlign w:val="center"/>
            <w:hideMark/>
          </w:tcPr>
          <w:p w14:paraId="07177C12" w14:textId="432D3660" w:rsidR="00871DD2" w:rsidRPr="00E850F2" w:rsidRDefault="004F5138" w:rsidP="004F5138">
            <w:pPr>
              <w:spacing w:after="0" w:line="240" w:lineRule="auto"/>
              <w:jc w:val="center"/>
              <w:rPr>
                <w:rFonts w:ascii="Calibri" w:eastAsia="Times New Roman" w:hAnsi="Calibri" w:cs="Calibri"/>
                <w:color w:val="000000"/>
                <w:kern w:val="0"/>
                <w14:ligatures w14:val="none"/>
              </w:rPr>
            </w:pPr>
            <w:r w:rsidRPr="004F5138">
              <w:rPr>
                <w:rFonts w:ascii="Calibri" w:eastAsia="Times New Roman" w:hAnsi="Calibri" w:cs="Calibri"/>
                <w:color w:val="000000"/>
                <w:kern w:val="0"/>
                <w14:ligatures w14:val="none"/>
              </w:rPr>
              <w:t>Group C: maternal data could not be separated</w:t>
            </w:r>
          </w:p>
        </w:tc>
        <w:tc>
          <w:tcPr>
            <w:tcW w:w="659" w:type="pct"/>
            <w:noWrap/>
            <w:vAlign w:val="center"/>
            <w:hideMark/>
          </w:tcPr>
          <w:p w14:paraId="2AFF6BB9"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2</w:t>
            </w:r>
          </w:p>
        </w:tc>
        <w:tc>
          <w:tcPr>
            <w:tcW w:w="732" w:type="pct"/>
            <w:noWrap/>
            <w:vAlign w:val="center"/>
            <w:hideMark/>
          </w:tcPr>
          <w:p w14:paraId="23D45FFE"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8,7%</w:t>
            </w:r>
          </w:p>
        </w:tc>
      </w:tr>
    </w:tbl>
    <w:p w14:paraId="527F44A5" w14:textId="77777777" w:rsidR="00871DD2" w:rsidRDefault="00871DD2" w:rsidP="00871DD2">
      <w:pPr>
        <w:jc w:val="both"/>
      </w:pPr>
    </w:p>
    <w:p w14:paraId="777954F7" w14:textId="5D666D9D" w:rsidR="00871DD2" w:rsidRPr="00E850F2" w:rsidRDefault="004F5138" w:rsidP="004F5138">
      <w:pPr>
        <w:ind w:firstLine="709"/>
        <w:jc w:val="both"/>
      </w:pPr>
      <w:r w:rsidRPr="004F5138">
        <w:t xml:space="preserve">Table 3 shows that the highest numbers of publications were identified in 2023 and 2026, with four articles in each year. The eligible articles were relatively evenly distributed across Kalimantan, </w:t>
      </w:r>
      <w:r w:rsidRPr="004F5138">
        <w:lastRenderedPageBreak/>
        <w:t>Sumatra, and Java, whereas evidence from Sulawesi and Maluku remained limited. No eligible articles were identified from Bali, Nusa Tenggara, or Papua. This distribution indicates that the synthesis results are more representative of western Indonesia and Kalimantan than of Indonesia as a whole.</w:t>
      </w:r>
    </w:p>
    <w:p w14:paraId="04BD7E92" w14:textId="06E6E139" w:rsidR="00871DD2" w:rsidRPr="00E850F2" w:rsidRDefault="004F5138" w:rsidP="004F5138">
      <w:pPr>
        <w:rPr>
          <w:b/>
          <w:bCs/>
        </w:rPr>
      </w:pPr>
      <w:r w:rsidRPr="004F5138">
        <w:rPr>
          <w:b/>
          <w:bCs/>
        </w:rPr>
        <w:t xml:space="preserve">Proportion of </w:t>
      </w:r>
      <w:proofErr w:type="spellStart"/>
      <w:r w:rsidRPr="004F5138">
        <w:rPr>
          <w:b/>
          <w:bCs/>
        </w:rPr>
        <w:t>Zingiberaceae</w:t>
      </w:r>
      <w:proofErr w:type="spellEnd"/>
      <w:r w:rsidRPr="004F5138">
        <w:rPr>
          <w:b/>
          <w:bCs/>
        </w:rPr>
        <w:t xml:space="preserve"> in the Primary Analysis</w:t>
      </w:r>
    </w:p>
    <w:p w14:paraId="74AD5DCF" w14:textId="05871E47" w:rsidR="00871DD2" w:rsidRDefault="00863ED8" w:rsidP="00863ED8">
      <w:pPr>
        <w:jc w:val="center"/>
        <w:rPr>
          <w:b/>
          <w:bCs/>
        </w:rPr>
      </w:pPr>
      <w:r w:rsidRPr="00863ED8">
        <w:rPr>
          <w:b/>
          <w:bCs/>
        </w:rPr>
        <w:t xml:space="preserve">Table 5. Proportion of </w:t>
      </w:r>
      <w:proofErr w:type="spellStart"/>
      <w:r w:rsidRPr="00863ED8">
        <w:rPr>
          <w:b/>
          <w:bCs/>
        </w:rPr>
        <w:t>Zingiberaceae</w:t>
      </w:r>
      <w:proofErr w:type="spellEnd"/>
      <w:r w:rsidRPr="00863ED8">
        <w:rPr>
          <w:b/>
          <w:bCs/>
        </w:rPr>
        <w:t xml:space="preserve"> in the 17 Articles Included in the Primary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2"/>
        <w:gridCol w:w="2014"/>
        <w:gridCol w:w="1957"/>
        <w:gridCol w:w="1160"/>
        <w:gridCol w:w="1357"/>
      </w:tblGrid>
      <w:tr w:rsidR="00871DD2" w:rsidRPr="00E850F2" w14:paraId="323FA874" w14:textId="77777777" w:rsidTr="00D70D02">
        <w:trPr>
          <w:trHeight w:val="290"/>
        </w:trPr>
        <w:tc>
          <w:tcPr>
            <w:tcW w:w="1246" w:type="pct"/>
            <w:noWrap/>
            <w:vAlign w:val="center"/>
            <w:hideMark/>
          </w:tcPr>
          <w:p w14:paraId="39F4C5EF" w14:textId="547365FD" w:rsidR="00871DD2" w:rsidRPr="00E850F2" w:rsidRDefault="00863ED8" w:rsidP="00863ED8">
            <w:pPr>
              <w:spacing w:after="0" w:line="240" w:lineRule="auto"/>
              <w:jc w:val="center"/>
              <w:rPr>
                <w:rFonts w:ascii="Calibri" w:eastAsia="Times New Roman" w:hAnsi="Calibri" w:cs="Calibri"/>
                <w:b/>
                <w:bCs/>
                <w:color w:val="000000"/>
                <w:kern w:val="0"/>
                <w14:ligatures w14:val="none"/>
              </w:rPr>
            </w:pPr>
            <w:r w:rsidRPr="00863ED8">
              <w:rPr>
                <w:rFonts w:ascii="Calibri" w:eastAsia="Times New Roman" w:hAnsi="Calibri" w:cs="Calibri"/>
                <w:b/>
                <w:bCs/>
                <w:color w:val="000000"/>
                <w:kern w:val="0"/>
                <w14:ligatures w14:val="none"/>
              </w:rPr>
              <w:t>Article</w:t>
            </w:r>
          </w:p>
        </w:tc>
        <w:tc>
          <w:tcPr>
            <w:tcW w:w="1136" w:type="pct"/>
            <w:noWrap/>
            <w:vAlign w:val="center"/>
            <w:hideMark/>
          </w:tcPr>
          <w:p w14:paraId="7E5A45DA" w14:textId="18887FB3" w:rsidR="00871DD2" w:rsidRPr="00E850F2" w:rsidRDefault="00863ED8" w:rsidP="00863ED8">
            <w:pPr>
              <w:spacing w:after="0" w:line="240" w:lineRule="auto"/>
              <w:jc w:val="center"/>
              <w:rPr>
                <w:rFonts w:ascii="Calibri" w:eastAsia="Times New Roman" w:hAnsi="Calibri" w:cs="Calibri"/>
                <w:b/>
                <w:bCs/>
                <w:color w:val="000000"/>
                <w:kern w:val="0"/>
                <w14:ligatures w14:val="none"/>
              </w:rPr>
            </w:pPr>
            <w:r w:rsidRPr="00863ED8">
              <w:rPr>
                <w:rFonts w:ascii="Calibri" w:eastAsia="Times New Roman" w:hAnsi="Calibri" w:cs="Calibri"/>
                <w:b/>
                <w:bCs/>
                <w:color w:val="000000"/>
                <w:kern w:val="0"/>
                <w14:ligatures w14:val="none"/>
              </w:rPr>
              <w:t>Community</w:t>
            </w:r>
          </w:p>
        </w:tc>
        <w:tc>
          <w:tcPr>
            <w:tcW w:w="1212" w:type="pct"/>
            <w:noWrap/>
            <w:vAlign w:val="center"/>
            <w:hideMark/>
          </w:tcPr>
          <w:p w14:paraId="6836A8D7" w14:textId="77777777" w:rsidR="00871DD2" w:rsidRPr="00E850F2" w:rsidRDefault="00871DD2" w:rsidP="00B454C2">
            <w:pPr>
              <w:spacing w:after="0" w:line="240" w:lineRule="auto"/>
              <w:jc w:val="center"/>
              <w:rPr>
                <w:rFonts w:ascii="Calibri" w:eastAsia="Times New Roman" w:hAnsi="Calibri" w:cs="Calibri"/>
                <w:b/>
                <w:bCs/>
                <w:color w:val="000000"/>
                <w:kern w:val="0"/>
                <w14:ligatures w14:val="none"/>
              </w:rPr>
            </w:pPr>
            <w:proofErr w:type="spellStart"/>
            <w:r w:rsidRPr="00E850F2">
              <w:rPr>
                <w:rFonts w:ascii="Calibri" w:eastAsia="Times New Roman" w:hAnsi="Calibri" w:cs="Calibri"/>
                <w:b/>
                <w:bCs/>
                <w:color w:val="000000"/>
                <w:kern w:val="0"/>
                <w14:ligatures w14:val="none"/>
              </w:rPr>
              <w:t>Zingiberaceae</w:t>
            </w:r>
            <w:proofErr w:type="spellEnd"/>
            <w:r w:rsidRPr="00E850F2">
              <w:rPr>
                <w:rFonts w:ascii="Calibri" w:eastAsia="Times New Roman" w:hAnsi="Calibri" w:cs="Calibri"/>
                <w:b/>
                <w:bCs/>
                <w:color w:val="000000"/>
                <w:kern w:val="0"/>
                <w14:ligatures w14:val="none"/>
              </w:rPr>
              <w:t>/Total</w:t>
            </w:r>
          </w:p>
        </w:tc>
        <w:tc>
          <w:tcPr>
            <w:tcW w:w="648" w:type="pct"/>
            <w:noWrap/>
            <w:vAlign w:val="center"/>
            <w:hideMark/>
          </w:tcPr>
          <w:p w14:paraId="13F828A2" w14:textId="78B1E6FE" w:rsidR="00871DD2" w:rsidRPr="00E850F2" w:rsidRDefault="00863ED8" w:rsidP="00863ED8">
            <w:pPr>
              <w:spacing w:after="0" w:line="240" w:lineRule="auto"/>
              <w:jc w:val="center"/>
              <w:rPr>
                <w:rFonts w:ascii="Calibri" w:eastAsia="Times New Roman" w:hAnsi="Calibri" w:cs="Calibri"/>
                <w:b/>
                <w:bCs/>
                <w:color w:val="000000"/>
                <w:kern w:val="0"/>
                <w14:ligatures w14:val="none"/>
              </w:rPr>
            </w:pPr>
            <w:r w:rsidRPr="00863ED8">
              <w:rPr>
                <w:rFonts w:ascii="Calibri" w:eastAsia="Times New Roman" w:hAnsi="Calibri" w:cs="Calibri"/>
                <w:b/>
                <w:bCs/>
                <w:color w:val="000000"/>
                <w:kern w:val="0"/>
                <w14:ligatures w14:val="none"/>
              </w:rPr>
              <w:t>Proportion</w:t>
            </w:r>
          </w:p>
        </w:tc>
        <w:tc>
          <w:tcPr>
            <w:tcW w:w="759" w:type="pct"/>
            <w:noWrap/>
            <w:vAlign w:val="center"/>
            <w:hideMark/>
          </w:tcPr>
          <w:p w14:paraId="323B913D" w14:textId="77777777" w:rsidR="00871DD2" w:rsidRPr="00E850F2" w:rsidRDefault="00871DD2" w:rsidP="00B454C2">
            <w:pPr>
              <w:spacing w:after="0" w:line="240" w:lineRule="auto"/>
              <w:jc w:val="center"/>
              <w:rPr>
                <w:rFonts w:ascii="Calibri" w:eastAsia="Times New Roman" w:hAnsi="Calibri" w:cs="Calibri"/>
                <w:b/>
                <w:bCs/>
                <w:color w:val="000000"/>
                <w:kern w:val="0"/>
                <w14:ligatures w14:val="none"/>
              </w:rPr>
            </w:pPr>
            <w:r w:rsidRPr="00E850F2">
              <w:rPr>
                <w:rFonts w:ascii="Calibri" w:eastAsia="Times New Roman" w:hAnsi="Calibri" w:cs="Calibri"/>
                <w:b/>
                <w:bCs/>
                <w:color w:val="000000"/>
                <w:kern w:val="0"/>
                <w14:ligatures w14:val="none"/>
              </w:rPr>
              <w:t>95% CI</w:t>
            </w:r>
          </w:p>
        </w:tc>
      </w:tr>
      <w:tr w:rsidR="00871DD2" w:rsidRPr="00E850F2" w14:paraId="4D3935FE" w14:textId="77777777" w:rsidTr="00D70D02">
        <w:trPr>
          <w:trHeight w:val="290"/>
        </w:trPr>
        <w:tc>
          <w:tcPr>
            <w:tcW w:w="1246" w:type="pct"/>
            <w:noWrap/>
            <w:vAlign w:val="center"/>
            <w:hideMark/>
          </w:tcPr>
          <w:p w14:paraId="4F2E3511" w14:textId="228129B9" w:rsidR="00871DD2" w:rsidRPr="00E850F2" w:rsidRDefault="004F31F4" w:rsidP="00B454C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fldChar w:fldCharType="begin" w:fldLock="1"/>
            </w:r>
            <w:r>
              <w:rPr>
                <w:rFonts w:ascii="Calibri" w:eastAsia="Times New Roman" w:hAnsi="Calibri" w:cs="Calibri"/>
                <w:color w:val="000000"/>
                <w:kern w:val="0"/>
                <w14:ligatures w14:val="none"/>
              </w:rPr>
              <w:instrText>ADDIN CSL_CITATION {"citationItems":[{"id":"ITEM-1","itemData":{"DOI":"10.31289/jibioma.v1i1.1225","author":[{"dropping-particle":"","family":"Yustika","given":"B","non-dropping-particle":"","parse-names":false,"suffix":""},{"dropping-particle":"","family":"Nasution","given":"J","non-dropping-particle":"","parse-names":false,"suffix":""},{"dropping-particle":"","family":"Riyanto","given":"","non-dropping-particle":"","parse-names":false,"suffix":""}],"container-title":"Jurnal Ilmiah Biologi UMA","id":"ITEM-1","issue":"1","issued":{"date-parts":[["2022"]]},"page":"8-17","title":"Jenis tumbuhan obat yang dimanfaatkan untuk pasca melahirkan oleh etnis Melayu di Tanjung Pura Kabupaten Langkat, Sumatera Utara","type":"article-journal","volume":"4"},"uris":["http://www.mendeley.com/documents/?uuid=8c98f3de-6c8d-40be-98ab-533f4d4c0a5e"]}],"mendeley":{"formattedCitation":"(Yustika et al., 2022)","manualFormatting":"Yustika et al. (2022)","plainTextFormattedCitation":"(Yustika et al., 2022)","previouslyFormattedCitation":"(Yustika et al., 2022)"},"properties":{"noteIndex":0},"schema":"https://github.com/citation-style-language/schema/raw/master/csl-citation.json"}</w:instrText>
            </w:r>
            <w:r>
              <w:rPr>
                <w:rFonts w:ascii="Calibri" w:eastAsia="Times New Roman" w:hAnsi="Calibri" w:cs="Calibri"/>
                <w:color w:val="000000"/>
                <w:kern w:val="0"/>
                <w14:ligatures w14:val="none"/>
              </w:rPr>
              <w:fldChar w:fldCharType="separate"/>
            </w:r>
            <w:r w:rsidRPr="004F31F4">
              <w:rPr>
                <w:rFonts w:ascii="Calibri" w:eastAsia="Times New Roman" w:hAnsi="Calibri" w:cs="Calibri"/>
                <w:noProof/>
                <w:color w:val="000000"/>
                <w:kern w:val="0"/>
                <w14:ligatures w14:val="none"/>
              </w:rPr>
              <w:t>Yustika et al.</w:t>
            </w:r>
            <w:r>
              <w:rPr>
                <w:rFonts w:ascii="Calibri" w:eastAsia="Times New Roman" w:hAnsi="Calibri" w:cs="Calibri"/>
                <w:noProof/>
                <w:color w:val="000000"/>
                <w:kern w:val="0"/>
                <w14:ligatures w14:val="none"/>
              </w:rPr>
              <w:t xml:space="preserve"> (</w:t>
            </w:r>
            <w:r w:rsidRPr="004F31F4">
              <w:rPr>
                <w:rFonts w:ascii="Calibri" w:eastAsia="Times New Roman" w:hAnsi="Calibri" w:cs="Calibri"/>
                <w:noProof/>
                <w:color w:val="000000"/>
                <w:kern w:val="0"/>
                <w14:ligatures w14:val="none"/>
              </w:rPr>
              <w:t>2022)</w:t>
            </w:r>
            <w:r>
              <w:rPr>
                <w:rFonts w:ascii="Calibri" w:eastAsia="Times New Roman" w:hAnsi="Calibri" w:cs="Calibri"/>
                <w:color w:val="000000"/>
                <w:kern w:val="0"/>
                <w14:ligatures w14:val="none"/>
              </w:rPr>
              <w:fldChar w:fldCharType="end"/>
            </w:r>
          </w:p>
        </w:tc>
        <w:tc>
          <w:tcPr>
            <w:tcW w:w="1136" w:type="pct"/>
            <w:noWrap/>
            <w:vAlign w:val="center"/>
            <w:hideMark/>
          </w:tcPr>
          <w:p w14:paraId="3AB6BF98"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proofErr w:type="spellStart"/>
            <w:r w:rsidRPr="00E850F2">
              <w:rPr>
                <w:rFonts w:ascii="Calibri" w:eastAsia="Times New Roman" w:hAnsi="Calibri" w:cs="Calibri"/>
                <w:color w:val="000000"/>
                <w:kern w:val="0"/>
                <w14:ligatures w14:val="none"/>
              </w:rPr>
              <w:t>Melayu</w:t>
            </w:r>
            <w:proofErr w:type="spellEnd"/>
            <w:r w:rsidRPr="00E850F2">
              <w:rPr>
                <w:rFonts w:ascii="Calibri" w:eastAsia="Times New Roman" w:hAnsi="Calibri" w:cs="Calibri"/>
                <w:color w:val="000000"/>
                <w:kern w:val="0"/>
                <w14:ligatures w14:val="none"/>
              </w:rPr>
              <w:t xml:space="preserve"> Tanjung Pura</w:t>
            </w:r>
          </w:p>
        </w:tc>
        <w:tc>
          <w:tcPr>
            <w:tcW w:w="1212" w:type="pct"/>
            <w:noWrap/>
            <w:hideMark/>
          </w:tcPr>
          <w:p w14:paraId="0FE0EBB6"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AA6F73">
              <w:t>8/40</w:t>
            </w:r>
          </w:p>
        </w:tc>
        <w:tc>
          <w:tcPr>
            <w:tcW w:w="648" w:type="pct"/>
            <w:noWrap/>
            <w:vAlign w:val="center"/>
            <w:hideMark/>
          </w:tcPr>
          <w:p w14:paraId="42BF4F27"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20,0%</w:t>
            </w:r>
          </w:p>
        </w:tc>
        <w:tc>
          <w:tcPr>
            <w:tcW w:w="759" w:type="pct"/>
            <w:noWrap/>
            <w:vAlign w:val="center"/>
            <w:hideMark/>
          </w:tcPr>
          <w:p w14:paraId="404C6130"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10,3%–35,2%</w:t>
            </w:r>
          </w:p>
        </w:tc>
      </w:tr>
      <w:tr w:rsidR="00871DD2" w:rsidRPr="00E850F2" w14:paraId="1240A17F" w14:textId="77777777" w:rsidTr="00D70D02">
        <w:trPr>
          <w:trHeight w:val="290"/>
        </w:trPr>
        <w:tc>
          <w:tcPr>
            <w:tcW w:w="1246" w:type="pct"/>
            <w:noWrap/>
            <w:vAlign w:val="center"/>
            <w:hideMark/>
          </w:tcPr>
          <w:p w14:paraId="26D93D06" w14:textId="260E8627" w:rsidR="00871DD2" w:rsidRPr="00E850F2" w:rsidRDefault="004F31F4" w:rsidP="00B454C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fldChar w:fldCharType="begin" w:fldLock="1"/>
            </w:r>
            <w:r>
              <w:rPr>
                <w:rFonts w:ascii="Calibri" w:eastAsia="Times New Roman" w:hAnsi="Calibri" w:cs="Calibri"/>
                <w:color w:val="000000"/>
                <w:kern w:val="0"/>
                <w14:ligatures w14:val="none"/>
              </w:rPr>
              <w:instrText>ADDIN CSL_CITATION {"citationItems":[{"id":"ITEM-1","itemData":{"DOI":"10.18860/elha.v10i3.36427","author":[{"dropping-particle":"","family":"Minarno","given":"E B","non-dropping-particle":"","parse-names":false,"suffix":""},{"dropping-particle":"","family":"Rahmah","given":"Z","non-dropping-particle":"","parse-names":false,"suffix":""},{"dropping-particle":"","family":"Jannah","given":"S H","non-dropping-particle":"","parse-names":false,"suffix":""}],"container-title":"El-Hayah: Jurnal Biologi","id":"ITEM-1","issue":"3","issued":{"date-parts":[["2025"]]},"page":"152-166","title":"Ethnobotany of medicinal plants by the Pasean District community in Pamekasan Regency as components of postpartum herbal remedies","type":"article-journal","volume":"10"},"uris":["http://www.mendeley.com/documents/?uuid=0f8a0160-acb7-4565-83fb-4d4adeba6397"]}],"mendeley":{"formattedCitation":"(Minarno et al., 2025)","manualFormatting":"Minarno et al. (2025)","plainTextFormattedCitation":"(Minarno et al., 2025)","previouslyFormattedCitation":"(Minarno et al., 2025)"},"properties":{"noteIndex":0},"schema":"https://github.com/citation-style-language/schema/raw/master/csl-citation.json"}</w:instrText>
            </w:r>
            <w:r>
              <w:rPr>
                <w:rFonts w:ascii="Calibri" w:eastAsia="Times New Roman" w:hAnsi="Calibri" w:cs="Calibri"/>
                <w:color w:val="000000"/>
                <w:kern w:val="0"/>
                <w14:ligatures w14:val="none"/>
              </w:rPr>
              <w:fldChar w:fldCharType="separate"/>
            </w:r>
            <w:r w:rsidRPr="004F31F4">
              <w:rPr>
                <w:rFonts w:ascii="Calibri" w:eastAsia="Times New Roman" w:hAnsi="Calibri" w:cs="Calibri"/>
                <w:noProof/>
                <w:color w:val="000000"/>
                <w:kern w:val="0"/>
                <w14:ligatures w14:val="none"/>
              </w:rPr>
              <w:t>Minarno et al.</w:t>
            </w:r>
            <w:r>
              <w:rPr>
                <w:rFonts w:ascii="Calibri" w:eastAsia="Times New Roman" w:hAnsi="Calibri" w:cs="Calibri"/>
                <w:noProof/>
                <w:color w:val="000000"/>
                <w:kern w:val="0"/>
                <w14:ligatures w14:val="none"/>
              </w:rPr>
              <w:t xml:space="preserve"> (</w:t>
            </w:r>
            <w:r w:rsidRPr="004F31F4">
              <w:rPr>
                <w:rFonts w:ascii="Calibri" w:eastAsia="Times New Roman" w:hAnsi="Calibri" w:cs="Calibri"/>
                <w:noProof/>
                <w:color w:val="000000"/>
                <w:kern w:val="0"/>
                <w14:ligatures w14:val="none"/>
              </w:rPr>
              <w:t>2025)</w:t>
            </w:r>
            <w:r>
              <w:rPr>
                <w:rFonts w:ascii="Calibri" w:eastAsia="Times New Roman" w:hAnsi="Calibri" w:cs="Calibri"/>
                <w:color w:val="000000"/>
                <w:kern w:val="0"/>
                <w14:ligatures w14:val="none"/>
              </w:rPr>
              <w:fldChar w:fldCharType="end"/>
            </w:r>
          </w:p>
        </w:tc>
        <w:tc>
          <w:tcPr>
            <w:tcW w:w="1136" w:type="pct"/>
            <w:noWrap/>
            <w:vAlign w:val="center"/>
            <w:hideMark/>
          </w:tcPr>
          <w:p w14:paraId="7706CA4C"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 xml:space="preserve">Madura </w:t>
            </w:r>
            <w:proofErr w:type="spellStart"/>
            <w:r w:rsidRPr="00E850F2">
              <w:rPr>
                <w:rFonts w:ascii="Calibri" w:eastAsia="Times New Roman" w:hAnsi="Calibri" w:cs="Calibri"/>
                <w:color w:val="000000"/>
                <w:kern w:val="0"/>
                <w14:ligatures w14:val="none"/>
              </w:rPr>
              <w:t>Pasean</w:t>
            </w:r>
            <w:proofErr w:type="spellEnd"/>
          </w:p>
        </w:tc>
        <w:tc>
          <w:tcPr>
            <w:tcW w:w="1212" w:type="pct"/>
            <w:noWrap/>
            <w:hideMark/>
          </w:tcPr>
          <w:p w14:paraId="5A8BAB83"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AA6F73">
              <w:t>6/25</w:t>
            </w:r>
          </w:p>
        </w:tc>
        <w:tc>
          <w:tcPr>
            <w:tcW w:w="648" w:type="pct"/>
            <w:noWrap/>
            <w:vAlign w:val="center"/>
            <w:hideMark/>
          </w:tcPr>
          <w:p w14:paraId="3B3F9BA1"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24,0%</w:t>
            </w:r>
          </w:p>
        </w:tc>
        <w:tc>
          <w:tcPr>
            <w:tcW w:w="759" w:type="pct"/>
            <w:noWrap/>
            <w:vAlign w:val="center"/>
            <w:hideMark/>
          </w:tcPr>
          <w:p w14:paraId="12423D91"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11,2%–44,2%</w:t>
            </w:r>
          </w:p>
        </w:tc>
      </w:tr>
      <w:tr w:rsidR="00871DD2" w:rsidRPr="00E850F2" w14:paraId="6364105E" w14:textId="77777777" w:rsidTr="00D70D02">
        <w:trPr>
          <w:trHeight w:val="290"/>
        </w:trPr>
        <w:tc>
          <w:tcPr>
            <w:tcW w:w="1246" w:type="pct"/>
            <w:noWrap/>
            <w:vAlign w:val="center"/>
            <w:hideMark/>
          </w:tcPr>
          <w:p w14:paraId="548032FE" w14:textId="19B32ECF" w:rsidR="00871DD2" w:rsidRPr="00E850F2" w:rsidRDefault="004F31F4" w:rsidP="00B454C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fldChar w:fldCharType="begin" w:fldLock="1"/>
            </w:r>
            <w:r>
              <w:rPr>
                <w:rFonts w:ascii="Calibri" w:eastAsia="Times New Roman" w:hAnsi="Calibri" w:cs="Calibri"/>
                <w:color w:val="000000"/>
                <w:kern w:val="0"/>
                <w14:ligatures w14:val="none"/>
              </w:rPr>
              <w:instrText>ADDIN CSL_CITATION {"citationItems":[{"id":"ITEM-1","itemData":{"author":[{"dropping-particle":"","family":"Lestari","given":"F","non-dropping-particle":"","parse-names":false,"suffix":""},{"dropping-particle":"","family":"Febrianti","given":"Y","non-dropping-particle":"","parse-names":false,"suffix":""},{"dropping-particle":"","family":"Susanti","given":"I","non-dropping-particle":"","parse-names":false,"suffix":""}],"container-title":"South Eastern European Journal of Public Health","id":"ITEM-1","issued":{"date-parts":[["2025"]]},"page":"2621-2631","title":"Potential of postpartum medicinal plants of the Sindang Kelingi Ilir Tribe","type":"article-journal","volume":"26"},"uris":["http://www.mendeley.com/documents/?uuid=724caaaf-f2e6-41a8-8a00-3f55c33c6f2c"]}],"mendeley":{"formattedCitation":"(Lestari et al., 2025)","manualFormatting":"Lestari et al. (2025)","plainTextFormattedCitation":"(Lestari et al., 2025)","previouslyFormattedCitation":"(Lestari et al., 2025)"},"properties":{"noteIndex":0},"schema":"https://github.com/citation-style-language/schema/raw/master/csl-citation.json"}</w:instrText>
            </w:r>
            <w:r>
              <w:rPr>
                <w:rFonts w:ascii="Calibri" w:eastAsia="Times New Roman" w:hAnsi="Calibri" w:cs="Calibri"/>
                <w:color w:val="000000"/>
                <w:kern w:val="0"/>
                <w14:ligatures w14:val="none"/>
              </w:rPr>
              <w:fldChar w:fldCharType="separate"/>
            </w:r>
            <w:r w:rsidRPr="004F31F4">
              <w:rPr>
                <w:rFonts w:ascii="Calibri" w:eastAsia="Times New Roman" w:hAnsi="Calibri" w:cs="Calibri"/>
                <w:noProof/>
                <w:color w:val="000000"/>
                <w:kern w:val="0"/>
                <w14:ligatures w14:val="none"/>
              </w:rPr>
              <w:t xml:space="preserve">Lestari et al. </w:t>
            </w:r>
            <w:r>
              <w:rPr>
                <w:rFonts w:ascii="Calibri" w:eastAsia="Times New Roman" w:hAnsi="Calibri" w:cs="Calibri"/>
                <w:noProof/>
                <w:color w:val="000000"/>
                <w:kern w:val="0"/>
                <w14:ligatures w14:val="none"/>
              </w:rPr>
              <w:t>(</w:t>
            </w:r>
            <w:r w:rsidRPr="004F31F4">
              <w:rPr>
                <w:rFonts w:ascii="Calibri" w:eastAsia="Times New Roman" w:hAnsi="Calibri" w:cs="Calibri"/>
                <w:noProof/>
                <w:color w:val="000000"/>
                <w:kern w:val="0"/>
                <w14:ligatures w14:val="none"/>
              </w:rPr>
              <w:t>2025)</w:t>
            </w:r>
            <w:r>
              <w:rPr>
                <w:rFonts w:ascii="Calibri" w:eastAsia="Times New Roman" w:hAnsi="Calibri" w:cs="Calibri"/>
                <w:color w:val="000000"/>
                <w:kern w:val="0"/>
                <w14:ligatures w14:val="none"/>
              </w:rPr>
              <w:fldChar w:fldCharType="end"/>
            </w:r>
          </w:p>
        </w:tc>
        <w:tc>
          <w:tcPr>
            <w:tcW w:w="1136" w:type="pct"/>
            <w:noWrap/>
            <w:vAlign w:val="center"/>
            <w:hideMark/>
          </w:tcPr>
          <w:p w14:paraId="55311A68"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proofErr w:type="spellStart"/>
            <w:r w:rsidRPr="00E850F2">
              <w:rPr>
                <w:rFonts w:ascii="Calibri" w:eastAsia="Times New Roman" w:hAnsi="Calibri" w:cs="Calibri"/>
                <w:color w:val="000000"/>
                <w:kern w:val="0"/>
                <w14:ligatures w14:val="none"/>
              </w:rPr>
              <w:t>Sindang</w:t>
            </w:r>
            <w:proofErr w:type="spellEnd"/>
            <w:r w:rsidRPr="00E850F2">
              <w:rPr>
                <w:rFonts w:ascii="Calibri" w:eastAsia="Times New Roman" w:hAnsi="Calibri" w:cs="Calibri"/>
                <w:color w:val="000000"/>
                <w:kern w:val="0"/>
                <w14:ligatures w14:val="none"/>
              </w:rPr>
              <w:t xml:space="preserve"> </w:t>
            </w:r>
            <w:proofErr w:type="spellStart"/>
            <w:r w:rsidRPr="00E850F2">
              <w:rPr>
                <w:rFonts w:ascii="Calibri" w:eastAsia="Times New Roman" w:hAnsi="Calibri" w:cs="Calibri"/>
                <w:color w:val="000000"/>
                <w:kern w:val="0"/>
                <w14:ligatures w14:val="none"/>
              </w:rPr>
              <w:t>Kelingi</w:t>
            </w:r>
            <w:proofErr w:type="spellEnd"/>
            <w:r w:rsidRPr="00E850F2">
              <w:rPr>
                <w:rFonts w:ascii="Calibri" w:eastAsia="Times New Roman" w:hAnsi="Calibri" w:cs="Calibri"/>
                <w:color w:val="000000"/>
                <w:kern w:val="0"/>
                <w14:ligatures w14:val="none"/>
              </w:rPr>
              <w:t xml:space="preserve"> Ilir</w:t>
            </w:r>
          </w:p>
        </w:tc>
        <w:tc>
          <w:tcPr>
            <w:tcW w:w="1212" w:type="pct"/>
            <w:noWrap/>
            <w:hideMark/>
          </w:tcPr>
          <w:p w14:paraId="57CEE358"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AA6F73">
              <w:t>2/14</w:t>
            </w:r>
          </w:p>
        </w:tc>
        <w:tc>
          <w:tcPr>
            <w:tcW w:w="648" w:type="pct"/>
            <w:noWrap/>
            <w:vAlign w:val="center"/>
            <w:hideMark/>
          </w:tcPr>
          <w:p w14:paraId="36F47F76"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14,3%</w:t>
            </w:r>
          </w:p>
        </w:tc>
        <w:tc>
          <w:tcPr>
            <w:tcW w:w="759" w:type="pct"/>
            <w:noWrap/>
            <w:vAlign w:val="center"/>
            <w:hideMark/>
          </w:tcPr>
          <w:p w14:paraId="5CCA9933"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3,6%–42,7%</w:t>
            </w:r>
          </w:p>
        </w:tc>
      </w:tr>
      <w:tr w:rsidR="00871DD2" w:rsidRPr="00E850F2" w14:paraId="6CED463F" w14:textId="77777777" w:rsidTr="00D70D02">
        <w:trPr>
          <w:trHeight w:val="290"/>
        </w:trPr>
        <w:tc>
          <w:tcPr>
            <w:tcW w:w="1246" w:type="pct"/>
            <w:noWrap/>
            <w:vAlign w:val="center"/>
            <w:hideMark/>
          </w:tcPr>
          <w:p w14:paraId="10D4D3FF" w14:textId="7773E359" w:rsidR="00871DD2" w:rsidRPr="00E850F2" w:rsidRDefault="00265A1B" w:rsidP="00B454C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fldChar w:fldCharType="begin" w:fldLock="1"/>
            </w:r>
            <w:r>
              <w:rPr>
                <w:rFonts w:ascii="Calibri" w:eastAsia="Times New Roman" w:hAnsi="Calibri" w:cs="Calibri"/>
                <w:color w:val="000000"/>
                <w:kern w:val="0"/>
                <w14:ligatures w14:val="none"/>
              </w:rPr>
              <w:instrText>ADDIN CSL_CITATION {"citationItems":[{"id":"ITEM-1","itemData":{"DOI":"10.2174/0122150838333430250220043549","author":[{"dropping-particle":"","family":"Panjaitan","given":"R G P","non-dropping-particle":"","parse-names":false,"suffix":""},{"dropping-particle":"","family":"Rosanti","given":"M","non-dropping-particle":"","parse-names":false,"suffix":""},{"dropping-particle":"","family":"Wahyuni","given":"E S","non-dropping-particle":"","parse-names":false,"suffix":""},{"dropping-particle":"","family":"Afandi","given":"","non-dropping-particle":"","parse-names":false,"suffix":""},{"dropping-particle":"","family":"Fitriawan","given":"D","non-dropping-particle":"","parse-names":false,"suffix":""}],"container-title":"Current Traditional Medicine","id":"ITEM-1","issued":{"date-parts":[["2026"]]},"page":"e22150838333430","title":"Postpartum medicinal plants of the Malay Tribe in Bentunai Village, Selakau Sub-District, Sambas District","type":"article-journal","volume":"12"},"uris":["http://www.mendeley.com/documents/?uuid=eb96c765-b6b5-4ef1-8900-24c1395bdb50"]}],"mendeley":{"formattedCitation":"(Panjaitan, Rosanti, et al., 2026)","manualFormatting":"Panjaitan, Rosanti, et al. (2026)","plainTextFormattedCitation":"(Panjaitan, Rosanti, et al., 2026)","previouslyFormattedCitation":"(Panjaitan, Rosanti, et al., 2026)"},"properties":{"noteIndex":0},"schema":"https://github.com/citation-style-language/schema/raw/master/csl-citation.json"}</w:instrText>
            </w:r>
            <w:r>
              <w:rPr>
                <w:rFonts w:ascii="Calibri" w:eastAsia="Times New Roman" w:hAnsi="Calibri" w:cs="Calibri"/>
                <w:color w:val="000000"/>
                <w:kern w:val="0"/>
                <w14:ligatures w14:val="none"/>
              </w:rPr>
              <w:fldChar w:fldCharType="separate"/>
            </w:r>
            <w:r w:rsidRPr="00265A1B">
              <w:rPr>
                <w:rFonts w:ascii="Calibri" w:eastAsia="Times New Roman" w:hAnsi="Calibri" w:cs="Calibri"/>
                <w:noProof/>
                <w:color w:val="000000"/>
                <w:kern w:val="0"/>
                <w14:ligatures w14:val="none"/>
              </w:rPr>
              <w:t xml:space="preserve">Panjaitan, Rosanti, et al. </w:t>
            </w:r>
            <w:r>
              <w:rPr>
                <w:rFonts w:ascii="Calibri" w:eastAsia="Times New Roman" w:hAnsi="Calibri" w:cs="Calibri"/>
                <w:noProof/>
                <w:color w:val="000000"/>
                <w:kern w:val="0"/>
                <w14:ligatures w14:val="none"/>
              </w:rPr>
              <w:t>(</w:t>
            </w:r>
            <w:r w:rsidRPr="00265A1B">
              <w:rPr>
                <w:rFonts w:ascii="Calibri" w:eastAsia="Times New Roman" w:hAnsi="Calibri" w:cs="Calibri"/>
                <w:noProof/>
                <w:color w:val="000000"/>
                <w:kern w:val="0"/>
                <w14:ligatures w14:val="none"/>
              </w:rPr>
              <w:t>2026)</w:t>
            </w:r>
            <w:r>
              <w:rPr>
                <w:rFonts w:ascii="Calibri" w:eastAsia="Times New Roman" w:hAnsi="Calibri" w:cs="Calibri"/>
                <w:color w:val="000000"/>
                <w:kern w:val="0"/>
                <w14:ligatures w14:val="none"/>
              </w:rPr>
              <w:fldChar w:fldCharType="end"/>
            </w:r>
          </w:p>
        </w:tc>
        <w:tc>
          <w:tcPr>
            <w:tcW w:w="1136" w:type="pct"/>
            <w:noWrap/>
            <w:vAlign w:val="center"/>
            <w:hideMark/>
          </w:tcPr>
          <w:p w14:paraId="4FD59C0D"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proofErr w:type="spellStart"/>
            <w:r w:rsidRPr="00E850F2">
              <w:rPr>
                <w:rFonts w:ascii="Calibri" w:eastAsia="Times New Roman" w:hAnsi="Calibri" w:cs="Calibri"/>
                <w:color w:val="000000"/>
                <w:kern w:val="0"/>
                <w14:ligatures w14:val="none"/>
              </w:rPr>
              <w:t>Melayu</w:t>
            </w:r>
            <w:proofErr w:type="spellEnd"/>
            <w:r w:rsidRPr="00E850F2">
              <w:rPr>
                <w:rFonts w:ascii="Calibri" w:eastAsia="Times New Roman" w:hAnsi="Calibri" w:cs="Calibri"/>
                <w:color w:val="000000"/>
                <w:kern w:val="0"/>
                <w14:ligatures w14:val="none"/>
              </w:rPr>
              <w:t xml:space="preserve"> </w:t>
            </w:r>
            <w:proofErr w:type="spellStart"/>
            <w:r w:rsidRPr="00E850F2">
              <w:rPr>
                <w:rFonts w:ascii="Calibri" w:eastAsia="Times New Roman" w:hAnsi="Calibri" w:cs="Calibri"/>
                <w:color w:val="000000"/>
                <w:kern w:val="0"/>
                <w14:ligatures w14:val="none"/>
              </w:rPr>
              <w:t>Bentunai</w:t>
            </w:r>
            <w:proofErr w:type="spellEnd"/>
          </w:p>
        </w:tc>
        <w:tc>
          <w:tcPr>
            <w:tcW w:w="1212" w:type="pct"/>
            <w:noWrap/>
            <w:hideMark/>
          </w:tcPr>
          <w:p w14:paraId="50D08453"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AA6F73">
              <w:t>7/14</w:t>
            </w:r>
          </w:p>
        </w:tc>
        <w:tc>
          <w:tcPr>
            <w:tcW w:w="648" w:type="pct"/>
            <w:noWrap/>
            <w:vAlign w:val="center"/>
            <w:hideMark/>
          </w:tcPr>
          <w:p w14:paraId="6A7149AE"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50,0%</w:t>
            </w:r>
          </w:p>
        </w:tc>
        <w:tc>
          <w:tcPr>
            <w:tcW w:w="759" w:type="pct"/>
            <w:noWrap/>
            <w:vAlign w:val="center"/>
            <w:hideMark/>
          </w:tcPr>
          <w:p w14:paraId="172476C6"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26,0%–74,0%</w:t>
            </w:r>
          </w:p>
        </w:tc>
      </w:tr>
      <w:tr w:rsidR="00871DD2" w:rsidRPr="00E850F2" w14:paraId="137B19A1" w14:textId="77777777" w:rsidTr="00D70D02">
        <w:trPr>
          <w:trHeight w:val="290"/>
        </w:trPr>
        <w:tc>
          <w:tcPr>
            <w:tcW w:w="1246" w:type="pct"/>
            <w:noWrap/>
            <w:vAlign w:val="center"/>
            <w:hideMark/>
          </w:tcPr>
          <w:p w14:paraId="65ACC131" w14:textId="5C617CB3" w:rsidR="00871DD2" w:rsidRPr="00E850F2" w:rsidRDefault="004F31F4" w:rsidP="00B454C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fldChar w:fldCharType="begin" w:fldLock="1"/>
            </w:r>
            <w:r>
              <w:rPr>
                <w:rFonts w:ascii="Calibri" w:eastAsia="Times New Roman" w:hAnsi="Calibri" w:cs="Calibri"/>
                <w:color w:val="000000"/>
                <w:kern w:val="0"/>
                <w14:ligatures w14:val="none"/>
              </w:rPr>
              <w:instrText>ADDIN CSL_CITATION {"citationItems":[{"id":"ITEM-1","itemData":{"DOI":"10.22373/kenanga.v6i1.9974","author":[{"dropping-particle":"","family":"Alfiani","given":"A D","non-dropping-particle":"","parse-names":false,"suffix":""},{"dropping-particle":"","family":"Kamaliah","given":"","non-dropping-particle":"","parse-names":false,"suffix":""},{"dropping-particle":"","family":"Sardi","given":"A","non-dropping-particle":"","parse-names":false,"suffix":""}],"container-title":"KENANGA: Journal of Biological Sciences and Applied Biology","id":"ITEM-1","issue":"1","issued":{"date-parts":[["2026"]]},"page":"74-96","title":"Etnobotani tanaman obat tradisional pasca melahirkan di Kecamatan Singkil Utara Kabupaten Aceh Singkil","type":"article-journal","volume":"6"},"uris":["http://www.mendeley.com/documents/?uuid=a5677327-070f-4c6d-b85d-83415c478875"]}],"mendeley":{"formattedCitation":"(Alfiani et al., 2026)","manualFormatting":"Alfiani et al. (2026)","plainTextFormattedCitation":"(Alfiani et al., 2026)","previouslyFormattedCitation":"(Alfiani et al., 2026)"},"properties":{"noteIndex":0},"schema":"https://github.com/citation-style-language/schema/raw/master/csl-citation.json"}</w:instrText>
            </w:r>
            <w:r>
              <w:rPr>
                <w:rFonts w:ascii="Calibri" w:eastAsia="Times New Roman" w:hAnsi="Calibri" w:cs="Calibri"/>
                <w:color w:val="000000"/>
                <w:kern w:val="0"/>
                <w14:ligatures w14:val="none"/>
              </w:rPr>
              <w:fldChar w:fldCharType="separate"/>
            </w:r>
            <w:r w:rsidRPr="004F31F4">
              <w:rPr>
                <w:rFonts w:ascii="Calibri" w:eastAsia="Times New Roman" w:hAnsi="Calibri" w:cs="Calibri"/>
                <w:noProof/>
                <w:color w:val="000000"/>
                <w:kern w:val="0"/>
                <w14:ligatures w14:val="none"/>
              </w:rPr>
              <w:t>Alfiani et al.</w:t>
            </w:r>
            <w:r>
              <w:rPr>
                <w:rFonts w:ascii="Calibri" w:eastAsia="Times New Roman" w:hAnsi="Calibri" w:cs="Calibri"/>
                <w:noProof/>
                <w:color w:val="000000"/>
                <w:kern w:val="0"/>
                <w14:ligatures w14:val="none"/>
              </w:rPr>
              <w:t xml:space="preserve"> (</w:t>
            </w:r>
            <w:r w:rsidRPr="004F31F4">
              <w:rPr>
                <w:rFonts w:ascii="Calibri" w:eastAsia="Times New Roman" w:hAnsi="Calibri" w:cs="Calibri"/>
                <w:noProof/>
                <w:color w:val="000000"/>
                <w:kern w:val="0"/>
                <w14:ligatures w14:val="none"/>
              </w:rPr>
              <w:t>2026)</w:t>
            </w:r>
            <w:r>
              <w:rPr>
                <w:rFonts w:ascii="Calibri" w:eastAsia="Times New Roman" w:hAnsi="Calibri" w:cs="Calibri"/>
                <w:color w:val="000000"/>
                <w:kern w:val="0"/>
                <w14:ligatures w14:val="none"/>
              </w:rPr>
              <w:fldChar w:fldCharType="end"/>
            </w:r>
          </w:p>
        </w:tc>
        <w:tc>
          <w:tcPr>
            <w:tcW w:w="1136" w:type="pct"/>
            <w:noWrap/>
            <w:vAlign w:val="center"/>
            <w:hideMark/>
          </w:tcPr>
          <w:p w14:paraId="2F7C5AA1"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proofErr w:type="spellStart"/>
            <w:r w:rsidRPr="00E850F2">
              <w:rPr>
                <w:rFonts w:ascii="Calibri" w:eastAsia="Times New Roman" w:hAnsi="Calibri" w:cs="Calibri"/>
                <w:color w:val="000000"/>
                <w:kern w:val="0"/>
                <w14:ligatures w14:val="none"/>
              </w:rPr>
              <w:t>Singkil</w:t>
            </w:r>
            <w:proofErr w:type="spellEnd"/>
          </w:p>
        </w:tc>
        <w:tc>
          <w:tcPr>
            <w:tcW w:w="1212" w:type="pct"/>
            <w:noWrap/>
            <w:hideMark/>
          </w:tcPr>
          <w:p w14:paraId="50ADA68F"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AA6F73">
              <w:t>4/32</w:t>
            </w:r>
          </w:p>
        </w:tc>
        <w:tc>
          <w:tcPr>
            <w:tcW w:w="648" w:type="pct"/>
            <w:noWrap/>
            <w:vAlign w:val="center"/>
            <w:hideMark/>
          </w:tcPr>
          <w:p w14:paraId="30DB8E26"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12,5%</w:t>
            </w:r>
          </w:p>
        </w:tc>
        <w:tc>
          <w:tcPr>
            <w:tcW w:w="759" w:type="pct"/>
            <w:noWrap/>
            <w:vAlign w:val="center"/>
            <w:hideMark/>
          </w:tcPr>
          <w:p w14:paraId="71E9053E"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4,8%–28,9%</w:t>
            </w:r>
          </w:p>
        </w:tc>
      </w:tr>
      <w:tr w:rsidR="00871DD2" w:rsidRPr="00E850F2" w14:paraId="11BBBC66" w14:textId="77777777" w:rsidTr="00D70D02">
        <w:trPr>
          <w:trHeight w:val="290"/>
        </w:trPr>
        <w:tc>
          <w:tcPr>
            <w:tcW w:w="1246" w:type="pct"/>
            <w:noWrap/>
            <w:vAlign w:val="center"/>
            <w:hideMark/>
          </w:tcPr>
          <w:p w14:paraId="749303EF" w14:textId="5DBB687B" w:rsidR="00871DD2" w:rsidRPr="00E850F2" w:rsidRDefault="004F31F4" w:rsidP="00B454C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fldChar w:fldCharType="begin" w:fldLock="1"/>
            </w:r>
            <w:r>
              <w:rPr>
                <w:rFonts w:ascii="Calibri" w:eastAsia="Times New Roman" w:hAnsi="Calibri" w:cs="Calibri"/>
                <w:color w:val="000000"/>
                <w:kern w:val="0"/>
                <w14:ligatures w14:val="none"/>
              </w:rPr>
              <w:instrText>ADDIN CSL_CITATION {"citationItems":[{"id":"ITEM-1","itemData":{"DOI":"10.30743/best.v6i1.6568","author":[{"dropping-particle":"","family":"Jubaidah","given":"","non-dropping-particle":"","parse-names":false,"suffix":""},{"dropping-particle":"","family":"Setyoko","given":"","non-dropping-particle":"","parse-names":false,"suffix":""},{"dropping-particle":"","family":"Sarjani","given":"T M","non-dropping-particle":"","parse-names":false,"suffix":""}],"container-title":"BEST Journal: Biology Education, Sains and Technology","id":"ITEM-1","issue":"1","issued":{"date-parts":[["2023"]]},"page":"190-196","title":"Etnobotani tumbuhan obat pasca melahirkan oleh khutbiah di Kecamatan Sultan Daulat Kota Subulussalam","type":"article-journal","volume":"6"},"uris":["http://www.mendeley.com/documents/?uuid=6814451f-7eb5-4e78-be9c-88d3a4d202f4"]}],"mendeley":{"formattedCitation":"(Jubaidah et al., 2023)","manualFormatting":"Jubaidah et al. (2023)","plainTextFormattedCitation":"(Jubaidah et al., 2023)","previouslyFormattedCitation":"(Jubaidah et al., 2023)"},"properties":{"noteIndex":0},"schema":"https://github.com/citation-style-language/schema/raw/master/csl-citation.json"}</w:instrText>
            </w:r>
            <w:r>
              <w:rPr>
                <w:rFonts w:ascii="Calibri" w:eastAsia="Times New Roman" w:hAnsi="Calibri" w:cs="Calibri"/>
                <w:color w:val="000000"/>
                <w:kern w:val="0"/>
                <w14:ligatures w14:val="none"/>
              </w:rPr>
              <w:fldChar w:fldCharType="separate"/>
            </w:r>
            <w:r w:rsidRPr="004F31F4">
              <w:rPr>
                <w:rFonts w:ascii="Calibri" w:eastAsia="Times New Roman" w:hAnsi="Calibri" w:cs="Calibri"/>
                <w:noProof/>
                <w:color w:val="000000"/>
                <w:kern w:val="0"/>
                <w14:ligatures w14:val="none"/>
              </w:rPr>
              <w:t xml:space="preserve">Jubaidah et al. </w:t>
            </w:r>
            <w:r>
              <w:rPr>
                <w:rFonts w:ascii="Calibri" w:eastAsia="Times New Roman" w:hAnsi="Calibri" w:cs="Calibri"/>
                <w:noProof/>
                <w:color w:val="000000"/>
                <w:kern w:val="0"/>
                <w14:ligatures w14:val="none"/>
              </w:rPr>
              <w:t>(</w:t>
            </w:r>
            <w:r w:rsidRPr="004F31F4">
              <w:rPr>
                <w:rFonts w:ascii="Calibri" w:eastAsia="Times New Roman" w:hAnsi="Calibri" w:cs="Calibri"/>
                <w:noProof/>
                <w:color w:val="000000"/>
                <w:kern w:val="0"/>
                <w14:ligatures w14:val="none"/>
              </w:rPr>
              <w:t>2023)</w:t>
            </w:r>
            <w:r>
              <w:rPr>
                <w:rFonts w:ascii="Calibri" w:eastAsia="Times New Roman" w:hAnsi="Calibri" w:cs="Calibri"/>
                <w:color w:val="000000"/>
                <w:kern w:val="0"/>
                <w14:ligatures w14:val="none"/>
              </w:rPr>
              <w:fldChar w:fldCharType="end"/>
            </w:r>
          </w:p>
        </w:tc>
        <w:tc>
          <w:tcPr>
            <w:tcW w:w="1136" w:type="pct"/>
            <w:noWrap/>
            <w:vAlign w:val="center"/>
            <w:hideMark/>
          </w:tcPr>
          <w:p w14:paraId="470AEED8"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Multietnis di Aceh</w:t>
            </w:r>
          </w:p>
        </w:tc>
        <w:tc>
          <w:tcPr>
            <w:tcW w:w="1212" w:type="pct"/>
            <w:noWrap/>
            <w:hideMark/>
          </w:tcPr>
          <w:p w14:paraId="0979BA9A"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AA6F73">
              <w:t>7/48</w:t>
            </w:r>
          </w:p>
        </w:tc>
        <w:tc>
          <w:tcPr>
            <w:tcW w:w="648" w:type="pct"/>
            <w:noWrap/>
            <w:vAlign w:val="center"/>
            <w:hideMark/>
          </w:tcPr>
          <w:p w14:paraId="1DF8492A"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14,6%</w:t>
            </w:r>
          </w:p>
        </w:tc>
        <w:tc>
          <w:tcPr>
            <w:tcW w:w="759" w:type="pct"/>
            <w:noWrap/>
            <w:vAlign w:val="center"/>
            <w:hideMark/>
          </w:tcPr>
          <w:p w14:paraId="591B91F8"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7,1%–27,6%</w:t>
            </w:r>
          </w:p>
        </w:tc>
      </w:tr>
      <w:tr w:rsidR="00871DD2" w:rsidRPr="00E850F2" w14:paraId="567B5737" w14:textId="77777777" w:rsidTr="00D70D02">
        <w:trPr>
          <w:trHeight w:val="290"/>
        </w:trPr>
        <w:tc>
          <w:tcPr>
            <w:tcW w:w="1246" w:type="pct"/>
            <w:noWrap/>
            <w:vAlign w:val="center"/>
            <w:hideMark/>
          </w:tcPr>
          <w:p w14:paraId="6A375EB5" w14:textId="69982935" w:rsidR="00871DD2" w:rsidRPr="00E850F2" w:rsidRDefault="004F31F4" w:rsidP="00B454C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fldChar w:fldCharType="begin" w:fldLock="1"/>
            </w:r>
            <w:r>
              <w:rPr>
                <w:rFonts w:ascii="Calibri" w:eastAsia="Times New Roman" w:hAnsi="Calibri" w:cs="Calibri"/>
                <w:color w:val="000000"/>
                <w:kern w:val="0"/>
                <w14:ligatures w14:val="none"/>
              </w:rPr>
              <w:instrText>ADDIN CSL_CITATION {"citationItems":[{"id":"ITEM-1","itemData":{"DOI":"10.29303/jbt.v23i3.5015","author":[{"dropping-particle":"","family":"Hasriani","given":"","non-dropping-particle":"","parse-names":false,"suffix":""},{"dropping-particle":"","family":"Andarias","given":"S H","non-dropping-particle":"","parse-names":false,"suffix":""},{"dropping-particle":"","family":"Slamet","given":"A","non-dropping-particle":"","parse-names":false,"suffix":""}],"container-title":"Jurnal Biologi Tropis","id":"ITEM-1","issue":"3","issued":{"date-parts":[["2023"]]},"page":"136-142","title":"Utilization of plants in postpartum maternal care in Watulea Village, Central Buton Regency","type":"article-journal","volume":"23"},"uris":["http://www.mendeley.com/documents/?uuid=35909a41-cb55-4f4c-a5d9-d0e54f35452a"]}],"mendeley":{"formattedCitation":"(Hasriani et al., 2023)","manualFormatting":"Hasriani et al. (2023)","plainTextFormattedCitation":"(Hasriani et al., 2023)","previouslyFormattedCitation":"(Hasriani et al., 2023)"},"properties":{"noteIndex":0},"schema":"https://github.com/citation-style-language/schema/raw/master/csl-citation.json"}</w:instrText>
            </w:r>
            <w:r>
              <w:rPr>
                <w:rFonts w:ascii="Calibri" w:eastAsia="Times New Roman" w:hAnsi="Calibri" w:cs="Calibri"/>
                <w:color w:val="000000"/>
                <w:kern w:val="0"/>
                <w14:ligatures w14:val="none"/>
              </w:rPr>
              <w:fldChar w:fldCharType="separate"/>
            </w:r>
            <w:r w:rsidRPr="004F31F4">
              <w:rPr>
                <w:rFonts w:ascii="Calibri" w:eastAsia="Times New Roman" w:hAnsi="Calibri" w:cs="Calibri"/>
                <w:noProof/>
                <w:color w:val="000000"/>
                <w:kern w:val="0"/>
                <w14:ligatures w14:val="none"/>
              </w:rPr>
              <w:t xml:space="preserve">Hasriani et al. </w:t>
            </w:r>
            <w:r>
              <w:rPr>
                <w:rFonts w:ascii="Calibri" w:eastAsia="Times New Roman" w:hAnsi="Calibri" w:cs="Calibri"/>
                <w:noProof/>
                <w:color w:val="000000"/>
                <w:kern w:val="0"/>
                <w14:ligatures w14:val="none"/>
              </w:rPr>
              <w:t>(</w:t>
            </w:r>
            <w:r w:rsidRPr="004F31F4">
              <w:rPr>
                <w:rFonts w:ascii="Calibri" w:eastAsia="Times New Roman" w:hAnsi="Calibri" w:cs="Calibri"/>
                <w:noProof/>
                <w:color w:val="000000"/>
                <w:kern w:val="0"/>
                <w14:ligatures w14:val="none"/>
              </w:rPr>
              <w:t>2023)</w:t>
            </w:r>
            <w:r>
              <w:rPr>
                <w:rFonts w:ascii="Calibri" w:eastAsia="Times New Roman" w:hAnsi="Calibri" w:cs="Calibri"/>
                <w:color w:val="000000"/>
                <w:kern w:val="0"/>
                <w14:ligatures w14:val="none"/>
              </w:rPr>
              <w:fldChar w:fldCharType="end"/>
            </w:r>
          </w:p>
        </w:tc>
        <w:tc>
          <w:tcPr>
            <w:tcW w:w="1136" w:type="pct"/>
            <w:noWrap/>
            <w:vAlign w:val="center"/>
            <w:hideMark/>
          </w:tcPr>
          <w:p w14:paraId="693934CC"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Buton dan Muna</w:t>
            </w:r>
          </w:p>
        </w:tc>
        <w:tc>
          <w:tcPr>
            <w:tcW w:w="1212" w:type="pct"/>
            <w:noWrap/>
            <w:hideMark/>
          </w:tcPr>
          <w:p w14:paraId="52AB574A"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AA6F73">
              <w:t>3/23</w:t>
            </w:r>
          </w:p>
        </w:tc>
        <w:tc>
          <w:tcPr>
            <w:tcW w:w="648" w:type="pct"/>
            <w:noWrap/>
            <w:vAlign w:val="center"/>
            <w:hideMark/>
          </w:tcPr>
          <w:p w14:paraId="1240A247"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13,0%</w:t>
            </w:r>
          </w:p>
        </w:tc>
        <w:tc>
          <w:tcPr>
            <w:tcW w:w="759" w:type="pct"/>
            <w:noWrap/>
            <w:vAlign w:val="center"/>
            <w:hideMark/>
          </w:tcPr>
          <w:p w14:paraId="549E42F3"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4,3%–33,5%</w:t>
            </w:r>
          </w:p>
        </w:tc>
      </w:tr>
      <w:tr w:rsidR="00871DD2" w:rsidRPr="00E850F2" w14:paraId="6C5856CF" w14:textId="77777777" w:rsidTr="00D70D02">
        <w:trPr>
          <w:trHeight w:val="290"/>
        </w:trPr>
        <w:tc>
          <w:tcPr>
            <w:tcW w:w="1246" w:type="pct"/>
            <w:noWrap/>
            <w:vAlign w:val="center"/>
            <w:hideMark/>
          </w:tcPr>
          <w:p w14:paraId="54CDCB3F" w14:textId="1222E552" w:rsidR="00871DD2" w:rsidRPr="00E850F2" w:rsidRDefault="004F31F4" w:rsidP="00B454C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fldChar w:fldCharType="begin" w:fldLock="1"/>
            </w:r>
            <w:r>
              <w:rPr>
                <w:rFonts w:ascii="Calibri" w:eastAsia="Times New Roman" w:hAnsi="Calibri" w:cs="Calibri"/>
                <w:color w:val="000000"/>
                <w:kern w:val="0"/>
                <w14:ligatures w14:val="none"/>
              </w:rPr>
              <w:instrText>ADDIN CSL_CITATION {"citationItems":[{"id":"ITEM-1","itemData":{"DOI":"10.58794/jfarm.v1i1.488","author":[{"dropping-particle":"","family":"Azizah","given":"K N","non-dropping-particle":"","parse-names":false,"suffix":""},{"dropping-particle":"","family":"Asta","given":"R A","non-dropping-particle":"","parse-names":false,"suffix":""},{"dropping-particle":"","family":"Arifianto","given":"R","non-dropping-particle":"","parse-names":false,"suffix":""},{"dropping-particle":"","family":"Fa'jri","given":"Y D","non-dropping-particle":"","parse-names":false,"suffix":""},{"dropping-particle":"","family":"Angelia","given":"C","non-dropping-particle":"","parse-names":false,"suffix":""},{"dropping-particle":"","family":"Natalie","given":"R","non-dropping-particle":"","parse-names":false,"suffix":""},{"dropping-particle":"","family":"Choiron","given":"D S","non-dropping-particle":"","parse-names":false,"suffix":""},{"dropping-particle":"","family":"Dewi","given":"H K","non-dropping-particle":"","parse-names":false,"suffix":""},{"dropping-particle":"","family":"Yaumil A.","given":"Q M","non-dropping-particle":"","parse-names":false,"suffix":""},{"dropping-particle":"","family":"Apsari G.","given":"Z P","non-dropping-particle":"","parse-names":false,"suffix":""},{"dropping-particle":"","family":"Najlaa","given":"F A","non-dropping-particle":"","parse-names":false,"suffix":""}],"container-title":"JFARM: Jurnal Farmasi","id":"ITEM-1","issue":"1","issued":{"date-parts":[["2023"]]},"page":"19-29","title":"Ramuan tradisional pasca melahirkan Suku Madura di wilayah Kabupaten Pamekasan","type":"article-journal","volume":"1"},"uris":["http://www.mendeley.com/documents/?uuid=8dbc2322-af38-4d69-af0c-b8723a557100"]}],"mendeley":{"formattedCitation":"(Azizah et al., 2023)","manualFormatting":"Azizah et al. (2023)","plainTextFormattedCitation":"(Azizah et al., 2023)","previouslyFormattedCitation":"(Azizah et al., 2023)"},"properties":{"noteIndex":0},"schema":"https://github.com/citation-style-language/schema/raw/master/csl-citation.json"}</w:instrText>
            </w:r>
            <w:r>
              <w:rPr>
                <w:rFonts w:ascii="Calibri" w:eastAsia="Times New Roman" w:hAnsi="Calibri" w:cs="Calibri"/>
                <w:color w:val="000000"/>
                <w:kern w:val="0"/>
                <w14:ligatures w14:val="none"/>
              </w:rPr>
              <w:fldChar w:fldCharType="separate"/>
            </w:r>
            <w:r w:rsidRPr="004F31F4">
              <w:rPr>
                <w:rFonts w:ascii="Calibri" w:eastAsia="Times New Roman" w:hAnsi="Calibri" w:cs="Calibri"/>
                <w:noProof/>
                <w:color w:val="000000"/>
                <w:kern w:val="0"/>
                <w14:ligatures w14:val="none"/>
              </w:rPr>
              <w:t>Azizah et al</w:t>
            </w:r>
            <w:r>
              <w:rPr>
                <w:rFonts w:ascii="Calibri" w:eastAsia="Times New Roman" w:hAnsi="Calibri" w:cs="Calibri"/>
                <w:noProof/>
                <w:color w:val="000000"/>
                <w:kern w:val="0"/>
                <w14:ligatures w14:val="none"/>
              </w:rPr>
              <w:t>. (</w:t>
            </w:r>
            <w:r w:rsidRPr="004F31F4">
              <w:rPr>
                <w:rFonts w:ascii="Calibri" w:eastAsia="Times New Roman" w:hAnsi="Calibri" w:cs="Calibri"/>
                <w:noProof/>
                <w:color w:val="000000"/>
                <w:kern w:val="0"/>
                <w14:ligatures w14:val="none"/>
              </w:rPr>
              <w:t>2023)</w:t>
            </w:r>
            <w:r>
              <w:rPr>
                <w:rFonts w:ascii="Calibri" w:eastAsia="Times New Roman" w:hAnsi="Calibri" w:cs="Calibri"/>
                <w:color w:val="000000"/>
                <w:kern w:val="0"/>
                <w14:ligatures w14:val="none"/>
              </w:rPr>
              <w:fldChar w:fldCharType="end"/>
            </w:r>
          </w:p>
        </w:tc>
        <w:tc>
          <w:tcPr>
            <w:tcW w:w="1136" w:type="pct"/>
            <w:noWrap/>
            <w:vAlign w:val="center"/>
            <w:hideMark/>
          </w:tcPr>
          <w:p w14:paraId="75FB09CC"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 xml:space="preserve">Madura </w:t>
            </w:r>
            <w:proofErr w:type="spellStart"/>
            <w:r w:rsidRPr="00E850F2">
              <w:rPr>
                <w:rFonts w:ascii="Calibri" w:eastAsia="Times New Roman" w:hAnsi="Calibri" w:cs="Calibri"/>
                <w:color w:val="000000"/>
                <w:kern w:val="0"/>
                <w14:ligatures w14:val="none"/>
              </w:rPr>
              <w:t>Pamekasan</w:t>
            </w:r>
            <w:proofErr w:type="spellEnd"/>
          </w:p>
        </w:tc>
        <w:tc>
          <w:tcPr>
            <w:tcW w:w="1212" w:type="pct"/>
            <w:noWrap/>
            <w:hideMark/>
          </w:tcPr>
          <w:p w14:paraId="3AB3D61D"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AA6F73">
              <w:t>8/16</w:t>
            </w:r>
          </w:p>
        </w:tc>
        <w:tc>
          <w:tcPr>
            <w:tcW w:w="648" w:type="pct"/>
            <w:noWrap/>
            <w:vAlign w:val="center"/>
            <w:hideMark/>
          </w:tcPr>
          <w:p w14:paraId="2029EBE1"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50,0%</w:t>
            </w:r>
          </w:p>
        </w:tc>
        <w:tc>
          <w:tcPr>
            <w:tcW w:w="759" w:type="pct"/>
            <w:noWrap/>
            <w:vAlign w:val="center"/>
            <w:hideMark/>
          </w:tcPr>
          <w:p w14:paraId="034AEC4F"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27,3%–72,7%</w:t>
            </w:r>
          </w:p>
        </w:tc>
      </w:tr>
      <w:tr w:rsidR="00871DD2" w:rsidRPr="00E850F2" w14:paraId="5CE6065C" w14:textId="77777777" w:rsidTr="00D70D02">
        <w:trPr>
          <w:trHeight w:val="290"/>
        </w:trPr>
        <w:tc>
          <w:tcPr>
            <w:tcW w:w="1246" w:type="pct"/>
            <w:noWrap/>
            <w:vAlign w:val="center"/>
            <w:hideMark/>
          </w:tcPr>
          <w:p w14:paraId="14072151" w14:textId="4D90960B" w:rsidR="00871DD2" w:rsidRPr="00E850F2" w:rsidRDefault="004F31F4" w:rsidP="00B454C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fldChar w:fldCharType="begin" w:fldLock="1"/>
            </w:r>
            <w:r>
              <w:rPr>
                <w:rFonts w:ascii="Calibri" w:eastAsia="Times New Roman" w:hAnsi="Calibri" w:cs="Calibri"/>
                <w:color w:val="000000"/>
                <w:kern w:val="0"/>
                <w14:ligatures w14:val="none"/>
              </w:rPr>
              <w:instrText>ADDIN CSL_CITATION {"citationItems":[{"id":"ITEM-1","itemData":{"author":[{"dropping-particle":"","family":"Alfi","given":"N M","non-dropping-particle":"","parse-names":false,"suffix":""},{"dropping-particle":"","family":"Ekasari","given":"T","non-dropping-particle":"","parse-names":false,"suffix":""},{"dropping-particle":"","family":"Ermawati","given":"I","non-dropping-particle":"","parse-names":false,"suffix":""}],"container-title":"DELIMA: Jurnal Kajian Kebidanan","id":"ITEM-1","issue":"1","issued":{"date-parts":[["2026"]]},"page":"60-76","title":"Studi etnomedisin penggunaan tanaman obat untuk perawatan pasca melahirkan pada Suku Madura di Kelurahan Kandangjati Kulon Kecamatan Kraksaan Kabupaten Probolinggo","type":"article-journal","volume":"4"},"uris":["http://www.mendeley.com/documents/?uuid=12416d45-e4f4-40f6-aa36-20b23518c921"]}],"mendeley":{"formattedCitation":"(Alfi et al., 2026)","manualFormatting":"Alfi et al. (2026)","plainTextFormattedCitation":"(Alfi et al., 2026)","previouslyFormattedCitation":"(Alfi et al., 2026)"},"properties":{"noteIndex":0},"schema":"https://github.com/citation-style-language/schema/raw/master/csl-citation.json"}</w:instrText>
            </w:r>
            <w:r>
              <w:rPr>
                <w:rFonts w:ascii="Calibri" w:eastAsia="Times New Roman" w:hAnsi="Calibri" w:cs="Calibri"/>
                <w:color w:val="000000"/>
                <w:kern w:val="0"/>
                <w14:ligatures w14:val="none"/>
              </w:rPr>
              <w:fldChar w:fldCharType="separate"/>
            </w:r>
            <w:r w:rsidRPr="004F31F4">
              <w:rPr>
                <w:rFonts w:ascii="Calibri" w:eastAsia="Times New Roman" w:hAnsi="Calibri" w:cs="Calibri"/>
                <w:noProof/>
                <w:color w:val="000000"/>
                <w:kern w:val="0"/>
                <w14:ligatures w14:val="none"/>
              </w:rPr>
              <w:t xml:space="preserve">Alfi et al. </w:t>
            </w:r>
            <w:r>
              <w:rPr>
                <w:rFonts w:ascii="Calibri" w:eastAsia="Times New Roman" w:hAnsi="Calibri" w:cs="Calibri"/>
                <w:noProof/>
                <w:color w:val="000000"/>
                <w:kern w:val="0"/>
                <w14:ligatures w14:val="none"/>
              </w:rPr>
              <w:t>(</w:t>
            </w:r>
            <w:r w:rsidRPr="004F31F4">
              <w:rPr>
                <w:rFonts w:ascii="Calibri" w:eastAsia="Times New Roman" w:hAnsi="Calibri" w:cs="Calibri"/>
                <w:noProof/>
                <w:color w:val="000000"/>
                <w:kern w:val="0"/>
                <w14:ligatures w14:val="none"/>
              </w:rPr>
              <w:t>2026)</w:t>
            </w:r>
            <w:r>
              <w:rPr>
                <w:rFonts w:ascii="Calibri" w:eastAsia="Times New Roman" w:hAnsi="Calibri" w:cs="Calibri"/>
                <w:color w:val="000000"/>
                <w:kern w:val="0"/>
                <w14:ligatures w14:val="none"/>
              </w:rPr>
              <w:fldChar w:fldCharType="end"/>
            </w:r>
          </w:p>
        </w:tc>
        <w:tc>
          <w:tcPr>
            <w:tcW w:w="1136" w:type="pct"/>
            <w:noWrap/>
            <w:vAlign w:val="center"/>
            <w:hideMark/>
          </w:tcPr>
          <w:p w14:paraId="7095CA02"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 xml:space="preserve">Madura </w:t>
            </w:r>
            <w:proofErr w:type="spellStart"/>
            <w:r w:rsidRPr="00E850F2">
              <w:rPr>
                <w:rFonts w:ascii="Calibri" w:eastAsia="Times New Roman" w:hAnsi="Calibri" w:cs="Calibri"/>
                <w:color w:val="000000"/>
                <w:kern w:val="0"/>
                <w14:ligatures w14:val="none"/>
              </w:rPr>
              <w:t>Kraksaan</w:t>
            </w:r>
            <w:proofErr w:type="spellEnd"/>
          </w:p>
        </w:tc>
        <w:tc>
          <w:tcPr>
            <w:tcW w:w="1212" w:type="pct"/>
            <w:noWrap/>
            <w:hideMark/>
          </w:tcPr>
          <w:p w14:paraId="3D73A7A9"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AA6F73">
              <w:t>6/15</w:t>
            </w:r>
          </w:p>
        </w:tc>
        <w:tc>
          <w:tcPr>
            <w:tcW w:w="648" w:type="pct"/>
            <w:noWrap/>
            <w:vAlign w:val="center"/>
            <w:hideMark/>
          </w:tcPr>
          <w:p w14:paraId="18F3DED4"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40,0%</w:t>
            </w:r>
          </w:p>
        </w:tc>
        <w:tc>
          <w:tcPr>
            <w:tcW w:w="759" w:type="pct"/>
            <w:noWrap/>
            <w:vAlign w:val="center"/>
            <w:hideMark/>
          </w:tcPr>
          <w:p w14:paraId="5EB83C16"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19,2%–65,2%</w:t>
            </w:r>
          </w:p>
        </w:tc>
      </w:tr>
      <w:tr w:rsidR="00871DD2" w:rsidRPr="00E850F2" w14:paraId="31EFB092" w14:textId="77777777" w:rsidTr="00D70D02">
        <w:trPr>
          <w:trHeight w:val="290"/>
        </w:trPr>
        <w:tc>
          <w:tcPr>
            <w:tcW w:w="1246" w:type="pct"/>
            <w:noWrap/>
            <w:vAlign w:val="center"/>
            <w:hideMark/>
          </w:tcPr>
          <w:p w14:paraId="7F8EE69D" w14:textId="26CEE5A0" w:rsidR="00871DD2" w:rsidRPr="00E850F2" w:rsidRDefault="00265A1B" w:rsidP="00B454C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fldChar w:fldCharType="begin" w:fldLock="1"/>
            </w:r>
            <w:r>
              <w:rPr>
                <w:rFonts w:ascii="Calibri" w:eastAsia="Times New Roman" w:hAnsi="Calibri" w:cs="Calibri"/>
                <w:color w:val="000000"/>
                <w:kern w:val="0"/>
                <w14:ligatures w14:val="none"/>
              </w:rPr>
              <w:instrText>ADDIN CSL_CITATION {"citationItems":[{"id":"ITEM-1","itemData":{"DOI":"10.54910/sabrao2026.58.2.24","author":[{"dropping-particle":"","family":"Panjaitan","given":"R G P","non-dropping-particle":"","parse-names":false,"suffix":""},{"dropping-particle":"","family":"Pertiwi","given":"K A","non-dropping-particle":"","parse-names":false,"suffix":""},{"dropping-particle":"","family":"Wahyuni","given":"E S","non-dropping-particle":"","parse-names":false,"suffix":""},{"dropping-particle":"","family":"Titin","given":"","non-dropping-particle":"","parse-names":false,"suffix":""},{"dropping-particle":"","family":"Fajri","given":"H","non-dropping-particle":"","parse-names":false,"suffix":""}],"container-title":"SABRAO Journal of Breeding and Genetics","id":"ITEM-1","issue":"2","issued":{"date-parts":[["2026"]]},"page":"742-750","title":"Medicinal plants utilization by Madurese Tribe in Mekar Sari Village, Kubu Raya Regency, Indonesia","type":"article-journal","volume":"58"},"uris":["http://www.mendeley.com/documents/?uuid=16f576cc-4026-4fdc-a559-9c16ed35bfc0"]}],"mendeley":{"formattedCitation":"(Panjaitan, Pertiwi, et al., 2026)","manualFormatting":"Panjaitan, Pertiwi, et al. (2026)","plainTextFormattedCitation":"(Panjaitan, Pertiwi, et al., 2026)","previouslyFormattedCitation":"(Panjaitan, Pertiwi, et al., 2026)"},"properties":{"noteIndex":0},"schema":"https://github.com/citation-style-language/schema/raw/master/csl-citation.json"}</w:instrText>
            </w:r>
            <w:r>
              <w:rPr>
                <w:rFonts w:ascii="Calibri" w:eastAsia="Times New Roman" w:hAnsi="Calibri" w:cs="Calibri"/>
                <w:color w:val="000000"/>
                <w:kern w:val="0"/>
                <w14:ligatures w14:val="none"/>
              </w:rPr>
              <w:fldChar w:fldCharType="separate"/>
            </w:r>
            <w:r w:rsidRPr="00265A1B">
              <w:rPr>
                <w:rFonts w:ascii="Calibri" w:eastAsia="Times New Roman" w:hAnsi="Calibri" w:cs="Calibri"/>
                <w:noProof/>
                <w:color w:val="000000"/>
                <w:kern w:val="0"/>
                <w14:ligatures w14:val="none"/>
              </w:rPr>
              <w:t xml:space="preserve">Panjaitan, Pertiwi, et al. </w:t>
            </w:r>
            <w:r>
              <w:rPr>
                <w:rFonts w:ascii="Calibri" w:eastAsia="Times New Roman" w:hAnsi="Calibri" w:cs="Calibri"/>
                <w:noProof/>
                <w:color w:val="000000"/>
                <w:kern w:val="0"/>
                <w14:ligatures w14:val="none"/>
              </w:rPr>
              <w:t>(</w:t>
            </w:r>
            <w:r w:rsidRPr="00265A1B">
              <w:rPr>
                <w:rFonts w:ascii="Calibri" w:eastAsia="Times New Roman" w:hAnsi="Calibri" w:cs="Calibri"/>
                <w:noProof/>
                <w:color w:val="000000"/>
                <w:kern w:val="0"/>
                <w14:ligatures w14:val="none"/>
              </w:rPr>
              <w:t>2026)</w:t>
            </w:r>
            <w:r>
              <w:rPr>
                <w:rFonts w:ascii="Calibri" w:eastAsia="Times New Roman" w:hAnsi="Calibri" w:cs="Calibri"/>
                <w:color w:val="000000"/>
                <w:kern w:val="0"/>
                <w14:ligatures w14:val="none"/>
              </w:rPr>
              <w:fldChar w:fldCharType="end"/>
            </w:r>
          </w:p>
        </w:tc>
        <w:tc>
          <w:tcPr>
            <w:tcW w:w="1136" w:type="pct"/>
            <w:noWrap/>
            <w:vAlign w:val="center"/>
            <w:hideMark/>
          </w:tcPr>
          <w:p w14:paraId="28320428"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 xml:space="preserve">Madura </w:t>
            </w:r>
            <w:proofErr w:type="spellStart"/>
            <w:r w:rsidRPr="00E850F2">
              <w:rPr>
                <w:rFonts w:ascii="Calibri" w:eastAsia="Times New Roman" w:hAnsi="Calibri" w:cs="Calibri"/>
                <w:color w:val="000000"/>
                <w:kern w:val="0"/>
                <w14:ligatures w14:val="none"/>
              </w:rPr>
              <w:t>Mekar</w:t>
            </w:r>
            <w:proofErr w:type="spellEnd"/>
            <w:r w:rsidRPr="00E850F2">
              <w:rPr>
                <w:rFonts w:ascii="Calibri" w:eastAsia="Times New Roman" w:hAnsi="Calibri" w:cs="Calibri"/>
                <w:color w:val="000000"/>
                <w:kern w:val="0"/>
                <w14:ligatures w14:val="none"/>
              </w:rPr>
              <w:t xml:space="preserve"> Sari</w:t>
            </w:r>
          </w:p>
        </w:tc>
        <w:tc>
          <w:tcPr>
            <w:tcW w:w="1212" w:type="pct"/>
            <w:noWrap/>
            <w:hideMark/>
          </w:tcPr>
          <w:p w14:paraId="21D63465"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AA6F73">
              <w:t>7/13</w:t>
            </w:r>
          </w:p>
        </w:tc>
        <w:tc>
          <w:tcPr>
            <w:tcW w:w="648" w:type="pct"/>
            <w:noWrap/>
            <w:vAlign w:val="center"/>
            <w:hideMark/>
          </w:tcPr>
          <w:p w14:paraId="31A4D392"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53,8%</w:t>
            </w:r>
          </w:p>
        </w:tc>
        <w:tc>
          <w:tcPr>
            <w:tcW w:w="759" w:type="pct"/>
            <w:noWrap/>
            <w:vAlign w:val="center"/>
            <w:hideMark/>
          </w:tcPr>
          <w:p w14:paraId="1B554974"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28,2%–77,6%</w:t>
            </w:r>
          </w:p>
        </w:tc>
      </w:tr>
      <w:tr w:rsidR="00871DD2" w:rsidRPr="00E850F2" w14:paraId="54AF6EEE" w14:textId="77777777" w:rsidTr="00D70D02">
        <w:trPr>
          <w:trHeight w:val="290"/>
        </w:trPr>
        <w:tc>
          <w:tcPr>
            <w:tcW w:w="1246" w:type="pct"/>
            <w:noWrap/>
            <w:vAlign w:val="center"/>
            <w:hideMark/>
          </w:tcPr>
          <w:p w14:paraId="5355AB2D" w14:textId="397A6970" w:rsidR="00871DD2" w:rsidRPr="00E850F2" w:rsidRDefault="004F31F4" w:rsidP="00B454C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fldChar w:fldCharType="begin" w:fldLock="1"/>
            </w:r>
            <w:r>
              <w:rPr>
                <w:rFonts w:ascii="Calibri" w:eastAsia="Times New Roman" w:hAnsi="Calibri" w:cs="Calibri"/>
                <w:color w:val="000000"/>
                <w:kern w:val="0"/>
                <w14:ligatures w14:val="none"/>
              </w:rPr>
              <w:instrText>ADDIN CSL_CITATION {"citationItems":[{"id":"ITEM-1","itemData":{"DOI":"10.32672/sjat.v6i2.8432","author":[{"dropping-particle":"","family":"Rubiah","given":"","non-dropping-particle":"","parse-names":false,"suffix":""},{"dropping-particle":"","family":"Armi","given":"","non-dropping-particle":"","parse-names":false,"suffix":""},{"dropping-particle":"","family":"Andalia","given":"N","non-dropping-particle":"","parse-names":false,"suffix":""},{"dropping-particle":"","family":"Ridhwan","given":"M","non-dropping-particle":"","parse-names":false,"suffix":""}],"container-title":"Serambi Journal of Agricultural Technology","id":"ITEM-1","issue":"2","issued":{"date-parts":[["2024"]]},"page":"142-148","title":"Penggunaan tanaman obat tradisional oleh ibu-ibu pasca melahirkan di Kecamatan Pasie Raya Kabupaten Aceh Jaya","type":"article-journal","volume":"6"},"uris":["http://www.mendeley.com/documents/?uuid=152ad85c-d9b6-4896-9bb6-ec76528c2228"]}],"mendeley":{"formattedCitation":"(Rubiah et al., 2024)","manualFormatting":"Rubiah et al. (2024)","plainTextFormattedCitation":"(Rubiah et al., 2024)","previouslyFormattedCitation":"(Rubiah et al., 2024)"},"properties":{"noteIndex":0},"schema":"https://github.com/citation-style-language/schema/raw/master/csl-citation.json"}</w:instrText>
            </w:r>
            <w:r>
              <w:rPr>
                <w:rFonts w:ascii="Calibri" w:eastAsia="Times New Roman" w:hAnsi="Calibri" w:cs="Calibri"/>
                <w:color w:val="000000"/>
                <w:kern w:val="0"/>
                <w14:ligatures w14:val="none"/>
              </w:rPr>
              <w:fldChar w:fldCharType="separate"/>
            </w:r>
            <w:r w:rsidRPr="004F31F4">
              <w:rPr>
                <w:rFonts w:ascii="Calibri" w:eastAsia="Times New Roman" w:hAnsi="Calibri" w:cs="Calibri"/>
                <w:noProof/>
                <w:color w:val="000000"/>
                <w:kern w:val="0"/>
                <w14:ligatures w14:val="none"/>
              </w:rPr>
              <w:t xml:space="preserve">Rubiah et al. </w:t>
            </w:r>
            <w:r>
              <w:rPr>
                <w:rFonts w:ascii="Calibri" w:eastAsia="Times New Roman" w:hAnsi="Calibri" w:cs="Calibri"/>
                <w:noProof/>
                <w:color w:val="000000"/>
                <w:kern w:val="0"/>
                <w14:ligatures w14:val="none"/>
              </w:rPr>
              <w:t>(</w:t>
            </w:r>
            <w:r w:rsidRPr="004F31F4">
              <w:rPr>
                <w:rFonts w:ascii="Calibri" w:eastAsia="Times New Roman" w:hAnsi="Calibri" w:cs="Calibri"/>
                <w:noProof/>
                <w:color w:val="000000"/>
                <w:kern w:val="0"/>
                <w14:ligatures w14:val="none"/>
              </w:rPr>
              <w:t>2024)</w:t>
            </w:r>
            <w:r>
              <w:rPr>
                <w:rFonts w:ascii="Calibri" w:eastAsia="Times New Roman" w:hAnsi="Calibri" w:cs="Calibri"/>
                <w:color w:val="000000"/>
                <w:kern w:val="0"/>
                <w14:ligatures w14:val="none"/>
              </w:rPr>
              <w:fldChar w:fldCharType="end"/>
            </w:r>
          </w:p>
        </w:tc>
        <w:tc>
          <w:tcPr>
            <w:tcW w:w="1136" w:type="pct"/>
            <w:noWrap/>
            <w:vAlign w:val="center"/>
            <w:hideMark/>
          </w:tcPr>
          <w:p w14:paraId="1894CAE5"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Aceh Pasie Raya</w:t>
            </w:r>
          </w:p>
        </w:tc>
        <w:tc>
          <w:tcPr>
            <w:tcW w:w="1212" w:type="pct"/>
            <w:noWrap/>
            <w:hideMark/>
          </w:tcPr>
          <w:p w14:paraId="1F387C19"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AA6F73">
              <w:t>2/11</w:t>
            </w:r>
          </w:p>
        </w:tc>
        <w:tc>
          <w:tcPr>
            <w:tcW w:w="648" w:type="pct"/>
            <w:noWrap/>
            <w:vAlign w:val="center"/>
            <w:hideMark/>
          </w:tcPr>
          <w:p w14:paraId="54FD9ACE"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18,2%</w:t>
            </w:r>
          </w:p>
        </w:tc>
        <w:tc>
          <w:tcPr>
            <w:tcW w:w="759" w:type="pct"/>
            <w:noWrap/>
            <w:vAlign w:val="center"/>
            <w:hideMark/>
          </w:tcPr>
          <w:p w14:paraId="2028B4DE"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4,6%–50,7%</w:t>
            </w:r>
          </w:p>
        </w:tc>
      </w:tr>
      <w:tr w:rsidR="00871DD2" w:rsidRPr="00E850F2" w14:paraId="75C56E23" w14:textId="77777777" w:rsidTr="00D70D02">
        <w:trPr>
          <w:trHeight w:val="290"/>
        </w:trPr>
        <w:tc>
          <w:tcPr>
            <w:tcW w:w="1246" w:type="pct"/>
            <w:noWrap/>
            <w:vAlign w:val="center"/>
            <w:hideMark/>
          </w:tcPr>
          <w:p w14:paraId="693F88D5" w14:textId="1C3B6E5A" w:rsidR="00871DD2" w:rsidRPr="00E850F2" w:rsidRDefault="004F31F4" w:rsidP="00B454C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fldChar w:fldCharType="begin" w:fldLock="1"/>
            </w:r>
            <w:r>
              <w:rPr>
                <w:rFonts w:ascii="Calibri" w:eastAsia="Times New Roman" w:hAnsi="Calibri" w:cs="Calibri"/>
                <w:color w:val="000000"/>
                <w:kern w:val="0"/>
                <w14:ligatures w14:val="none"/>
              </w:rPr>
              <w:instrText>ADDIN CSL_CITATION {"citationItems":[{"id":"ITEM-1","itemData":{"DOI":"10.51200/jtbc.v16i.2045","author":[{"dropping-particle":"","family":"Rahayu","given":"M","non-dropping-particle":"","parse-names":false,"suffix":""},{"dropping-particle":"","family":"Susiarti","given":"S","non-dropping-particle":"","parse-names":false,"suffix":""},{"dropping-particle":"","family":"Arimukti","given":"S D","non-dropping-particle":"","parse-names":false,"suffix":""}],"container-title":"Journal of Tropical Biology and Conservation","id":"ITEM-1","issued":{"date-parts":[["2019"]]},"page":"307-322","title":"Traditional knowledge on plants utilization in postpartum care: An ethnobotanical study in local community of Cimande, Bogor, West Java, Indonesia","type":"article-journal","volume":"16"},"uris":["http://www.mendeley.com/documents/?uuid=1b38a5e0-8326-47b4-8042-cbfc0ae71289"]}],"mendeley":{"formattedCitation":"(Rahayu et al., 2019)","manualFormatting":"Rahayu et al. (2019)","plainTextFormattedCitation":"(Rahayu et al., 2019)","previouslyFormattedCitation":"(Rahayu et al., 2019)"},"properties":{"noteIndex":0},"schema":"https://github.com/citation-style-language/schema/raw/master/csl-citation.json"}</w:instrText>
            </w:r>
            <w:r>
              <w:rPr>
                <w:rFonts w:ascii="Calibri" w:eastAsia="Times New Roman" w:hAnsi="Calibri" w:cs="Calibri"/>
                <w:color w:val="000000"/>
                <w:kern w:val="0"/>
                <w14:ligatures w14:val="none"/>
              </w:rPr>
              <w:fldChar w:fldCharType="separate"/>
            </w:r>
            <w:r w:rsidRPr="004F31F4">
              <w:rPr>
                <w:rFonts w:ascii="Calibri" w:eastAsia="Times New Roman" w:hAnsi="Calibri" w:cs="Calibri"/>
                <w:noProof/>
                <w:color w:val="000000"/>
                <w:kern w:val="0"/>
                <w14:ligatures w14:val="none"/>
              </w:rPr>
              <w:t>Rahayu et al.</w:t>
            </w:r>
            <w:r>
              <w:rPr>
                <w:rFonts w:ascii="Calibri" w:eastAsia="Times New Roman" w:hAnsi="Calibri" w:cs="Calibri"/>
                <w:noProof/>
                <w:color w:val="000000"/>
                <w:kern w:val="0"/>
                <w14:ligatures w14:val="none"/>
              </w:rPr>
              <w:t xml:space="preserve"> (</w:t>
            </w:r>
            <w:r w:rsidRPr="004F31F4">
              <w:rPr>
                <w:rFonts w:ascii="Calibri" w:eastAsia="Times New Roman" w:hAnsi="Calibri" w:cs="Calibri"/>
                <w:noProof/>
                <w:color w:val="000000"/>
                <w:kern w:val="0"/>
                <w14:ligatures w14:val="none"/>
              </w:rPr>
              <w:t>2019)</w:t>
            </w:r>
            <w:r>
              <w:rPr>
                <w:rFonts w:ascii="Calibri" w:eastAsia="Times New Roman" w:hAnsi="Calibri" w:cs="Calibri"/>
                <w:color w:val="000000"/>
                <w:kern w:val="0"/>
                <w14:ligatures w14:val="none"/>
              </w:rPr>
              <w:fldChar w:fldCharType="end"/>
            </w:r>
          </w:p>
        </w:tc>
        <w:tc>
          <w:tcPr>
            <w:tcW w:w="1136" w:type="pct"/>
            <w:noWrap/>
            <w:vAlign w:val="center"/>
            <w:hideMark/>
          </w:tcPr>
          <w:p w14:paraId="4571548E"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 xml:space="preserve">Sunda </w:t>
            </w:r>
            <w:proofErr w:type="spellStart"/>
            <w:r w:rsidRPr="00E850F2">
              <w:rPr>
                <w:rFonts w:ascii="Calibri" w:eastAsia="Times New Roman" w:hAnsi="Calibri" w:cs="Calibri"/>
                <w:color w:val="000000"/>
                <w:kern w:val="0"/>
                <w14:ligatures w14:val="none"/>
              </w:rPr>
              <w:t>Cimande</w:t>
            </w:r>
            <w:proofErr w:type="spellEnd"/>
          </w:p>
        </w:tc>
        <w:tc>
          <w:tcPr>
            <w:tcW w:w="1212" w:type="pct"/>
            <w:noWrap/>
            <w:hideMark/>
          </w:tcPr>
          <w:p w14:paraId="27C5AB1F"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AA6F73">
              <w:t>9/48</w:t>
            </w:r>
          </w:p>
        </w:tc>
        <w:tc>
          <w:tcPr>
            <w:tcW w:w="648" w:type="pct"/>
            <w:noWrap/>
            <w:vAlign w:val="center"/>
            <w:hideMark/>
          </w:tcPr>
          <w:p w14:paraId="65428E70"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18,8%</w:t>
            </w:r>
          </w:p>
        </w:tc>
        <w:tc>
          <w:tcPr>
            <w:tcW w:w="759" w:type="pct"/>
            <w:noWrap/>
            <w:vAlign w:val="center"/>
            <w:hideMark/>
          </w:tcPr>
          <w:p w14:paraId="455F5825"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10,1%–32,3%</w:t>
            </w:r>
          </w:p>
        </w:tc>
      </w:tr>
      <w:tr w:rsidR="00871DD2" w:rsidRPr="00E850F2" w14:paraId="6EB91220" w14:textId="77777777" w:rsidTr="00D70D02">
        <w:trPr>
          <w:trHeight w:val="290"/>
        </w:trPr>
        <w:tc>
          <w:tcPr>
            <w:tcW w:w="1246" w:type="pct"/>
            <w:noWrap/>
            <w:vAlign w:val="center"/>
            <w:hideMark/>
          </w:tcPr>
          <w:p w14:paraId="321F27BB" w14:textId="1DC799D6" w:rsidR="00871DD2" w:rsidRPr="00E850F2" w:rsidRDefault="004F31F4" w:rsidP="00B454C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fldChar w:fldCharType="begin" w:fldLock="1"/>
            </w:r>
            <w:r>
              <w:rPr>
                <w:rFonts w:ascii="Calibri" w:eastAsia="Times New Roman" w:hAnsi="Calibri" w:cs="Calibri"/>
                <w:color w:val="000000"/>
                <w:kern w:val="0"/>
                <w14:ligatures w14:val="none"/>
              </w:rPr>
              <w:instrText>ADDIN CSL_CITATION {"citationItems":[{"id":"ITEM-1","itemData":{"author":[{"dropping-particle":"","family":"Agata","given":"F","non-dropping-particle":"","parse-names":false,"suffix":""},{"dropping-particle":"","family":"Arbiastutie","given":"Y","non-dropping-particle":"","parse-names":false,"suffix":""},{"dropping-particle":"","family":"Wardenaar","given":"E","non-dropping-particle":"","parse-names":false,"suffix":""}],"container-title":"Jurnal Lingkungan Hutan Tropis","id":"ITEM-1","issue":"4","issued":{"date-parts":[["2022"]]},"page":"1177-1185","title":"Pemanfaatan tumbuhan obat ibu pasca persalinan di Desa Sekonau Kecamatan Sekadau Hulu Kabupaten Sekadau","type":"article-journal","volume":"1"},"uris":["http://www.mendeley.com/documents/?uuid=b1a9e28b-d154-434d-9d1f-00cb51f8c762"]}],"mendeley":{"formattedCitation":"(Agata et al., 2022)","manualFormatting":"Agata et al. (2022)","plainTextFormattedCitation":"(Agata et al., 2022)","previouslyFormattedCitation":"(Agata et al., 2022)"},"properties":{"noteIndex":0},"schema":"https://github.com/citation-style-language/schema/raw/master/csl-citation.json"}</w:instrText>
            </w:r>
            <w:r>
              <w:rPr>
                <w:rFonts w:ascii="Calibri" w:eastAsia="Times New Roman" w:hAnsi="Calibri" w:cs="Calibri"/>
                <w:color w:val="000000"/>
                <w:kern w:val="0"/>
                <w14:ligatures w14:val="none"/>
              </w:rPr>
              <w:fldChar w:fldCharType="separate"/>
            </w:r>
            <w:r w:rsidRPr="004F31F4">
              <w:rPr>
                <w:rFonts w:ascii="Calibri" w:eastAsia="Times New Roman" w:hAnsi="Calibri" w:cs="Calibri"/>
                <w:noProof/>
                <w:color w:val="000000"/>
                <w:kern w:val="0"/>
                <w14:ligatures w14:val="none"/>
              </w:rPr>
              <w:t xml:space="preserve">Agata et al. </w:t>
            </w:r>
            <w:r>
              <w:rPr>
                <w:rFonts w:ascii="Calibri" w:eastAsia="Times New Roman" w:hAnsi="Calibri" w:cs="Calibri"/>
                <w:noProof/>
                <w:color w:val="000000"/>
                <w:kern w:val="0"/>
                <w14:ligatures w14:val="none"/>
              </w:rPr>
              <w:t>(</w:t>
            </w:r>
            <w:r w:rsidRPr="004F31F4">
              <w:rPr>
                <w:rFonts w:ascii="Calibri" w:eastAsia="Times New Roman" w:hAnsi="Calibri" w:cs="Calibri"/>
                <w:noProof/>
                <w:color w:val="000000"/>
                <w:kern w:val="0"/>
                <w14:ligatures w14:val="none"/>
              </w:rPr>
              <w:t>2022)</w:t>
            </w:r>
            <w:r>
              <w:rPr>
                <w:rFonts w:ascii="Calibri" w:eastAsia="Times New Roman" w:hAnsi="Calibri" w:cs="Calibri"/>
                <w:color w:val="000000"/>
                <w:kern w:val="0"/>
                <w14:ligatures w14:val="none"/>
              </w:rPr>
              <w:fldChar w:fldCharType="end"/>
            </w:r>
          </w:p>
        </w:tc>
        <w:tc>
          <w:tcPr>
            <w:tcW w:w="1136" w:type="pct"/>
            <w:noWrap/>
            <w:vAlign w:val="center"/>
            <w:hideMark/>
          </w:tcPr>
          <w:p w14:paraId="704403E0"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Dayak Sawe</w:t>
            </w:r>
          </w:p>
        </w:tc>
        <w:tc>
          <w:tcPr>
            <w:tcW w:w="1212" w:type="pct"/>
            <w:noWrap/>
            <w:hideMark/>
          </w:tcPr>
          <w:p w14:paraId="7C55AB7F"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AA6F73">
              <w:t>6/17</w:t>
            </w:r>
          </w:p>
        </w:tc>
        <w:tc>
          <w:tcPr>
            <w:tcW w:w="648" w:type="pct"/>
            <w:noWrap/>
            <w:vAlign w:val="center"/>
            <w:hideMark/>
          </w:tcPr>
          <w:p w14:paraId="7DA1228A"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35,3%</w:t>
            </w:r>
          </w:p>
        </w:tc>
        <w:tc>
          <w:tcPr>
            <w:tcW w:w="759" w:type="pct"/>
            <w:noWrap/>
            <w:vAlign w:val="center"/>
            <w:hideMark/>
          </w:tcPr>
          <w:p w14:paraId="29B70EA1"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16,8%–59,6%</w:t>
            </w:r>
          </w:p>
        </w:tc>
      </w:tr>
      <w:tr w:rsidR="00871DD2" w:rsidRPr="00E850F2" w14:paraId="5C0192E4" w14:textId="77777777" w:rsidTr="00D70D02">
        <w:trPr>
          <w:trHeight w:val="290"/>
        </w:trPr>
        <w:tc>
          <w:tcPr>
            <w:tcW w:w="1246" w:type="pct"/>
            <w:noWrap/>
            <w:vAlign w:val="center"/>
            <w:hideMark/>
          </w:tcPr>
          <w:p w14:paraId="4CF93515" w14:textId="6C2833D3" w:rsidR="00871DD2" w:rsidRPr="00E850F2" w:rsidRDefault="004F31F4" w:rsidP="00B454C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fldChar w:fldCharType="begin" w:fldLock="1"/>
            </w:r>
            <w:r>
              <w:rPr>
                <w:rFonts w:ascii="Calibri" w:eastAsia="Times New Roman" w:hAnsi="Calibri" w:cs="Calibri"/>
                <w:color w:val="000000"/>
                <w:kern w:val="0"/>
                <w14:ligatures w14:val="none"/>
              </w:rPr>
              <w:instrText>ADDIN CSL_CITATION {"citationItems":[{"id":"ITEM-1","itemData":{"DOI":"10.13057/biodiv/d250204","author":[{"dropping-particle":"","family":"Mulyanto","given":"","non-dropping-particle":"","parse-names":false,"suffix":""},{"dropping-particle":"","family":"Gunawan","given":"R","non-dropping-particle":"","parse-names":false,"suffix":""},{"dropping-particle":"","family":"Zakaria","given":"S","non-dropping-particle":"","parse-names":false,"suffix":""},{"dropping-particle":"","family":"Iskandar","given":"J","non-dropping-particle":"","parse-names":false,"suffix":""},{"dropping-particle":"","family":"Noviyanti","given":"A R","non-dropping-particle":"","parse-names":false,"suffix":""},{"dropping-particle":"","family":"Iskandar","given":"B S","non-dropping-particle":"","parse-names":false,"suffix":""}],"container-title":"Biodiversitas","id":"ITEM-1","issue":"2","issued":{"date-parts":[["2024"]]},"page":"465-473","title":"Utilization of wild plants in medicinal foods for maternal postpartum recovery among the Kasepuhan in rural West Java, Indonesia","type":"article-journal","volume":"25"},"uris":["http://www.mendeley.com/documents/?uuid=4bc54fa5-b5da-497a-8f1c-b4ff715a7604"]}],"mendeley":{"formattedCitation":"(Mulyanto et al., 2024)","manualFormatting":"Mulyanto et al. (2024)","plainTextFormattedCitation":"(Mulyanto et al., 2024)","previouslyFormattedCitation":"(Mulyanto et al., 2024)"},"properties":{"noteIndex":0},"schema":"https://github.com/citation-style-language/schema/raw/master/csl-citation.json"}</w:instrText>
            </w:r>
            <w:r>
              <w:rPr>
                <w:rFonts w:ascii="Calibri" w:eastAsia="Times New Roman" w:hAnsi="Calibri" w:cs="Calibri"/>
                <w:color w:val="000000"/>
                <w:kern w:val="0"/>
                <w14:ligatures w14:val="none"/>
              </w:rPr>
              <w:fldChar w:fldCharType="separate"/>
            </w:r>
            <w:r w:rsidRPr="004F31F4">
              <w:rPr>
                <w:rFonts w:ascii="Calibri" w:eastAsia="Times New Roman" w:hAnsi="Calibri" w:cs="Calibri"/>
                <w:noProof/>
                <w:color w:val="000000"/>
                <w:kern w:val="0"/>
                <w14:ligatures w14:val="none"/>
              </w:rPr>
              <w:t xml:space="preserve">Mulyanto et al. </w:t>
            </w:r>
            <w:r>
              <w:rPr>
                <w:rFonts w:ascii="Calibri" w:eastAsia="Times New Roman" w:hAnsi="Calibri" w:cs="Calibri"/>
                <w:noProof/>
                <w:color w:val="000000"/>
                <w:kern w:val="0"/>
                <w14:ligatures w14:val="none"/>
              </w:rPr>
              <w:t>(</w:t>
            </w:r>
            <w:r w:rsidRPr="004F31F4">
              <w:rPr>
                <w:rFonts w:ascii="Calibri" w:eastAsia="Times New Roman" w:hAnsi="Calibri" w:cs="Calibri"/>
                <w:noProof/>
                <w:color w:val="000000"/>
                <w:kern w:val="0"/>
                <w14:ligatures w14:val="none"/>
              </w:rPr>
              <w:t>2024)</w:t>
            </w:r>
            <w:r>
              <w:rPr>
                <w:rFonts w:ascii="Calibri" w:eastAsia="Times New Roman" w:hAnsi="Calibri" w:cs="Calibri"/>
                <w:color w:val="000000"/>
                <w:kern w:val="0"/>
                <w14:ligatures w14:val="none"/>
              </w:rPr>
              <w:fldChar w:fldCharType="end"/>
            </w:r>
          </w:p>
        </w:tc>
        <w:tc>
          <w:tcPr>
            <w:tcW w:w="1136" w:type="pct"/>
            <w:noWrap/>
            <w:vAlign w:val="center"/>
            <w:hideMark/>
          </w:tcPr>
          <w:p w14:paraId="0F76505B"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proofErr w:type="spellStart"/>
            <w:r w:rsidRPr="00E850F2">
              <w:rPr>
                <w:rFonts w:ascii="Calibri" w:eastAsia="Times New Roman" w:hAnsi="Calibri" w:cs="Calibri"/>
                <w:color w:val="000000"/>
                <w:kern w:val="0"/>
                <w14:ligatures w14:val="none"/>
              </w:rPr>
              <w:t>Kasepuhan</w:t>
            </w:r>
            <w:proofErr w:type="spellEnd"/>
            <w:r w:rsidRPr="00E850F2">
              <w:rPr>
                <w:rFonts w:ascii="Calibri" w:eastAsia="Times New Roman" w:hAnsi="Calibri" w:cs="Calibri"/>
                <w:color w:val="000000"/>
                <w:kern w:val="0"/>
                <w14:ligatures w14:val="none"/>
              </w:rPr>
              <w:t xml:space="preserve"> Sunda</w:t>
            </w:r>
          </w:p>
        </w:tc>
        <w:tc>
          <w:tcPr>
            <w:tcW w:w="1212" w:type="pct"/>
            <w:noWrap/>
            <w:hideMark/>
          </w:tcPr>
          <w:p w14:paraId="48F571D9"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AA6F73">
              <w:t>8/83</w:t>
            </w:r>
          </w:p>
        </w:tc>
        <w:tc>
          <w:tcPr>
            <w:tcW w:w="648" w:type="pct"/>
            <w:noWrap/>
            <w:vAlign w:val="center"/>
            <w:hideMark/>
          </w:tcPr>
          <w:p w14:paraId="0B1D73EB"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9,6%</w:t>
            </w:r>
          </w:p>
        </w:tc>
        <w:tc>
          <w:tcPr>
            <w:tcW w:w="759" w:type="pct"/>
            <w:noWrap/>
            <w:vAlign w:val="center"/>
            <w:hideMark/>
          </w:tcPr>
          <w:p w14:paraId="03F4A8EF"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4,9%–18,1%</w:t>
            </w:r>
          </w:p>
        </w:tc>
      </w:tr>
      <w:tr w:rsidR="00871DD2" w:rsidRPr="00E850F2" w14:paraId="791B595B" w14:textId="77777777" w:rsidTr="00D70D02">
        <w:trPr>
          <w:trHeight w:val="290"/>
        </w:trPr>
        <w:tc>
          <w:tcPr>
            <w:tcW w:w="1246" w:type="pct"/>
            <w:noWrap/>
            <w:vAlign w:val="center"/>
            <w:hideMark/>
          </w:tcPr>
          <w:p w14:paraId="436D2C44" w14:textId="2AF5FE8A" w:rsidR="00871DD2" w:rsidRPr="00E850F2" w:rsidRDefault="004F31F4" w:rsidP="00B454C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fldChar w:fldCharType="begin" w:fldLock="1"/>
            </w:r>
            <w:r>
              <w:rPr>
                <w:rFonts w:ascii="Calibri" w:eastAsia="Times New Roman" w:hAnsi="Calibri" w:cs="Calibri"/>
                <w:color w:val="000000"/>
                <w:kern w:val="0"/>
                <w14:ligatures w14:val="none"/>
              </w:rPr>
              <w:instrText>ADDIN CSL_CITATION {"citationItems":[{"id":"ITEM-1","itemData":{"DOI":"10.37506/ijfmt.v15i3.15960","author":[{"dropping-particle":"","family":"Muslichah","given":"S","non-dropping-particle":"","parse-names":false,"suffix":""},{"dropping-particle":"","family":"Azrianingsih","given":"R","non-dropping-particle":"","parse-names":false,"suffix":""},{"dropping-particle":"","family":"Indriyani","given":"S","non-dropping-particle":"","parse-names":false,"suffix":""},{"dropping-particle":"","family":"Arumingtyas","given":"E L","non-dropping-particle":"","parse-names":false,"suffix":""}],"container-title":"Indian Journal of Forensic Medicine &amp; Toxicology","id":"ITEM-1","issue":"3","issued":{"date-parts":[["2021"]]},"page":"4247-4255","title":"Ethnobotanical study of postnatal medicinal plants in the ethnic Madurese in Bangkalan Regency, East Java, Indonesia","type":"article-journal","volume":"15"},"uris":["http://www.mendeley.com/documents/?uuid=4e955fd4-d7d1-4859-b500-2ff2e0a2fc35"]}],"mendeley":{"formattedCitation":"(Muslichah et al., 2021)","manualFormatting":"Muslichah et al. (2021)","plainTextFormattedCitation":"(Muslichah et al., 2021)","previouslyFormattedCitation":"(Muslichah et al., 2021)"},"properties":{"noteIndex":0},"schema":"https://github.com/citation-style-language/schema/raw/master/csl-citation.json"}</w:instrText>
            </w:r>
            <w:r>
              <w:rPr>
                <w:rFonts w:ascii="Calibri" w:eastAsia="Times New Roman" w:hAnsi="Calibri" w:cs="Calibri"/>
                <w:color w:val="000000"/>
                <w:kern w:val="0"/>
                <w14:ligatures w14:val="none"/>
              </w:rPr>
              <w:fldChar w:fldCharType="separate"/>
            </w:r>
            <w:r w:rsidRPr="004F31F4">
              <w:rPr>
                <w:rFonts w:ascii="Calibri" w:eastAsia="Times New Roman" w:hAnsi="Calibri" w:cs="Calibri"/>
                <w:noProof/>
                <w:color w:val="000000"/>
                <w:kern w:val="0"/>
                <w14:ligatures w14:val="none"/>
              </w:rPr>
              <w:t xml:space="preserve">Muslichah et al. </w:t>
            </w:r>
            <w:r>
              <w:rPr>
                <w:rFonts w:ascii="Calibri" w:eastAsia="Times New Roman" w:hAnsi="Calibri" w:cs="Calibri"/>
                <w:noProof/>
                <w:color w:val="000000"/>
                <w:kern w:val="0"/>
                <w14:ligatures w14:val="none"/>
              </w:rPr>
              <w:t>(</w:t>
            </w:r>
            <w:r w:rsidRPr="004F31F4">
              <w:rPr>
                <w:rFonts w:ascii="Calibri" w:eastAsia="Times New Roman" w:hAnsi="Calibri" w:cs="Calibri"/>
                <w:noProof/>
                <w:color w:val="000000"/>
                <w:kern w:val="0"/>
                <w14:ligatures w14:val="none"/>
              </w:rPr>
              <w:t>2021)</w:t>
            </w:r>
            <w:r>
              <w:rPr>
                <w:rFonts w:ascii="Calibri" w:eastAsia="Times New Roman" w:hAnsi="Calibri" w:cs="Calibri"/>
                <w:color w:val="000000"/>
                <w:kern w:val="0"/>
                <w14:ligatures w14:val="none"/>
              </w:rPr>
              <w:fldChar w:fldCharType="end"/>
            </w:r>
          </w:p>
        </w:tc>
        <w:tc>
          <w:tcPr>
            <w:tcW w:w="1136" w:type="pct"/>
            <w:noWrap/>
            <w:vAlign w:val="center"/>
            <w:hideMark/>
          </w:tcPr>
          <w:p w14:paraId="4E47F4B5"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 xml:space="preserve">Madura </w:t>
            </w:r>
            <w:proofErr w:type="spellStart"/>
            <w:r w:rsidRPr="00E850F2">
              <w:rPr>
                <w:rFonts w:ascii="Calibri" w:eastAsia="Times New Roman" w:hAnsi="Calibri" w:cs="Calibri"/>
                <w:color w:val="000000"/>
                <w:kern w:val="0"/>
                <w14:ligatures w14:val="none"/>
              </w:rPr>
              <w:t>Bangkalan</w:t>
            </w:r>
            <w:proofErr w:type="spellEnd"/>
          </w:p>
        </w:tc>
        <w:tc>
          <w:tcPr>
            <w:tcW w:w="1212" w:type="pct"/>
            <w:noWrap/>
            <w:hideMark/>
          </w:tcPr>
          <w:p w14:paraId="3983B2F3"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AA6F73">
              <w:t>15/143</w:t>
            </w:r>
          </w:p>
        </w:tc>
        <w:tc>
          <w:tcPr>
            <w:tcW w:w="648" w:type="pct"/>
            <w:noWrap/>
            <w:vAlign w:val="center"/>
            <w:hideMark/>
          </w:tcPr>
          <w:p w14:paraId="0C74DD09"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10,5%</w:t>
            </w:r>
          </w:p>
        </w:tc>
        <w:tc>
          <w:tcPr>
            <w:tcW w:w="759" w:type="pct"/>
            <w:noWrap/>
            <w:vAlign w:val="center"/>
            <w:hideMark/>
          </w:tcPr>
          <w:p w14:paraId="7A50640E"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6,4%–16,7%</w:t>
            </w:r>
          </w:p>
        </w:tc>
      </w:tr>
      <w:tr w:rsidR="00871DD2" w:rsidRPr="00E850F2" w14:paraId="733645A9" w14:textId="77777777" w:rsidTr="00D70D02">
        <w:trPr>
          <w:trHeight w:val="290"/>
        </w:trPr>
        <w:tc>
          <w:tcPr>
            <w:tcW w:w="1246" w:type="pct"/>
            <w:noWrap/>
            <w:vAlign w:val="center"/>
            <w:hideMark/>
          </w:tcPr>
          <w:p w14:paraId="293FE408" w14:textId="0B8BCD0E" w:rsidR="00871DD2" w:rsidRPr="00E850F2" w:rsidRDefault="004F31F4" w:rsidP="00B454C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fldChar w:fldCharType="begin" w:fldLock="1"/>
            </w:r>
            <w:r>
              <w:rPr>
                <w:rFonts w:ascii="Calibri" w:eastAsia="Times New Roman" w:hAnsi="Calibri" w:cs="Calibri"/>
                <w:color w:val="000000"/>
                <w:kern w:val="0"/>
                <w14:ligatures w14:val="none"/>
              </w:rPr>
              <w:instrText>ADDIN CSL_CITATION {"citationItems":[{"id":"ITEM-1","itemData":{"DOI":"10.15408/kauniyah.v12i2.9991","author":[{"dropping-particle":"","family":"Zumaidar","given":"","non-dropping-particle":"","parse-names":false,"suffix":""},{"dropping-particle":"","family":"Saudah","given":"","non-dropping-particle":"","parse-names":false,"suffix":""},{"dropping-particle":"","family":"Rasnovi","given":"S","non-dropping-particle":"","parse-names":false,"suffix":""},{"dropping-particle":"","family":"Harnelly","given":"E","non-dropping-particle":"","parse-names":false,"suffix":""}],"container-title":"Al-Kauniyah: Jurnal Biologi","id":"ITEM-1","issue":"2","issued":{"date-parts":[["2019"]]},"page":"157-163","title":"Tumbuhan sebagai obat tradisional pasca melahirkan oleh Suku Aceh di Kabupaten Pidie","type":"article-journal","volume":"12"},"uris":["http://www.mendeley.com/documents/?uuid=919683c3-919c-4b69-807f-ce6025424fc2"]}],"mendeley":{"formattedCitation":"(Zumaidar et al., 2019)","manualFormatting":"Zumaidar et al. (2019)","plainTextFormattedCitation":"(Zumaidar et al., 2019)","previouslyFormattedCitation":"(Zumaidar et al., 2019)"},"properties":{"noteIndex":0},"schema":"https://github.com/citation-style-language/schema/raw/master/csl-citation.json"}</w:instrText>
            </w:r>
            <w:r>
              <w:rPr>
                <w:rFonts w:ascii="Calibri" w:eastAsia="Times New Roman" w:hAnsi="Calibri" w:cs="Calibri"/>
                <w:color w:val="000000"/>
                <w:kern w:val="0"/>
                <w14:ligatures w14:val="none"/>
              </w:rPr>
              <w:fldChar w:fldCharType="separate"/>
            </w:r>
            <w:r w:rsidRPr="004F31F4">
              <w:rPr>
                <w:rFonts w:ascii="Calibri" w:eastAsia="Times New Roman" w:hAnsi="Calibri" w:cs="Calibri"/>
                <w:noProof/>
                <w:color w:val="000000"/>
                <w:kern w:val="0"/>
                <w14:ligatures w14:val="none"/>
              </w:rPr>
              <w:t xml:space="preserve">Zumaidar et al. </w:t>
            </w:r>
            <w:r>
              <w:rPr>
                <w:rFonts w:ascii="Calibri" w:eastAsia="Times New Roman" w:hAnsi="Calibri" w:cs="Calibri"/>
                <w:noProof/>
                <w:color w:val="000000"/>
                <w:kern w:val="0"/>
                <w14:ligatures w14:val="none"/>
              </w:rPr>
              <w:t>(</w:t>
            </w:r>
            <w:r w:rsidRPr="004F31F4">
              <w:rPr>
                <w:rFonts w:ascii="Calibri" w:eastAsia="Times New Roman" w:hAnsi="Calibri" w:cs="Calibri"/>
                <w:noProof/>
                <w:color w:val="000000"/>
                <w:kern w:val="0"/>
                <w14:ligatures w14:val="none"/>
              </w:rPr>
              <w:t>2019)</w:t>
            </w:r>
            <w:r>
              <w:rPr>
                <w:rFonts w:ascii="Calibri" w:eastAsia="Times New Roman" w:hAnsi="Calibri" w:cs="Calibri"/>
                <w:color w:val="000000"/>
                <w:kern w:val="0"/>
                <w14:ligatures w14:val="none"/>
              </w:rPr>
              <w:fldChar w:fldCharType="end"/>
            </w:r>
          </w:p>
        </w:tc>
        <w:tc>
          <w:tcPr>
            <w:tcW w:w="1136" w:type="pct"/>
            <w:noWrap/>
            <w:vAlign w:val="center"/>
            <w:hideMark/>
          </w:tcPr>
          <w:p w14:paraId="131BD702"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Aceh Pidie</w:t>
            </w:r>
          </w:p>
        </w:tc>
        <w:tc>
          <w:tcPr>
            <w:tcW w:w="1212" w:type="pct"/>
            <w:noWrap/>
            <w:hideMark/>
          </w:tcPr>
          <w:p w14:paraId="2E1421DF"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AA6F73">
              <w:t>6/25</w:t>
            </w:r>
          </w:p>
        </w:tc>
        <w:tc>
          <w:tcPr>
            <w:tcW w:w="648" w:type="pct"/>
            <w:noWrap/>
            <w:vAlign w:val="center"/>
            <w:hideMark/>
          </w:tcPr>
          <w:p w14:paraId="5564400D"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24,0%</w:t>
            </w:r>
          </w:p>
        </w:tc>
        <w:tc>
          <w:tcPr>
            <w:tcW w:w="759" w:type="pct"/>
            <w:noWrap/>
            <w:vAlign w:val="center"/>
            <w:hideMark/>
          </w:tcPr>
          <w:p w14:paraId="01FA1CFA"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11,2%–44,2%</w:t>
            </w:r>
          </w:p>
        </w:tc>
      </w:tr>
      <w:tr w:rsidR="00871DD2" w:rsidRPr="00E850F2" w14:paraId="353FB108" w14:textId="77777777" w:rsidTr="00D70D02">
        <w:trPr>
          <w:trHeight w:val="290"/>
        </w:trPr>
        <w:tc>
          <w:tcPr>
            <w:tcW w:w="1246" w:type="pct"/>
            <w:noWrap/>
            <w:vAlign w:val="center"/>
            <w:hideMark/>
          </w:tcPr>
          <w:p w14:paraId="041B4FFF" w14:textId="60773B09" w:rsidR="00871DD2" w:rsidRPr="00E850F2" w:rsidRDefault="004F31F4" w:rsidP="00B454C2">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fldChar w:fldCharType="begin" w:fldLock="1"/>
            </w:r>
            <w:r w:rsidR="00265A1B">
              <w:rPr>
                <w:rFonts w:ascii="Calibri" w:eastAsia="Times New Roman" w:hAnsi="Calibri" w:cs="Calibri"/>
                <w:color w:val="000000"/>
                <w:kern w:val="0"/>
                <w14:ligatures w14:val="none"/>
              </w:rPr>
              <w:instrText>ADDIN CSL_CITATION {"citationItems":[{"id":"ITEM-1","itemData":{"DOI":"10.13057/biodiv/d261203","author":[{"dropping-particle":"","family":"Panjaitan","given":"R G P","non-dropping-particle":"","parse-names":false,"suffix":""},{"dropping-particle":"","family":"Sandra","given":"K M","non-dropping-particle":"","parse-names":false,"suffix":""},{"dropping-particle":"","family":"Wahyuni","given":"E S","non-dropping-particle":"","parse-names":false,"suffix":""},{"dropping-particle":"","family":"Karmadi","given":"R M D","non-dropping-particle":"","parse-names":false,"suffix":""},{"dropping-particle":"","family":"Ningsih","given":"K","non-dropping-particle":"","parse-names":false,"suffix":""},{"dropping-particle":"","family":"Titin","given":"","non-dropping-particle":"","parse-names":false,"suffix":""},{"dropping-particle":"","family":"Harsono","given":"T","non-dropping-particle":"","parse-names":false,"suffix":""},{"dropping-particle":"","family":"Ali","given":"S S","non-dropping-particle":"","parse-names":false,"suffix":""}],"container-title":"Biodiversitas","id":"ITEM-1","issue":"12","issued":{"date-parts":[["2025"]]},"page":"5989-5999","title":"Ethnobotanical study of postpartum medicinal plants used by the Dayak Kalis in Nanga Danau, West Kalimantan, Indonesia","type":"article-journal","volume":"26"},"uris":["http://www.mendeley.com/documents/?uuid=e951c4f0-8ecd-488e-9fc3-c62b2c368654"]}],"mendeley":{"formattedCitation":"(Panjaitan et al., 2025)","manualFormatting":"Panjaitan et al. (2025)","plainTextFormattedCitation":"(Panjaitan et al., 2025)","previouslyFormattedCitation":"(Panjaitan et al., 2025)"},"properties":{"noteIndex":0},"schema":"https://github.com/citation-style-language/schema/raw/master/csl-citation.json"}</w:instrText>
            </w:r>
            <w:r>
              <w:rPr>
                <w:rFonts w:ascii="Calibri" w:eastAsia="Times New Roman" w:hAnsi="Calibri" w:cs="Calibri"/>
                <w:color w:val="000000"/>
                <w:kern w:val="0"/>
                <w14:ligatures w14:val="none"/>
              </w:rPr>
              <w:fldChar w:fldCharType="separate"/>
            </w:r>
            <w:r w:rsidRPr="004F31F4">
              <w:rPr>
                <w:rFonts w:ascii="Calibri" w:eastAsia="Times New Roman" w:hAnsi="Calibri" w:cs="Calibri"/>
                <w:noProof/>
                <w:color w:val="000000"/>
                <w:kern w:val="0"/>
                <w14:ligatures w14:val="none"/>
              </w:rPr>
              <w:t xml:space="preserve">Panjaitan et al. </w:t>
            </w:r>
            <w:r>
              <w:rPr>
                <w:rFonts w:ascii="Calibri" w:eastAsia="Times New Roman" w:hAnsi="Calibri" w:cs="Calibri"/>
                <w:noProof/>
                <w:color w:val="000000"/>
                <w:kern w:val="0"/>
                <w14:ligatures w14:val="none"/>
              </w:rPr>
              <w:t>(</w:t>
            </w:r>
            <w:r w:rsidRPr="004F31F4">
              <w:rPr>
                <w:rFonts w:ascii="Calibri" w:eastAsia="Times New Roman" w:hAnsi="Calibri" w:cs="Calibri"/>
                <w:noProof/>
                <w:color w:val="000000"/>
                <w:kern w:val="0"/>
                <w14:ligatures w14:val="none"/>
              </w:rPr>
              <w:t>2025)</w:t>
            </w:r>
            <w:r>
              <w:rPr>
                <w:rFonts w:ascii="Calibri" w:eastAsia="Times New Roman" w:hAnsi="Calibri" w:cs="Calibri"/>
                <w:color w:val="000000"/>
                <w:kern w:val="0"/>
                <w14:ligatures w14:val="none"/>
              </w:rPr>
              <w:fldChar w:fldCharType="end"/>
            </w:r>
          </w:p>
        </w:tc>
        <w:tc>
          <w:tcPr>
            <w:tcW w:w="1136" w:type="pct"/>
            <w:noWrap/>
            <w:vAlign w:val="center"/>
            <w:hideMark/>
          </w:tcPr>
          <w:p w14:paraId="26D8ADE6"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Dayak Kalis</w:t>
            </w:r>
          </w:p>
        </w:tc>
        <w:tc>
          <w:tcPr>
            <w:tcW w:w="1212" w:type="pct"/>
            <w:noWrap/>
            <w:hideMark/>
          </w:tcPr>
          <w:p w14:paraId="6194163C"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AA6F73">
              <w:t>4/10</w:t>
            </w:r>
          </w:p>
        </w:tc>
        <w:tc>
          <w:tcPr>
            <w:tcW w:w="648" w:type="pct"/>
            <w:noWrap/>
            <w:vAlign w:val="center"/>
            <w:hideMark/>
          </w:tcPr>
          <w:p w14:paraId="0925F928"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40,0%</w:t>
            </w:r>
          </w:p>
        </w:tc>
        <w:tc>
          <w:tcPr>
            <w:tcW w:w="759" w:type="pct"/>
            <w:noWrap/>
            <w:vAlign w:val="center"/>
            <w:hideMark/>
          </w:tcPr>
          <w:p w14:paraId="10D42297"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15,8%–70,3%</w:t>
            </w:r>
          </w:p>
        </w:tc>
      </w:tr>
    </w:tbl>
    <w:p w14:paraId="67773FE5" w14:textId="7160E71C" w:rsidR="00871DD2" w:rsidRDefault="00D70D02" w:rsidP="00D70D02">
      <w:pPr>
        <w:ind w:firstLine="709"/>
        <w:jc w:val="both"/>
      </w:pPr>
      <w:r w:rsidRPr="00D70D02">
        <w:t xml:space="preserve">The proportion of </w:t>
      </w:r>
      <w:proofErr w:type="spellStart"/>
      <w:r w:rsidRPr="00D70D02">
        <w:t>Zingiberaceae</w:t>
      </w:r>
      <w:proofErr w:type="spellEnd"/>
      <w:r w:rsidRPr="00D70D02">
        <w:t xml:space="preserve"> in the article-level inventories ranged from 9.6% in the Sundanese </w:t>
      </w:r>
      <w:proofErr w:type="spellStart"/>
      <w:r w:rsidRPr="00D70D02">
        <w:t>Kasepuhan</w:t>
      </w:r>
      <w:proofErr w:type="spellEnd"/>
      <w:r w:rsidRPr="00D70D02">
        <w:t xml:space="preserve"> community to 53.8% in the Madurese community of </w:t>
      </w:r>
      <w:proofErr w:type="spellStart"/>
      <w:r w:rsidRPr="00D70D02">
        <w:t>Mekar</w:t>
      </w:r>
      <w:proofErr w:type="spellEnd"/>
      <w:r w:rsidRPr="00D70D02">
        <w:t xml:space="preserve"> Sari. These differences reflect variations in the floristic composition documented by each article and cannot be directly interpreted as differences in the prevalence of use among postpartum women. The number of informants, geographical coverage, inventory intensity, definition of postpartum care, plant identification methods, and presence of other plant families in the inventories may have influenced the estimated proportions.</w:t>
      </w:r>
    </w:p>
    <w:p w14:paraId="62D46C02" w14:textId="77777777" w:rsidR="00265A1B" w:rsidRDefault="00265A1B" w:rsidP="00D70D02">
      <w:pPr>
        <w:ind w:firstLine="709"/>
        <w:jc w:val="both"/>
      </w:pPr>
    </w:p>
    <w:p w14:paraId="687BA803" w14:textId="77777777" w:rsidR="00265A1B" w:rsidRPr="00E850F2" w:rsidRDefault="00265A1B" w:rsidP="00D70D02">
      <w:pPr>
        <w:ind w:firstLine="709"/>
        <w:jc w:val="both"/>
      </w:pPr>
    </w:p>
    <w:p w14:paraId="64DB12AD" w14:textId="465D15FC" w:rsidR="00871DD2" w:rsidRPr="00E850F2" w:rsidRDefault="00D70D02" w:rsidP="00D70D02">
      <w:pPr>
        <w:rPr>
          <w:b/>
          <w:bCs/>
        </w:rPr>
      </w:pPr>
      <w:r w:rsidRPr="00D70D02">
        <w:rPr>
          <w:b/>
          <w:bCs/>
        </w:rPr>
        <w:lastRenderedPageBreak/>
        <w:t>Results of the Exploratory Meta-Analysis</w:t>
      </w:r>
    </w:p>
    <w:p w14:paraId="4368528F" w14:textId="573765CE" w:rsidR="00871DD2" w:rsidRPr="00E850F2" w:rsidRDefault="00D70D02" w:rsidP="00D70D02">
      <w:pPr>
        <w:ind w:firstLine="709"/>
        <w:jc w:val="both"/>
      </w:pPr>
      <w:r w:rsidRPr="00D70D02">
        <w:t>The primary analysis was conducted using the 17 Group A articles, applying a random-effects model, the restricted maximum likelihood estimator, and a logit transformation of proportions. The unit of analysis was the article-level plant inventory. This analysis did not estimate the prevalence of use among all postpartum women, all ethnic communities, or the entire medicinal flora of Indonesia.</w:t>
      </w:r>
    </w:p>
    <w:p w14:paraId="14341E61" w14:textId="7415B219" w:rsidR="00871DD2" w:rsidRPr="00E850F2" w:rsidRDefault="00D70D02" w:rsidP="00D70D02">
      <w:pPr>
        <w:jc w:val="center"/>
        <w:rPr>
          <w:b/>
          <w:bCs/>
        </w:rPr>
      </w:pPr>
      <w:r w:rsidRPr="00D70D02">
        <w:rPr>
          <w:b/>
          <w:bCs/>
        </w:rPr>
        <w:t>Table 6. Results of the Primary and Sensitivity Analyses</w:t>
      </w:r>
    </w:p>
    <w:tbl>
      <w:tblPr>
        <w:tblW w:w="9350" w:type="dxa"/>
        <w:tblLook w:val="04A0" w:firstRow="1" w:lastRow="0" w:firstColumn="1" w:lastColumn="0" w:noHBand="0" w:noVBand="1"/>
      </w:tblPr>
      <w:tblGrid>
        <w:gridCol w:w="1924"/>
        <w:gridCol w:w="931"/>
        <w:gridCol w:w="983"/>
        <w:gridCol w:w="1080"/>
        <w:gridCol w:w="1111"/>
        <w:gridCol w:w="1631"/>
        <w:gridCol w:w="845"/>
        <w:gridCol w:w="845"/>
      </w:tblGrid>
      <w:tr w:rsidR="00871DD2" w:rsidRPr="00E850F2" w14:paraId="1A258454" w14:textId="77777777" w:rsidTr="00B454C2">
        <w:trPr>
          <w:trHeight w:val="290"/>
        </w:trPr>
        <w:tc>
          <w:tcPr>
            <w:tcW w:w="2008" w:type="dxa"/>
            <w:tcBorders>
              <w:top w:val="single" w:sz="4" w:space="0" w:color="auto"/>
              <w:left w:val="single" w:sz="4" w:space="0" w:color="auto"/>
              <w:bottom w:val="single" w:sz="4" w:space="0" w:color="auto"/>
              <w:right w:val="single" w:sz="4" w:space="0" w:color="auto"/>
            </w:tcBorders>
            <w:noWrap/>
            <w:vAlign w:val="center"/>
            <w:hideMark/>
          </w:tcPr>
          <w:p w14:paraId="2E7E2E54" w14:textId="1DECBE52" w:rsidR="00871DD2" w:rsidRPr="00E850F2" w:rsidRDefault="00D70D02" w:rsidP="00D70D02">
            <w:pPr>
              <w:spacing w:after="0" w:line="240" w:lineRule="auto"/>
              <w:jc w:val="center"/>
              <w:rPr>
                <w:rFonts w:ascii="Calibri" w:eastAsia="Times New Roman" w:hAnsi="Calibri" w:cs="Calibri"/>
                <w:b/>
                <w:bCs/>
                <w:color w:val="000000"/>
                <w:kern w:val="0"/>
                <w14:ligatures w14:val="none"/>
              </w:rPr>
            </w:pPr>
            <w:r w:rsidRPr="00D70D02">
              <w:rPr>
                <w:rFonts w:ascii="Calibri" w:eastAsia="Times New Roman" w:hAnsi="Calibri" w:cs="Calibri"/>
                <w:b/>
                <w:bCs/>
                <w:color w:val="000000"/>
                <w:kern w:val="0"/>
                <w14:ligatures w14:val="none"/>
              </w:rPr>
              <w:t>Analysis</w:t>
            </w:r>
          </w:p>
        </w:tc>
        <w:tc>
          <w:tcPr>
            <w:tcW w:w="874" w:type="dxa"/>
            <w:tcBorders>
              <w:top w:val="single" w:sz="4" w:space="0" w:color="auto"/>
              <w:left w:val="nil"/>
              <w:bottom w:val="single" w:sz="4" w:space="0" w:color="auto"/>
              <w:right w:val="single" w:sz="4" w:space="0" w:color="auto"/>
            </w:tcBorders>
            <w:noWrap/>
            <w:vAlign w:val="center"/>
            <w:hideMark/>
          </w:tcPr>
          <w:p w14:paraId="39C4241C" w14:textId="307DC2FC" w:rsidR="00871DD2" w:rsidRPr="00E850F2" w:rsidRDefault="009848E1" w:rsidP="009848E1">
            <w:pPr>
              <w:spacing w:after="0" w:line="240" w:lineRule="auto"/>
              <w:jc w:val="center"/>
              <w:rPr>
                <w:rFonts w:ascii="Calibri" w:eastAsia="Times New Roman" w:hAnsi="Calibri" w:cs="Calibri"/>
                <w:b/>
                <w:bCs/>
                <w:color w:val="000000"/>
                <w:kern w:val="0"/>
                <w14:ligatures w14:val="none"/>
              </w:rPr>
            </w:pPr>
            <w:r w:rsidRPr="009848E1">
              <w:rPr>
                <w:rFonts w:ascii="Calibri" w:eastAsia="Times New Roman" w:hAnsi="Calibri" w:cs="Calibri"/>
                <w:b/>
                <w:bCs/>
                <w:color w:val="000000"/>
                <w:kern w:val="0"/>
                <w14:ligatures w14:val="none"/>
              </w:rPr>
              <w:t>Number of articles</w:t>
            </w:r>
          </w:p>
        </w:tc>
        <w:tc>
          <w:tcPr>
            <w:tcW w:w="875" w:type="dxa"/>
            <w:tcBorders>
              <w:top w:val="single" w:sz="4" w:space="0" w:color="auto"/>
              <w:left w:val="nil"/>
              <w:bottom w:val="single" w:sz="4" w:space="0" w:color="auto"/>
              <w:right w:val="single" w:sz="4" w:space="0" w:color="auto"/>
            </w:tcBorders>
            <w:noWrap/>
            <w:vAlign w:val="center"/>
            <w:hideMark/>
          </w:tcPr>
          <w:p w14:paraId="34AA069C" w14:textId="1669ADF4" w:rsidR="00871DD2" w:rsidRPr="00E850F2" w:rsidRDefault="009848E1" w:rsidP="009848E1">
            <w:pPr>
              <w:spacing w:after="0" w:line="240" w:lineRule="auto"/>
              <w:jc w:val="center"/>
              <w:rPr>
                <w:rFonts w:ascii="Calibri" w:eastAsia="Times New Roman" w:hAnsi="Calibri" w:cs="Calibri"/>
                <w:b/>
                <w:bCs/>
                <w:color w:val="000000"/>
                <w:kern w:val="0"/>
                <w14:ligatures w14:val="none"/>
              </w:rPr>
            </w:pPr>
            <w:r w:rsidRPr="009848E1">
              <w:rPr>
                <w:rFonts w:ascii="Calibri" w:eastAsia="Times New Roman" w:hAnsi="Calibri" w:cs="Calibri"/>
                <w:b/>
                <w:bCs/>
                <w:color w:val="000000"/>
                <w:kern w:val="0"/>
                <w14:ligatures w14:val="none"/>
              </w:rPr>
              <w:t>Model-based mean estimate</w:t>
            </w:r>
          </w:p>
        </w:tc>
        <w:tc>
          <w:tcPr>
            <w:tcW w:w="1122" w:type="dxa"/>
            <w:tcBorders>
              <w:top w:val="single" w:sz="4" w:space="0" w:color="auto"/>
              <w:left w:val="nil"/>
              <w:bottom w:val="single" w:sz="4" w:space="0" w:color="auto"/>
              <w:right w:val="single" w:sz="4" w:space="0" w:color="auto"/>
            </w:tcBorders>
            <w:noWrap/>
            <w:vAlign w:val="center"/>
            <w:hideMark/>
          </w:tcPr>
          <w:p w14:paraId="79CC709A" w14:textId="77777777" w:rsidR="00871DD2" w:rsidRPr="00E850F2" w:rsidRDefault="00871DD2" w:rsidP="00B454C2">
            <w:pPr>
              <w:spacing w:after="0" w:line="240" w:lineRule="auto"/>
              <w:jc w:val="center"/>
              <w:rPr>
                <w:rFonts w:ascii="Calibri" w:eastAsia="Times New Roman" w:hAnsi="Calibri" w:cs="Calibri"/>
                <w:b/>
                <w:bCs/>
                <w:color w:val="000000"/>
                <w:kern w:val="0"/>
                <w14:ligatures w14:val="none"/>
              </w:rPr>
            </w:pPr>
            <w:r w:rsidRPr="00E850F2">
              <w:rPr>
                <w:rFonts w:ascii="Calibri" w:eastAsia="Times New Roman" w:hAnsi="Calibri" w:cs="Calibri"/>
                <w:b/>
                <w:bCs/>
                <w:color w:val="000000"/>
                <w:kern w:val="0"/>
                <w14:ligatures w14:val="none"/>
              </w:rPr>
              <w:t>95% CI</w:t>
            </w:r>
          </w:p>
        </w:tc>
        <w:tc>
          <w:tcPr>
            <w:tcW w:w="1022" w:type="dxa"/>
            <w:tcBorders>
              <w:top w:val="single" w:sz="4" w:space="0" w:color="auto"/>
              <w:left w:val="nil"/>
              <w:bottom w:val="single" w:sz="4" w:space="0" w:color="auto"/>
              <w:right w:val="single" w:sz="4" w:space="0" w:color="auto"/>
            </w:tcBorders>
            <w:noWrap/>
            <w:vAlign w:val="center"/>
            <w:hideMark/>
          </w:tcPr>
          <w:p w14:paraId="3308AD4C" w14:textId="77777777" w:rsidR="00871DD2" w:rsidRPr="00E850F2" w:rsidRDefault="00871DD2" w:rsidP="00B454C2">
            <w:pPr>
              <w:spacing w:after="0" w:line="240" w:lineRule="auto"/>
              <w:jc w:val="center"/>
              <w:rPr>
                <w:rFonts w:ascii="Calibri" w:eastAsia="Times New Roman" w:hAnsi="Calibri" w:cs="Calibri"/>
                <w:b/>
                <w:bCs/>
                <w:color w:val="000000"/>
                <w:kern w:val="0"/>
                <w14:ligatures w14:val="none"/>
              </w:rPr>
            </w:pPr>
            <w:r w:rsidRPr="00E850F2">
              <w:rPr>
                <w:rFonts w:ascii="Calibri" w:eastAsia="Times New Roman" w:hAnsi="Calibri" w:cs="Calibri"/>
                <w:b/>
                <w:bCs/>
                <w:color w:val="000000"/>
                <w:kern w:val="0"/>
                <w14:ligatures w14:val="none"/>
              </w:rPr>
              <w:t>95% prediction interval</w:t>
            </w:r>
          </w:p>
        </w:tc>
        <w:tc>
          <w:tcPr>
            <w:tcW w:w="1699" w:type="dxa"/>
            <w:tcBorders>
              <w:top w:val="single" w:sz="4" w:space="0" w:color="auto"/>
              <w:left w:val="nil"/>
              <w:bottom w:val="single" w:sz="4" w:space="0" w:color="auto"/>
              <w:right w:val="single" w:sz="4" w:space="0" w:color="auto"/>
            </w:tcBorders>
            <w:noWrap/>
            <w:vAlign w:val="center"/>
            <w:hideMark/>
          </w:tcPr>
          <w:p w14:paraId="6EECFF11" w14:textId="77777777" w:rsidR="00871DD2" w:rsidRPr="00E850F2" w:rsidRDefault="00871DD2" w:rsidP="00B454C2">
            <w:pPr>
              <w:spacing w:after="0" w:line="240" w:lineRule="auto"/>
              <w:jc w:val="center"/>
              <w:rPr>
                <w:rFonts w:ascii="Calibri" w:eastAsia="Times New Roman" w:hAnsi="Calibri" w:cs="Calibri"/>
                <w:b/>
                <w:bCs/>
                <w:color w:val="000000"/>
                <w:kern w:val="0"/>
                <w14:ligatures w14:val="none"/>
              </w:rPr>
            </w:pPr>
            <w:r w:rsidRPr="00E850F2">
              <w:rPr>
                <w:rFonts w:ascii="Calibri" w:eastAsia="Times New Roman" w:hAnsi="Calibri" w:cs="Calibri"/>
                <w:b/>
                <w:bCs/>
                <w:color w:val="000000"/>
                <w:kern w:val="0"/>
                <w14:ligatures w14:val="none"/>
              </w:rPr>
              <w:t>Q (</w:t>
            </w:r>
            <w:proofErr w:type="spellStart"/>
            <w:r w:rsidRPr="00E850F2">
              <w:rPr>
                <w:rFonts w:ascii="Calibri" w:eastAsia="Times New Roman" w:hAnsi="Calibri" w:cs="Calibri"/>
                <w:b/>
                <w:bCs/>
                <w:color w:val="000000"/>
                <w:kern w:val="0"/>
                <w14:ligatures w14:val="none"/>
              </w:rPr>
              <w:t>df</w:t>
            </w:r>
            <w:proofErr w:type="spellEnd"/>
            <w:r w:rsidRPr="00E850F2">
              <w:rPr>
                <w:rFonts w:ascii="Calibri" w:eastAsia="Times New Roman" w:hAnsi="Calibri" w:cs="Calibri"/>
                <w:b/>
                <w:bCs/>
                <w:color w:val="000000"/>
                <w:kern w:val="0"/>
                <w14:ligatures w14:val="none"/>
              </w:rPr>
              <w:t>)</w:t>
            </w:r>
          </w:p>
        </w:tc>
        <w:tc>
          <w:tcPr>
            <w:tcW w:w="875" w:type="dxa"/>
            <w:tcBorders>
              <w:top w:val="single" w:sz="4" w:space="0" w:color="auto"/>
              <w:left w:val="nil"/>
              <w:bottom w:val="single" w:sz="4" w:space="0" w:color="auto"/>
              <w:right w:val="single" w:sz="4" w:space="0" w:color="auto"/>
            </w:tcBorders>
            <w:noWrap/>
            <w:vAlign w:val="center"/>
            <w:hideMark/>
          </w:tcPr>
          <w:p w14:paraId="150233CD" w14:textId="77777777" w:rsidR="00871DD2" w:rsidRPr="00E850F2" w:rsidRDefault="00871DD2" w:rsidP="00B454C2">
            <w:pPr>
              <w:spacing w:after="0" w:line="240" w:lineRule="auto"/>
              <w:jc w:val="center"/>
              <w:rPr>
                <w:rFonts w:ascii="Calibri" w:eastAsia="Times New Roman" w:hAnsi="Calibri" w:cs="Calibri"/>
                <w:b/>
                <w:bCs/>
                <w:color w:val="000000"/>
                <w:kern w:val="0"/>
                <w14:ligatures w14:val="none"/>
              </w:rPr>
            </w:pPr>
            <w:r w:rsidRPr="00E850F2">
              <w:rPr>
                <w:rFonts w:ascii="Calibri" w:eastAsia="Times New Roman" w:hAnsi="Calibri" w:cs="Calibri"/>
                <w:b/>
                <w:bCs/>
                <w:color w:val="000000"/>
                <w:kern w:val="0"/>
                <w14:ligatures w14:val="none"/>
              </w:rPr>
              <w:t>I²</w:t>
            </w:r>
          </w:p>
        </w:tc>
        <w:tc>
          <w:tcPr>
            <w:tcW w:w="875" w:type="dxa"/>
            <w:tcBorders>
              <w:top w:val="single" w:sz="4" w:space="0" w:color="auto"/>
              <w:left w:val="nil"/>
              <w:bottom w:val="single" w:sz="4" w:space="0" w:color="auto"/>
              <w:right w:val="single" w:sz="4" w:space="0" w:color="auto"/>
            </w:tcBorders>
            <w:noWrap/>
            <w:vAlign w:val="center"/>
            <w:hideMark/>
          </w:tcPr>
          <w:p w14:paraId="108A066F" w14:textId="77777777" w:rsidR="00871DD2" w:rsidRPr="00E850F2" w:rsidRDefault="00871DD2" w:rsidP="00B454C2">
            <w:pPr>
              <w:spacing w:after="0" w:line="240" w:lineRule="auto"/>
              <w:jc w:val="center"/>
              <w:rPr>
                <w:rFonts w:ascii="Calibri" w:eastAsia="Times New Roman" w:hAnsi="Calibri" w:cs="Calibri"/>
                <w:b/>
                <w:bCs/>
                <w:color w:val="000000"/>
                <w:kern w:val="0"/>
                <w14:ligatures w14:val="none"/>
              </w:rPr>
            </w:pPr>
            <w:r w:rsidRPr="00E850F2">
              <w:rPr>
                <w:rFonts w:ascii="Calibri" w:eastAsia="Times New Roman" w:hAnsi="Calibri" w:cs="Calibri"/>
                <w:b/>
                <w:bCs/>
                <w:color w:val="000000"/>
                <w:kern w:val="0"/>
                <w14:ligatures w14:val="none"/>
              </w:rPr>
              <w:t>τ²</w:t>
            </w:r>
          </w:p>
        </w:tc>
      </w:tr>
      <w:tr w:rsidR="00871DD2" w:rsidRPr="00E850F2" w14:paraId="6984ADD6" w14:textId="77777777" w:rsidTr="00B454C2">
        <w:trPr>
          <w:trHeight w:val="290"/>
        </w:trPr>
        <w:tc>
          <w:tcPr>
            <w:tcW w:w="2008" w:type="dxa"/>
            <w:tcBorders>
              <w:top w:val="nil"/>
              <w:left w:val="single" w:sz="4" w:space="0" w:color="auto"/>
              <w:bottom w:val="single" w:sz="4" w:space="0" w:color="auto"/>
              <w:right w:val="single" w:sz="4" w:space="0" w:color="auto"/>
            </w:tcBorders>
            <w:noWrap/>
            <w:vAlign w:val="center"/>
            <w:hideMark/>
          </w:tcPr>
          <w:p w14:paraId="2C52403E" w14:textId="6FD6871B" w:rsidR="00871DD2" w:rsidRPr="00E850F2" w:rsidRDefault="009848E1" w:rsidP="009848E1">
            <w:pPr>
              <w:spacing w:after="0" w:line="240" w:lineRule="auto"/>
              <w:jc w:val="center"/>
              <w:rPr>
                <w:rFonts w:ascii="Calibri" w:eastAsia="Times New Roman" w:hAnsi="Calibri" w:cs="Calibri"/>
                <w:color w:val="000000"/>
                <w:kern w:val="0"/>
                <w14:ligatures w14:val="none"/>
              </w:rPr>
            </w:pPr>
            <w:r w:rsidRPr="009848E1">
              <w:rPr>
                <w:rFonts w:ascii="Calibri" w:eastAsia="Times New Roman" w:hAnsi="Calibri" w:cs="Calibri"/>
                <w:color w:val="000000"/>
                <w:kern w:val="0"/>
                <w14:ligatures w14:val="none"/>
              </w:rPr>
              <w:t>Primary</w:t>
            </w:r>
            <w:r w:rsidR="00871DD2" w:rsidRPr="00E850F2">
              <w:rPr>
                <w:rFonts w:ascii="Calibri" w:eastAsia="Times New Roman" w:hAnsi="Calibri" w:cs="Calibri"/>
                <w:color w:val="000000"/>
                <w:kern w:val="0"/>
                <w14:ligatures w14:val="none"/>
              </w:rPr>
              <w:t>: Group A</w:t>
            </w:r>
          </w:p>
        </w:tc>
        <w:tc>
          <w:tcPr>
            <w:tcW w:w="874" w:type="dxa"/>
            <w:tcBorders>
              <w:top w:val="nil"/>
              <w:left w:val="nil"/>
              <w:bottom w:val="single" w:sz="4" w:space="0" w:color="auto"/>
              <w:right w:val="single" w:sz="4" w:space="0" w:color="auto"/>
            </w:tcBorders>
            <w:noWrap/>
            <w:vAlign w:val="center"/>
            <w:hideMark/>
          </w:tcPr>
          <w:p w14:paraId="6A774710"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17</w:t>
            </w:r>
          </w:p>
        </w:tc>
        <w:tc>
          <w:tcPr>
            <w:tcW w:w="875" w:type="dxa"/>
            <w:tcBorders>
              <w:top w:val="nil"/>
              <w:left w:val="nil"/>
              <w:bottom w:val="single" w:sz="4" w:space="0" w:color="auto"/>
              <w:right w:val="single" w:sz="4" w:space="0" w:color="auto"/>
            </w:tcBorders>
            <w:noWrap/>
            <w:vAlign w:val="center"/>
            <w:hideMark/>
          </w:tcPr>
          <w:p w14:paraId="7CEE2805"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23,2%</w:t>
            </w:r>
          </w:p>
        </w:tc>
        <w:tc>
          <w:tcPr>
            <w:tcW w:w="1122" w:type="dxa"/>
            <w:tcBorders>
              <w:top w:val="nil"/>
              <w:left w:val="nil"/>
              <w:bottom w:val="single" w:sz="4" w:space="0" w:color="auto"/>
              <w:right w:val="single" w:sz="4" w:space="0" w:color="auto"/>
            </w:tcBorders>
            <w:noWrap/>
            <w:vAlign w:val="center"/>
            <w:hideMark/>
          </w:tcPr>
          <w:p w14:paraId="578247A5"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16,7%–31,3%</w:t>
            </w:r>
          </w:p>
        </w:tc>
        <w:tc>
          <w:tcPr>
            <w:tcW w:w="1022" w:type="dxa"/>
            <w:tcBorders>
              <w:top w:val="nil"/>
              <w:left w:val="nil"/>
              <w:bottom w:val="single" w:sz="4" w:space="0" w:color="auto"/>
              <w:right w:val="single" w:sz="4" w:space="0" w:color="auto"/>
            </w:tcBorders>
            <w:noWrap/>
            <w:vAlign w:val="center"/>
            <w:hideMark/>
          </w:tcPr>
          <w:p w14:paraId="3C035A49"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6,8%–55,7%</w:t>
            </w:r>
          </w:p>
        </w:tc>
        <w:tc>
          <w:tcPr>
            <w:tcW w:w="1699" w:type="dxa"/>
            <w:tcBorders>
              <w:top w:val="nil"/>
              <w:left w:val="nil"/>
              <w:bottom w:val="single" w:sz="4" w:space="0" w:color="auto"/>
              <w:right w:val="single" w:sz="4" w:space="0" w:color="auto"/>
            </w:tcBorders>
            <w:noWrap/>
            <w:vAlign w:val="center"/>
            <w:hideMark/>
          </w:tcPr>
          <w:p w14:paraId="67AB7816"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46,55 (16), p &lt; 0,001</w:t>
            </w:r>
          </w:p>
        </w:tc>
        <w:tc>
          <w:tcPr>
            <w:tcW w:w="875" w:type="dxa"/>
            <w:tcBorders>
              <w:top w:val="nil"/>
              <w:left w:val="nil"/>
              <w:bottom w:val="single" w:sz="4" w:space="0" w:color="auto"/>
              <w:right w:val="single" w:sz="4" w:space="0" w:color="auto"/>
            </w:tcBorders>
            <w:noWrap/>
            <w:vAlign w:val="center"/>
            <w:hideMark/>
          </w:tcPr>
          <w:p w14:paraId="382ACE77"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65,6%</w:t>
            </w:r>
          </w:p>
        </w:tc>
        <w:tc>
          <w:tcPr>
            <w:tcW w:w="875" w:type="dxa"/>
            <w:tcBorders>
              <w:top w:val="nil"/>
              <w:left w:val="nil"/>
              <w:bottom w:val="single" w:sz="4" w:space="0" w:color="auto"/>
              <w:right w:val="single" w:sz="4" w:space="0" w:color="auto"/>
            </w:tcBorders>
            <w:noWrap/>
            <w:vAlign w:val="center"/>
            <w:hideMark/>
          </w:tcPr>
          <w:p w14:paraId="5D3F8957"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0,408</w:t>
            </w:r>
          </w:p>
        </w:tc>
      </w:tr>
      <w:tr w:rsidR="00871DD2" w:rsidRPr="00E850F2" w14:paraId="08B866FB" w14:textId="77777777" w:rsidTr="00B454C2">
        <w:trPr>
          <w:trHeight w:val="290"/>
        </w:trPr>
        <w:tc>
          <w:tcPr>
            <w:tcW w:w="2008" w:type="dxa"/>
            <w:tcBorders>
              <w:top w:val="nil"/>
              <w:left w:val="single" w:sz="4" w:space="0" w:color="auto"/>
              <w:bottom w:val="single" w:sz="4" w:space="0" w:color="auto"/>
              <w:right w:val="single" w:sz="4" w:space="0" w:color="auto"/>
            </w:tcBorders>
            <w:noWrap/>
            <w:vAlign w:val="center"/>
            <w:hideMark/>
          </w:tcPr>
          <w:p w14:paraId="220DE5C7" w14:textId="01961CA4" w:rsidR="00871DD2" w:rsidRPr="00E850F2" w:rsidRDefault="009848E1" w:rsidP="009848E1">
            <w:pPr>
              <w:spacing w:after="0" w:line="240" w:lineRule="auto"/>
              <w:jc w:val="center"/>
              <w:rPr>
                <w:rFonts w:ascii="Calibri" w:eastAsia="Times New Roman" w:hAnsi="Calibri" w:cs="Calibri"/>
                <w:color w:val="000000"/>
                <w:kern w:val="0"/>
                <w14:ligatures w14:val="none"/>
              </w:rPr>
            </w:pPr>
            <w:r w:rsidRPr="009848E1">
              <w:rPr>
                <w:rFonts w:ascii="Calibri" w:eastAsia="Times New Roman" w:hAnsi="Calibri" w:cs="Calibri"/>
                <w:color w:val="000000"/>
                <w:kern w:val="0"/>
                <w14:ligatures w14:val="none"/>
              </w:rPr>
              <w:t>Sensitivity</w:t>
            </w:r>
            <w:r w:rsidR="00871DD2" w:rsidRPr="00E850F2">
              <w:rPr>
                <w:rFonts w:ascii="Calibri" w:eastAsia="Times New Roman" w:hAnsi="Calibri" w:cs="Calibri"/>
                <w:color w:val="000000"/>
                <w:kern w:val="0"/>
                <w14:ligatures w14:val="none"/>
              </w:rPr>
              <w:t>: Group A + B</w:t>
            </w:r>
          </w:p>
        </w:tc>
        <w:tc>
          <w:tcPr>
            <w:tcW w:w="874" w:type="dxa"/>
            <w:tcBorders>
              <w:top w:val="nil"/>
              <w:left w:val="nil"/>
              <w:bottom w:val="single" w:sz="4" w:space="0" w:color="auto"/>
              <w:right w:val="single" w:sz="4" w:space="0" w:color="auto"/>
            </w:tcBorders>
            <w:noWrap/>
            <w:vAlign w:val="center"/>
            <w:hideMark/>
          </w:tcPr>
          <w:p w14:paraId="0A34C083"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21</w:t>
            </w:r>
          </w:p>
        </w:tc>
        <w:tc>
          <w:tcPr>
            <w:tcW w:w="875" w:type="dxa"/>
            <w:tcBorders>
              <w:top w:val="nil"/>
              <w:left w:val="nil"/>
              <w:bottom w:val="single" w:sz="4" w:space="0" w:color="auto"/>
              <w:right w:val="single" w:sz="4" w:space="0" w:color="auto"/>
            </w:tcBorders>
            <w:noWrap/>
            <w:vAlign w:val="center"/>
            <w:hideMark/>
          </w:tcPr>
          <w:p w14:paraId="24CA246E"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21,3%</w:t>
            </w:r>
          </w:p>
        </w:tc>
        <w:tc>
          <w:tcPr>
            <w:tcW w:w="1122" w:type="dxa"/>
            <w:tcBorders>
              <w:top w:val="nil"/>
              <w:left w:val="nil"/>
              <w:bottom w:val="single" w:sz="4" w:space="0" w:color="auto"/>
              <w:right w:val="single" w:sz="4" w:space="0" w:color="auto"/>
            </w:tcBorders>
            <w:noWrap/>
            <w:vAlign w:val="center"/>
            <w:hideMark/>
          </w:tcPr>
          <w:p w14:paraId="79E44455"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15,5%–28,6%</w:t>
            </w:r>
          </w:p>
        </w:tc>
        <w:tc>
          <w:tcPr>
            <w:tcW w:w="1022" w:type="dxa"/>
            <w:tcBorders>
              <w:top w:val="nil"/>
              <w:left w:val="nil"/>
              <w:bottom w:val="single" w:sz="4" w:space="0" w:color="auto"/>
              <w:right w:val="single" w:sz="4" w:space="0" w:color="auto"/>
            </w:tcBorders>
            <w:noWrap/>
            <w:vAlign w:val="center"/>
            <w:hideMark/>
          </w:tcPr>
          <w:p w14:paraId="451E6FCF"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6,4%–51,9%</w:t>
            </w:r>
          </w:p>
        </w:tc>
        <w:tc>
          <w:tcPr>
            <w:tcW w:w="1699" w:type="dxa"/>
            <w:tcBorders>
              <w:top w:val="nil"/>
              <w:left w:val="nil"/>
              <w:bottom w:val="single" w:sz="4" w:space="0" w:color="auto"/>
              <w:right w:val="single" w:sz="4" w:space="0" w:color="auto"/>
            </w:tcBorders>
            <w:noWrap/>
            <w:vAlign w:val="center"/>
            <w:hideMark/>
          </w:tcPr>
          <w:p w14:paraId="3BB426A6"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55,85 (20), p &lt; 0,001</w:t>
            </w:r>
          </w:p>
        </w:tc>
        <w:tc>
          <w:tcPr>
            <w:tcW w:w="875" w:type="dxa"/>
            <w:tcBorders>
              <w:top w:val="nil"/>
              <w:left w:val="nil"/>
              <w:bottom w:val="single" w:sz="4" w:space="0" w:color="auto"/>
              <w:right w:val="single" w:sz="4" w:space="0" w:color="auto"/>
            </w:tcBorders>
            <w:noWrap/>
            <w:vAlign w:val="center"/>
            <w:hideMark/>
          </w:tcPr>
          <w:p w14:paraId="093B8EF7"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64,2%</w:t>
            </w:r>
          </w:p>
        </w:tc>
        <w:tc>
          <w:tcPr>
            <w:tcW w:w="875" w:type="dxa"/>
            <w:tcBorders>
              <w:top w:val="nil"/>
              <w:left w:val="nil"/>
              <w:bottom w:val="single" w:sz="4" w:space="0" w:color="auto"/>
              <w:right w:val="single" w:sz="4" w:space="0" w:color="auto"/>
            </w:tcBorders>
            <w:noWrap/>
            <w:vAlign w:val="center"/>
            <w:hideMark/>
          </w:tcPr>
          <w:p w14:paraId="4CE85958" w14:textId="77777777" w:rsidR="00871DD2" w:rsidRPr="00E850F2" w:rsidRDefault="00871DD2" w:rsidP="00B454C2">
            <w:pPr>
              <w:spacing w:after="0" w:line="240" w:lineRule="auto"/>
              <w:jc w:val="center"/>
              <w:rPr>
                <w:rFonts w:ascii="Calibri" w:eastAsia="Times New Roman" w:hAnsi="Calibri" w:cs="Calibri"/>
                <w:color w:val="000000"/>
                <w:kern w:val="0"/>
                <w14:ligatures w14:val="none"/>
              </w:rPr>
            </w:pPr>
            <w:r w:rsidRPr="00E850F2">
              <w:rPr>
                <w:rFonts w:ascii="Calibri" w:eastAsia="Times New Roman" w:hAnsi="Calibri" w:cs="Calibri"/>
                <w:color w:val="000000"/>
                <w:kern w:val="0"/>
                <w14:ligatures w14:val="none"/>
              </w:rPr>
              <w:t>0,400</w:t>
            </w:r>
          </w:p>
        </w:tc>
      </w:tr>
    </w:tbl>
    <w:p w14:paraId="25534EC7" w14:textId="77777777" w:rsidR="00871DD2" w:rsidRDefault="00871DD2" w:rsidP="00871DD2">
      <w:pPr>
        <w:jc w:val="both"/>
      </w:pPr>
    </w:p>
    <w:p w14:paraId="4C1127E6" w14:textId="02DB71F2" w:rsidR="0017281C" w:rsidRPr="0017281C" w:rsidRDefault="0017281C" w:rsidP="0017281C">
      <w:pPr>
        <w:ind w:firstLine="709"/>
        <w:jc w:val="both"/>
        <w:rPr>
          <w:lang w:val="en-ID"/>
        </w:rPr>
      </w:pPr>
      <w:r w:rsidRPr="0017281C">
        <w:rPr>
          <w:lang w:val="en-ID"/>
        </w:rPr>
        <w:t xml:space="preserve">In the primary analysis, the model-based mean estimate for the proportion of </w:t>
      </w:r>
      <w:proofErr w:type="spellStart"/>
      <w:r w:rsidRPr="0017281C">
        <w:rPr>
          <w:lang w:val="en-ID"/>
        </w:rPr>
        <w:t>Zingiberaceae</w:t>
      </w:r>
      <w:proofErr w:type="spellEnd"/>
      <w:r w:rsidRPr="0017281C">
        <w:rPr>
          <w:lang w:val="en-ID"/>
        </w:rPr>
        <w:t xml:space="preserve"> species was 23.2%, with a 95% confidence interval of 16.7%–31.3%. This result should be interpreted as indicating that, among article-level inventories specifically addressing postpartum care, the mean proportion of reported species belonging to the </w:t>
      </w:r>
      <w:proofErr w:type="spellStart"/>
      <w:r w:rsidRPr="0017281C">
        <w:rPr>
          <w:lang w:val="en-ID"/>
        </w:rPr>
        <w:t>Zingiberaceae</w:t>
      </w:r>
      <w:proofErr w:type="spellEnd"/>
      <w:r w:rsidRPr="0017281C">
        <w:rPr>
          <w:lang w:val="en-ID"/>
        </w:rPr>
        <w:t xml:space="preserve"> family was estimated at 23.2%. This estimate is not a national proportion and does not imply that 23.2% of the medicinal plants used by all postpartum women in Indonesia belong to the </w:t>
      </w:r>
      <w:proofErr w:type="spellStart"/>
      <w:r w:rsidRPr="0017281C">
        <w:rPr>
          <w:lang w:val="en-ID"/>
        </w:rPr>
        <w:t>Zingiberaceae</w:t>
      </w:r>
      <w:proofErr w:type="spellEnd"/>
      <w:r w:rsidRPr="0017281C">
        <w:rPr>
          <w:lang w:val="en-ID"/>
        </w:rPr>
        <w:t xml:space="preserve"> family.</w:t>
      </w:r>
      <w:r>
        <w:rPr>
          <w:lang w:val="en-ID"/>
        </w:rPr>
        <w:t xml:space="preserve"> </w:t>
      </w:r>
      <w:r w:rsidRPr="0017281C">
        <w:rPr>
          <w:lang w:val="en-ID"/>
        </w:rPr>
        <w:t xml:space="preserve">The 95% prediction interval ranged from 6.8% to 55.7%. This wide interval indicates that the proportion of </w:t>
      </w:r>
      <w:proofErr w:type="spellStart"/>
      <w:r w:rsidRPr="0017281C">
        <w:rPr>
          <w:lang w:val="en-ID"/>
        </w:rPr>
        <w:t>Zingiberaceae</w:t>
      </w:r>
      <w:proofErr w:type="spellEnd"/>
      <w:r w:rsidRPr="0017281C">
        <w:rPr>
          <w:lang w:val="en-ID"/>
        </w:rPr>
        <w:t xml:space="preserve"> in a new study with comparable characteristics may vary considerably. This finding is consistent with the observed heterogeneity of (I^2 = 65.6%), indicating moderate to substantial variation among articles. Therefore, the pooled estimate is more appropriately used to summarize the compositional tendency across article-level inventories than to produce a single value applicable to all communities.</w:t>
      </w:r>
      <w:r>
        <w:rPr>
          <w:lang w:val="en-ID"/>
        </w:rPr>
        <w:t xml:space="preserve"> </w:t>
      </w:r>
      <w:r w:rsidRPr="0017281C">
        <w:rPr>
          <w:lang w:val="en-ID"/>
        </w:rPr>
        <w:t xml:space="preserve">The </w:t>
      </w:r>
      <w:r w:rsidRPr="0017281C">
        <w:rPr>
          <w:i/>
          <w:iCs/>
          <w:lang w:val="en-ID"/>
        </w:rPr>
        <w:t>p</w:t>
      </w:r>
      <w:r w:rsidRPr="0017281C">
        <w:rPr>
          <w:lang w:val="en-ID"/>
        </w:rPr>
        <w:t xml:space="preserve">-value for the intercept or pooled logit proportion was not used as evidence of the biological, cultural, or clinical importance of </w:t>
      </w:r>
      <w:proofErr w:type="spellStart"/>
      <w:r w:rsidRPr="0017281C">
        <w:rPr>
          <w:lang w:val="en-ID"/>
        </w:rPr>
        <w:t>Zingiberaceae</w:t>
      </w:r>
      <w:proofErr w:type="spellEnd"/>
      <w:r w:rsidRPr="0017281C">
        <w:rPr>
          <w:lang w:val="en-ID"/>
        </w:rPr>
        <w:t>. This test essentially compares the pooled logit proportion with zero, which is equivalent to a proportion of 50%. Because this hypothesis was not the primary research question, the interpretation focused instead on the estimated proportion, confidence interval, prediction interval, and heterogeneity.</w:t>
      </w:r>
    </w:p>
    <w:p w14:paraId="4BF3F3BF" w14:textId="68343EA3" w:rsidR="00871DD2" w:rsidRPr="00E850F2" w:rsidRDefault="0017281C" w:rsidP="0017281C">
      <w:pPr>
        <w:rPr>
          <w:b/>
          <w:bCs/>
        </w:rPr>
      </w:pPr>
      <w:r w:rsidRPr="0017281C">
        <w:rPr>
          <w:b/>
          <w:bCs/>
        </w:rPr>
        <w:t>Sensitivity Analysis and Heterogeneity</w:t>
      </w:r>
    </w:p>
    <w:p w14:paraId="622186A4" w14:textId="77777777" w:rsidR="0017281C" w:rsidRPr="0017281C" w:rsidRDefault="0017281C" w:rsidP="0017281C">
      <w:pPr>
        <w:ind w:firstLine="709"/>
        <w:jc w:val="both"/>
        <w:rPr>
          <w:lang w:val="en-ID"/>
        </w:rPr>
      </w:pPr>
      <w:r w:rsidRPr="0017281C">
        <w:rPr>
          <w:lang w:val="en-ID"/>
        </w:rPr>
        <w:t>The sensitivity analysis was conducted by adding four Group B articles that provided separable postpartum data. The model-based mean estimate decreased from 23.2% to 21.3%, with a 95% confidence interval of 15.5%–28.6%. This relatively small change indicates that the inclusion of articles with a broader maternal scope did not alter the overall direction of the findings.</w:t>
      </w:r>
    </w:p>
    <w:p w14:paraId="3B372921" w14:textId="77777777" w:rsidR="0017281C" w:rsidRPr="0017281C" w:rsidRDefault="0017281C" w:rsidP="0017281C">
      <w:pPr>
        <w:ind w:firstLine="709"/>
        <w:jc w:val="both"/>
        <w:rPr>
          <w:lang w:val="en-ID"/>
        </w:rPr>
      </w:pPr>
      <w:r w:rsidRPr="0017281C">
        <w:rPr>
          <w:lang w:val="en-ID"/>
        </w:rPr>
        <w:t xml:space="preserve">When </w:t>
      </w:r>
      <w:proofErr w:type="spellStart"/>
      <w:r w:rsidRPr="0017281C">
        <w:rPr>
          <w:lang w:val="en-ID"/>
        </w:rPr>
        <w:t>analyzed</w:t>
      </w:r>
      <w:proofErr w:type="spellEnd"/>
      <w:r w:rsidRPr="0017281C">
        <w:rPr>
          <w:lang w:val="en-ID"/>
        </w:rPr>
        <w:t xml:space="preserve"> separately, the four Group B articles produced an estimate of 13.2%. However, the confidence interval was very wide, ranging from 2.5% to 47.6%, because only four articles were included and between-article variation was considerable. Moderator analysis based on Group A and Group B status did not demonstrate a clear difference between the two groups, with a moderator coefficient of </w:t>
      </w:r>
      <w:r w:rsidRPr="0017281C">
        <w:rPr>
          <w:lang w:val="en-ID"/>
        </w:rPr>
        <w:lastRenderedPageBreak/>
        <w:t>approximately −0.64 on the logit scale and (p = 0.206). Thus, the article classification did not adequately explain the observed heterogeneity.</w:t>
      </w:r>
    </w:p>
    <w:p w14:paraId="4E31B1E0" w14:textId="77777777" w:rsidR="0017281C" w:rsidRPr="0017281C" w:rsidRDefault="0017281C" w:rsidP="0017281C">
      <w:pPr>
        <w:ind w:firstLine="709"/>
        <w:jc w:val="both"/>
        <w:rPr>
          <w:lang w:val="en-ID"/>
        </w:rPr>
      </w:pPr>
      <w:r w:rsidRPr="0017281C">
        <w:rPr>
          <w:lang w:val="en-ID"/>
        </w:rPr>
        <w:t>The leave-one-out analysis of the 17 primary articles generated pooled estimates ranging from 21.8% to 24.7%. No single article substantially altered the overall result when removed individually. Nevertheless, considerable residual variation remained. Analyses according to island, number of informants, multisite status, availability of voucher specimens, and whether the data were reported directly or recalculated could not be conducted conclusively because these variables were not reported consistently and several categories contained only a small number of articles. These factors were therefore treated as potential sources of heterogeneity rather than as statistically established causes.</w:t>
      </w:r>
    </w:p>
    <w:p w14:paraId="7A7E7600" w14:textId="77777777" w:rsidR="00871DD2" w:rsidRPr="00E850F2" w:rsidRDefault="00871DD2" w:rsidP="00871DD2">
      <w:pPr>
        <w:rPr>
          <w:b/>
          <w:bCs/>
        </w:rPr>
      </w:pPr>
      <w:r w:rsidRPr="00E850F2">
        <w:rPr>
          <w:b/>
          <w:bCs/>
        </w:rPr>
        <w:t>Forest Plot</w:t>
      </w:r>
    </w:p>
    <w:p w14:paraId="6081E4A5" w14:textId="1EA30C38" w:rsidR="00871DD2" w:rsidRPr="00E850F2" w:rsidRDefault="0017281C" w:rsidP="001D7F3B">
      <w:pPr>
        <w:spacing w:after="120"/>
        <w:ind w:firstLine="709"/>
        <w:jc w:val="both"/>
      </w:pPr>
      <w:r w:rsidRPr="0017281C">
        <w:t>The previous forest plot, which included 24 articles and reported a pooled logit proportion of −1.46, should be replaced. The primary forest plot should display only the 17 Group A articles and use a proportion scale to facilitate interpretation. The diamond represents the model-based mean estimate of 23.2%, with a 95% confidence interval of 16.7%–31.3%, whereas the prediction interval line represents the range of 6.8%–55.7%.</w:t>
      </w:r>
    </w:p>
    <w:p w14:paraId="722D7783" w14:textId="12ADADEC" w:rsidR="00871DD2" w:rsidRDefault="002209A5" w:rsidP="001D7F3B">
      <w:pPr>
        <w:spacing w:after="120"/>
        <w:jc w:val="center"/>
        <w:rPr>
          <w:b/>
          <w:bCs/>
        </w:rPr>
      </w:pPr>
      <w:r>
        <w:rPr>
          <w:noProof/>
        </w:rPr>
        <w:drawing>
          <wp:inline distT="0" distB="0" distL="0" distR="0" wp14:anchorId="6381D653" wp14:editId="6E921ACE">
            <wp:extent cx="5692465" cy="2672296"/>
            <wp:effectExtent l="0" t="0" r="3810" b="0"/>
            <wp:docPr id="7297809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00373" cy="2676008"/>
                    </a:xfrm>
                    <a:prstGeom prst="rect">
                      <a:avLst/>
                    </a:prstGeom>
                    <a:noFill/>
                    <a:ln>
                      <a:noFill/>
                    </a:ln>
                  </pic:spPr>
                </pic:pic>
              </a:graphicData>
            </a:graphic>
          </wp:inline>
        </w:drawing>
      </w:r>
    </w:p>
    <w:p w14:paraId="554EDA2B" w14:textId="4CBEEA97" w:rsidR="00871DD2" w:rsidRPr="00E850F2" w:rsidRDefault="001D7F3B" w:rsidP="001D7F3B">
      <w:pPr>
        <w:jc w:val="center"/>
      </w:pPr>
      <w:r w:rsidRPr="001D7F3B">
        <w:rPr>
          <w:b/>
          <w:bCs/>
        </w:rPr>
        <w:t xml:space="preserve">Figure 2. Forest Plot of the Primary Analysis of the Proportion of </w:t>
      </w:r>
      <w:proofErr w:type="spellStart"/>
      <w:r w:rsidRPr="001D7F3B">
        <w:rPr>
          <w:b/>
          <w:bCs/>
        </w:rPr>
        <w:t>Zingiberaceae</w:t>
      </w:r>
      <w:proofErr w:type="spellEnd"/>
      <w:r w:rsidRPr="001D7F3B">
        <w:rPr>
          <w:b/>
          <w:bCs/>
        </w:rPr>
        <w:t xml:space="preserve"> in 17 Postpartum Care Inventories</w:t>
      </w:r>
    </w:p>
    <w:p w14:paraId="4D148DF2" w14:textId="2DF0F4E8" w:rsidR="00871DD2" w:rsidRPr="00E850F2" w:rsidRDefault="001D7F3B" w:rsidP="001D7F3B">
      <w:pPr>
        <w:ind w:firstLine="709"/>
        <w:jc w:val="both"/>
      </w:pPr>
      <w:r w:rsidRPr="001D7F3B">
        <w:t>The sensitivity analysis should be presented separately, distinguishing between Group A and Group B. The forest plot should display the estimate for each article, the estimate for each group, the combined estimate for all 21 articles, and the prediction interval.</w:t>
      </w:r>
    </w:p>
    <w:p w14:paraId="28964D17" w14:textId="2BF5EB7C" w:rsidR="00871DD2" w:rsidRDefault="002209A5" w:rsidP="00372E26">
      <w:pPr>
        <w:spacing w:after="0"/>
        <w:jc w:val="center"/>
        <w:rPr>
          <w:b/>
          <w:bCs/>
        </w:rPr>
      </w:pPr>
      <w:r>
        <w:rPr>
          <w:noProof/>
        </w:rPr>
        <w:lastRenderedPageBreak/>
        <w:drawing>
          <wp:inline distT="0" distB="0" distL="0" distR="0" wp14:anchorId="1457C918" wp14:editId="32666BC3">
            <wp:extent cx="5415579" cy="3303734"/>
            <wp:effectExtent l="0" t="0" r="0" b="0"/>
            <wp:docPr id="7788550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27877" cy="3311236"/>
                    </a:xfrm>
                    <a:prstGeom prst="rect">
                      <a:avLst/>
                    </a:prstGeom>
                    <a:noFill/>
                    <a:ln>
                      <a:noFill/>
                    </a:ln>
                  </pic:spPr>
                </pic:pic>
              </a:graphicData>
            </a:graphic>
          </wp:inline>
        </w:drawing>
      </w:r>
    </w:p>
    <w:p w14:paraId="29182C78" w14:textId="0CD2A0A7" w:rsidR="00871DD2" w:rsidRPr="00E850F2" w:rsidRDefault="00372E26" w:rsidP="00372E26">
      <w:pPr>
        <w:jc w:val="center"/>
      </w:pPr>
      <w:r w:rsidRPr="00372E26">
        <w:rPr>
          <w:b/>
          <w:bCs/>
        </w:rPr>
        <w:t xml:space="preserve">Figure 3. Subgroup Forest Plot and Sensitivity Analysis of the Proportion of </w:t>
      </w:r>
      <w:proofErr w:type="spellStart"/>
      <w:r w:rsidRPr="00372E26">
        <w:rPr>
          <w:b/>
          <w:bCs/>
        </w:rPr>
        <w:t>Zingiberaceae</w:t>
      </w:r>
      <w:proofErr w:type="spellEnd"/>
      <w:r w:rsidRPr="00372E26">
        <w:rPr>
          <w:b/>
          <w:bCs/>
        </w:rPr>
        <w:t xml:space="preserve"> in 21 Inventories</w:t>
      </w:r>
    </w:p>
    <w:p w14:paraId="1F6ECB84" w14:textId="77777777" w:rsidR="00871DD2" w:rsidRPr="00E850F2" w:rsidRDefault="00871DD2" w:rsidP="00871DD2">
      <w:pPr>
        <w:rPr>
          <w:b/>
          <w:bCs/>
        </w:rPr>
      </w:pPr>
      <w:r w:rsidRPr="00E850F2">
        <w:rPr>
          <w:b/>
          <w:bCs/>
        </w:rPr>
        <w:t>Funnel Plot</w:t>
      </w:r>
    </w:p>
    <w:p w14:paraId="362A9F52" w14:textId="77777777" w:rsidR="00372E26" w:rsidRPr="00372E26" w:rsidRDefault="00372E26" w:rsidP="00372E26">
      <w:pPr>
        <w:jc w:val="both"/>
        <w:rPr>
          <w:lang w:val="en-ID"/>
        </w:rPr>
      </w:pPr>
      <w:r w:rsidRPr="00372E26">
        <w:rPr>
          <w:lang w:val="en-ID"/>
        </w:rPr>
        <w:t>The funnel plot was not used to draw conclusions regarding the presence or absence of publication bias. It may only be retained as an exploratory assessment of potential small-study effects and should be placed in the appendix as Figure 4 rather than presented as a primary finding.</w:t>
      </w:r>
    </w:p>
    <w:p w14:paraId="1C2ED506" w14:textId="77777777" w:rsidR="00372E26" w:rsidRPr="00372E26" w:rsidRDefault="00372E26" w:rsidP="00372E26">
      <w:pPr>
        <w:jc w:val="both"/>
        <w:rPr>
          <w:lang w:val="en-ID"/>
        </w:rPr>
      </w:pPr>
      <w:r w:rsidRPr="00372E26">
        <w:rPr>
          <w:lang w:val="en-ID"/>
        </w:rPr>
        <w:t>The distribution of articles in the exploratory funnel plot was not entirely symmetrical. However, this pattern may have been influenced by differences in ethnobotanical traditions, local biodiversity, the number of informants, geographical coverage, inventory intensity, and the quality of botanical identification. Therefore, asymmetry should not be interpreted as evidence of publication bias. Formal testing for publication bias should also not be emphasized because the unit of analysis was not a clinical sample and heterogeneity among inventories was relatively high.</w:t>
      </w:r>
    </w:p>
    <w:p w14:paraId="4B617D86" w14:textId="7313C7BC" w:rsidR="00871DD2" w:rsidRDefault="002209A5" w:rsidP="002209A5">
      <w:pPr>
        <w:rPr>
          <w:b/>
          <w:bCs/>
        </w:rPr>
      </w:pPr>
      <w:r w:rsidRPr="002209A5">
        <w:rPr>
          <w:b/>
          <w:bCs/>
          <w:noProof/>
        </w:rPr>
        <w:lastRenderedPageBreak/>
        <w:drawing>
          <wp:inline distT="0" distB="0" distL="0" distR="0" wp14:anchorId="58E27480" wp14:editId="4674DF1F">
            <wp:extent cx="5975498" cy="2492454"/>
            <wp:effectExtent l="0" t="0" r="6350" b="3175"/>
            <wp:docPr id="107755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57954" name=""/>
                    <pic:cNvPicPr/>
                  </pic:nvPicPr>
                  <pic:blipFill>
                    <a:blip r:embed="rId9"/>
                    <a:stretch>
                      <a:fillRect/>
                    </a:stretch>
                  </pic:blipFill>
                  <pic:spPr>
                    <a:xfrm>
                      <a:off x="0" y="0"/>
                      <a:ext cx="5993101" cy="2499796"/>
                    </a:xfrm>
                    <a:prstGeom prst="rect">
                      <a:avLst/>
                    </a:prstGeom>
                  </pic:spPr>
                </pic:pic>
              </a:graphicData>
            </a:graphic>
          </wp:inline>
        </w:drawing>
      </w:r>
    </w:p>
    <w:p w14:paraId="54E64AE6" w14:textId="175FCB6A" w:rsidR="00871DD2" w:rsidRPr="00E850F2" w:rsidRDefault="007B00C5" w:rsidP="007B00C5">
      <w:pPr>
        <w:jc w:val="center"/>
      </w:pPr>
      <w:r w:rsidRPr="007B00C5">
        <w:rPr>
          <w:b/>
          <w:bCs/>
        </w:rPr>
        <w:t>Figure 4. Exploratory Funnel Plot of Postpartum-Specific Study-Level Inventories</w:t>
      </w:r>
    </w:p>
    <w:p w14:paraId="21D43CE9" w14:textId="77777777" w:rsidR="00871DD2" w:rsidRPr="005D25A7" w:rsidRDefault="00871DD2" w:rsidP="00871DD2"/>
    <w:p w14:paraId="06BBA243" w14:textId="192C1D40" w:rsidR="007A0911" w:rsidRPr="007A0911" w:rsidRDefault="00E23567" w:rsidP="00E23567">
      <w:pPr>
        <w:jc w:val="both"/>
        <w:rPr>
          <w:b/>
          <w:bCs/>
        </w:rPr>
      </w:pPr>
      <w:r w:rsidRPr="00E23567">
        <w:rPr>
          <w:b/>
          <w:bCs/>
        </w:rPr>
        <w:t>DISCUSSION</w:t>
      </w:r>
    </w:p>
    <w:p w14:paraId="674CA334" w14:textId="464A31EC" w:rsidR="007A0911" w:rsidRPr="007A0911" w:rsidRDefault="00696DAB" w:rsidP="00696DAB">
      <w:pPr>
        <w:jc w:val="both"/>
        <w:rPr>
          <w:b/>
          <w:bCs/>
        </w:rPr>
      </w:pPr>
      <w:proofErr w:type="spellStart"/>
      <w:r w:rsidRPr="00696DAB">
        <w:rPr>
          <w:b/>
          <w:bCs/>
        </w:rPr>
        <w:t>Zingiberaceae</w:t>
      </w:r>
      <w:proofErr w:type="spellEnd"/>
      <w:r w:rsidRPr="00696DAB">
        <w:rPr>
          <w:b/>
          <w:bCs/>
        </w:rPr>
        <w:t xml:space="preserve"> as a Recurrent Component of Postpartum Care Inventories</w:t>
      </w:r>
    </w:p>
    <w:p w14:paraId="1C455012" w14:textId="550CEC3A" w:rsidR="00696DAB" w:rsidRPr="00696DAB" w:rsidRDefault="00696DAB" w:rsidP="00696DAB">
      <w:pPr>
        <w:ind w:firstLine="709"/>
        <w:jc w:val="both"/>
        <w:rPr>
          <w:lang w:val="en-ID"/>
        </w:rPr>
      </w:pPr>
      <w:r w:rsidRPr="00696DAB">
        <w:rPr>
          <w:lang w:val="en-ID"/>
        </w:rPr>
        <w:t xml:space="preserve">The review findings indicate that plant-based postpartum maternal care in Indonesia does not constitute a uniform set of practices. Each community develops its own formulations, preparation techniques, administration routes, and purposes of use according to its collective experience, local environment, and knowledge transmitted within families. This diversity is reflected in the use of oral herbal preparations, restorative foods, herbal baths, topical body rubs, abdominal pastes, compresses, and various other forms of external care. Postpartum practices involving diverse forms of plant use have been documented among the Sundanese community in </w:t>
      </w:r>
      <w:proofErr w:type="spellStart"/>
      <w:r w:rsidRPr="00696DAB">
        <w:rPr>
          <w:lang w:val="en-ID"/>
        </w:rPr>
        <w:t>Cimande</w:t>
      </w:r>
      <w:proofErr w:type="spellEnd"/>
      <w:r w:rsidRPr="00696DAB">
        <w:rPr>
          <w:lang w:val="en-ID"/>
        </w:rPr>
        <w:t xml:space="preserve"> </w:t>
      </w:r>
      <w:r w:rsidR="00265A1B">
        <w:rPr>
          <w:lang w:val="en-ID"/>
        </w:rPr>
        <w:fldChar w:fldCharType="begin" w:fldLock="1"/>
      </w:r>
      <w:r w:rsidR="00265A1B">
        <w:rPr>
          <w:lang w:val="en-ID"/>
        </w:rPr>
        <w:instrText>ADDIN CSL_CITATION {"citationItems":[{"id":"ITEM-1","itemData":{"DOI":"10.51200/jtbc.v16i.2045","author":[{"dropping-particle":"","family":"Rahayu","given":"M","non-dropping-particle":"","parse-names":false,"suffix":""},{"dropping-particle":"","family":"Susiarti","given":"S","non-dropping-particle":"","parse-names":false,"suffix":""},{"dropping-particle":"","family":"Arimukti","given":"S D","non-dropping-particle":"","parse-names":false,"suffix":""}],"container-title":"Journal of Tropical Biology and Conservation","id":"ITEM-1","issued":{"date-parts":[["2019"]]},"page":"307-322","title":"Traditional knowledge on plants utilization in postpartum care: An ethnobotanical study in local community of Cimande, Bogor, West Java, Indonesia","type":"article-journal","volume":"16"},"uris":["http://www.mendeley.com/documents/?uuid=1b38a5e0-8326-47b4-8042-cbfc0ae71289"]}],"mendeley":{"formattedCitation":"(Rahayu et al., 2019)","plainTextFormattedCitation":"(Rahayu et al., 2019)","previouslyFormattedCitation":"(Rahayu et al., 2019)"},"properties":{"noteIndex":0},"schema":"https://github.com/citation-style-language/schema/raw/master/csl-citation.json"}</w:instrText>
      </w:r>
      <w:r w:rsidR="00265A1B">
        <w:rPr>
          <w:lang w:val="en-ID"/>
        </w:rPr>
        <w:fldChar w:fldCharType="separate"/>
      </w:r>
      <w:r w:rsidR="00265A1B" w:rsidRPr="00265A1B">
        <w:rPr>
          <w:noProof/>
          <w:lang w:val="en-ID"/>
        </w:rPr>
        <w:t>(Rahayu et al., 2019)</w:t>
      </w:r>
      <w:r w:rsidR="00265A1B">
        <w:rPr>
          <w:lang w:val="en-ID"/>
        </w:rPr>
        <w:fldChar w:fldCharType="end"/>
      </w:r>
      <w:r w:rsidRPr="00696DAB">
        <w:rPr>
          <w:lang w:val="en-ID"/>
        </w:rPr>
        <w:t xml:space="preserve">. Patterns involving herbal preparations used both before and after childbirth have also been reported among the Sekura Malay community </w:t>
      </w:r>
      <w:r w:rsidR="00265A1B">
        <w:rPr>
          <w:lang w:val="en-ID"/>
        </w:rPr>
        <w:fldChar w:fldCharType="begin" w:fldLock="1"/>
      </w:r>
      <w:r w:rsidR="00265A1B">
        <w:rPr>
          <w:lang w:val="en-ID"/>
        </w:rPr>
        <w:instrText>ADDIN CSL_CITATION {"citationItems":[{"id":"ITEM-1","itemData":{"author":[{"dropping-particle":"","family":"Peli","given":"","non-dropping-particle":"","parse-names":false,"suffix":""},{"dropping-particle":"","family":"Linda","given":"R","non-dropping-particle":"","parse-names":false,"suffix":""},{"dropping-particle":"","family":"Wardoyo","given":"E R P","non-dropping-particle":"","parse-names":false,"suffix":""}],"container-title":"Protobiont","id":"ITEM-1","issue":"3","issued":{"date-parts":[["2020"]]},"page":"236-245","title":"Pemanfaatan tumbuhan obat bagi ibu sebelum dan sesudah melahirkan pada masyarakat Suku Melayu di Desa Sekura Kabupaten Sambas","type":"article-journal","volume":"9"},"uris":["http://www.mendeley.com/documents/?uuid=121fdfa8-14d9-46af-bd0a-3b6909296471"]}],"mendeley":{"formattedCitation":"(Peli et al., 2020)","plainTextFormattedCitation":"(Peli et al., 2020)","previouslyFormattedCitation":"(Peli et al., 2020)"},"properties":{"noteIndex":0},"schema":"https://github.com/citation-style-language/schema/raw/master/csl-citation.json"}</w:instrText>
      </w:r>
      <w:r w:rsidR="00265A1B">
        <w:rPr>
          <w:lang w:val="en-ID"/>
        </w:rPr>
        <w:fldChar w:fldCharType="separate"/>
      </w:r>
      <w:r w:rsidR="00265A1B" w:rsidRPr="00265A1B">
        <w:rPr>
          <w:noProof/>
          <w:lang w:val="en-ID"/>
        </w:rPr>
        <w:t>(Peli et al., 2020)</w:t>
      </w:r>
      <w:r w:rsidR="00265A1B">
        <w:rPr>
          <w:lang w:val="en-ID"/>
        </w:rPr>
        <w:fldChar w:fldCharType="end"/>
      </w:r>
      <w:r w:rsidRPr="00696DAB">
        <w:rPr>
          <w:lang w:val="en-ID"/>
        </w:rPr>
        <w:t xml:space="preserve">. The diversity of ingredients and formulations used for mothers and children following childbirth was likewise observed among the Paus Dayak and Malay communities </w:t>
      </w:r>
      <w:r w:rsidR="00265A1B">
        <w:rPr>
          <w:lang w:val="en-ID"/>
        </w:rPr>
        <w:fldChar w:fldCharType="begin" w:fldLock="1"/>
      </w:r>
      <w:r w:rsidR="00265A1B">
        <w:rPr>
          <w:lang w:val="en-ID"/>
        </w:rPr>
        <w:instrText>ADDIN CSL_CITATION {"citationItems":[{"id":"ITEM-1","itemData":{"DOI":"10.30870/biodidaktika.v16i1.10805","author":[{"dropping-particle":"","family":"Pradita","given":"S","non-dropping-particle":"","parse-names":false,"suffix":""},{"dropping-particle":"","family":"Mariani","given":"Y","non-dropping-particle":"","parse-names":false,"suffix":""},{"dropping-particle":"","family":"Wardenaar","given":"E","non-dropping-particle":"","parse-names":false,"suffix":""},{"dropping-particle":"","family":"Yusro","given":"F","non-dropping-particle":"","parse-names":false,"suffix":""}],"container-title":"Biodidaktika: Jurnal Biologi dan Pembelajarannya","id":"ITEM-1","issue":"1","issued":{"date-parts":[["2021"]]},"page":"93-110","title":"Pemanfaatan tumbuhan obat oleh Suku Dayak Paus dan Melayu untuk perawatan ibu dan anak pasca persalinan di Desa Pengadang Kabupaten Sanggau Kalimantan Barat","type":"article-journal","volume":"16"},"uris":["http://www.mendeley.com/documents/?uuid=83626c9f-70b1-4b90-8cdd-ccea15b60e0a"]}],"mendeley":{"formattedCitation":"(Pradita et al., 2021)","plainTextFormattedCitation":"(Pradita et al., 2021)","previouslyFormattedCitation":"(Pradita et al., 2021)"},"properties":{"noteIndex":0},"schema":"https://github.com/citation-style-language/schema/raw/master/csl-citation.json"}</w:instrText>
      </w:r>
      <w:r w:rsidR="00265A1B">
        <w:rPr>
          <w:lang w:val="en-ID"/>
        </w:rPr>
        <w:fldChar w:fldCharType="separate"/>
      </w:r>
      <w:r w:rsidR="00265A1B" w:rsidRPr="00265A1B">
        <w:rPr>
          <w:noProof/>
          <w:lang w:val="en-ID"/>
        </w:rPr>
        <w:t>(Pradita et al., 2021)</w:t>
      </w:r>
      <w:r w:rsidR="00265A1B">
        <w:rPr>
          <w:lang w:val="en-ID"/>
        </w:rPr>
        <w:fldChar w:fldCharType="end"/>
      </w:r>
      <w:r w:rsidRPr="00696DAB">
        <w:rPr>
          <w:lang w:val="en-ID"/>
        </w:rPr>
        <w:t>.</w:t>
      </w:r>
    </w:p>
    <w:p w14:paraId="2A1D8B5F" w14:textId="77777777" w:rsidR="00696DAB" w:rsidRPr="00696DAB" w:rsidRDefault="00696DAB" w:rsidP="00696DAB">
      <w:pPr>
        <w:ind w:firstLine="709"/>
        <w:jc w:val="both"/>
        <w:rPr>
          <w:lang w:val="en-ID"/>
        </w:rPr>
      </w:pPr>
      <w:r w:rsidRPr="00696DAB">
        <w:rPr>
          <w:lang w:val="en-ID"/>
        </w:rPr>
        <w:t xml:space="preserve">The primary analysis of 17 inventories specifically addressing postpartum care produced a model-averaged estimate of 23.2%, with a 95% confidence interval of 16.7%–31.3%. This figure does not represent the prevalence of </w:t>
      </w:r>
      <w:proofErr w:type="spellStart"/>
      <w:r w:rsidRPr="00696DAB">
        <w:rPr>
          <w:lang w:val="en-ID"/>
        </w:rPr>
        <w:t>Zingiberaceae</w:t>
      </w:r>
      <w:proofErr w:type="spellEnd"/>
      <w:r w:rsidRPr="00696DAB">
        <w:rPr>
          <w:lang w:val="en-ID"/>
        </w:rPr>
        <w:t xml:space="preserve"> use among all postpartum women in Indonesia. Rather, it reflects the mean proportion of </w:t>
      </w:r>
      <w:proofErr w:type="spellStart"/>
      <w:r w:rsidRPr="00696DAB">
        <w:rPr>
          <w:lang w:val="en-ID"/>
        </w:rPr>
        <w:t>Zingiberaceae</w:t>
      </w:r>
      <w:proofErr w:type="spellEnd"/>
      <w:r w:rsidRPr="00696DAB">
        <w:rPr>
          <w:lang w:val="en-ID"/>
        </w:rPr>
        <w:t xml:space="preserve"> species within the article-level plant inventories that met the criteria for the primary analysis. </w:t>
      </w:r>
      <w:proofErr w:type="spellStart"/>
      <w:r w:rsidRPr="00696DAB">
        <w:rPr>
          <w:lang w:val="en-ID"/>
        </w:rPr>
        <w:t>Zingiberaceae</w:t>
      </w:r>
      <w:proofErr w:type="spellEnd"/>
      <w:r w:rsidRPr="00696DAB">
        <w:rPr>
          <w:lang w:val="en-ID"/>
        </w:rPr>
        <w:t xml:space="preserve"> should therefore be described as a family frequently represented in the included inventories, rather than as a family proven to be the most important, the most frequently used by every informant, or the most clinically effective.</w:t>
      </w:r>
    </w:p>
    <w:p w14:paraId="4A788444" w14:textId="732930F7" w:rsidR="00696DAB" w:rsidRPr="00696DAB" w:rsidRDefault="00696DAB" w:rsidP="00696DAB">
      <w:pPr>
        <w:ind w:firstLine="709"/>
        <w:jc w:val="both"/>
        <w:rPr>
          <w:lang w:val="en-ID"/>
        </w:rPr>
      </w:pPr>
      <w:r w:rsidRPr="00696DAB">
        <w:rPr>
          <w:lang w:val="en-ID"/>
        </w:rPr>
        <w:t xml:space="preserve">The sensitivity analysis that incorporated four additional articles with separable postpartum data yielded an estimate of 21.3%. The relatively small change indicates that the pattern of </w:t>
      </w:r>
      <w:proofErr w:type="spellStart"/>
      <w:r w:rsidRPr="00696DAB">
        <w:rPr>
          <w:lang w:val="en-ID"/>
        </w:rPr>
        <w:t>Zingiberaceae</w:t>
      </w:r>
      <w:proofErr w:type="spellEnd"/>
      <w:r w:rsidRPr="00696DAB">
        <w:rPr>
          <w:lang w:val="en-ID"/>
        </w:rPr>
        <w:t xml:space="preserve"> representation was not entirely dependent on restricting the analysis to articles exclusively focused on postpartum care. The leave-one-out analysis also showed that no single article substantially altered the pooled estimate. Nevertheless, the prediction interval of 6.8%–55.7% indicates that the composition of </w:t>
      </w:r>
      <w:proofErr w:type="spellStart"/>
      <w:r w:rsidRPr="00696DAB">
        <w:rPr>
          <w:lang w:val="en-ID"/>
        </w:rPr>
        <w:lastRenderedPageBreak/>
        <w:t>Zingiberaceae</w:t>
      </w:r>
      <w:proofErr w:type="spellEnd"/>
      <w:r w:rsidRPr="00696DAB">
        <w:rPr>
          <w:lang w:val="en-ID"/>
        </w:rPr>
        <w:t xml:space="preserve"> in a new inventory may still differ considerably from the model average. Prediction intervals are particularly important when between-study variation is substantial because they describe the range of results that may be observed in future studies of a similar nature </w:t>
      </w:r>
      <w:r w:rsidR="00265A1B">
        <w:rPr>
          <w:lang w:val="en-ID"/>
        </w:rPr>
        <w:fldChar w:fldCharType="begin" w:fldLock="1"/>
      </w:r>
      <w:r w:rsidR="00265A1B">
        <w:rPr>
          <w:lang w:val="en-ID"/>
        </w:rPr>
        <w:instrText>ADDIN CSL_CITATION {"citationItems":[{"id":"ITEM-1","itemData":{"DOI":"10.1016/j.imr.2023.101014","author":[{"dropping-particle":"","family":"Borenstein","given":"Michael","non-dropping-particle":"","parse-names":false,"suffix":""}],"container-title":"Integrative Medicine Research","id":"ITEM-1","issue":"4","issued":{"date-parts":[["2023"]]},"page":"101014","title":"How to understand and report heterogeneity in a meta-analysis: The difference between I-squared and prediction intervals","type":"article-journal","volume":"12"},"uris":["http://www.mendeley.com/documents/?uuid=924a80e0-d4a4-4544-8d91-18ad7643c769"]}],"mendeley":{"formattedCitation":"(Borenstein, 2023)","plainTextFormattedCitation":"(Borenstein, 2023)","previouslyFormattedCitation":"(Borenstein, 2023)"},"properties":{"noteIndex":0},"schema":"https://github.com/citation-style-language/schema/raw/master/csl-citation.json"}</w:instrText>
      </w:r>
      <w:r w:rsidR="00265A1B">
        <w:rPr>
          <w:lang w:val="en-ID"/>
        </w:rPr>
        <w:fldChar w:fldCharType="separate"/>
      </w:r>
      <w:r w:rsidR="00265A1B" w:rsidRPr="00265A1B">
        <w:rPr>
          <w:noProof/>
          <w:lang w:val="en-ID"/>
        </w:rPr>
        <w:t>(Borenstein, 2023)</w:t>
      </w:r>
      <w:r w:rsidR="00265A1B">
        <w:rPr>
          <w:lang w:val="en-ID"/>
        </w:rPr>
        <w:fldChar w:fldCharType="end"/>
      </w:r>
      <w:r w:rsidRPr="00696DAB">
        <w:rPr>
          <w:lang w:val="en-ID"/>
        </w:rPr>
        <w:t xml:space="preserve">. The interpretation of heterogeneity should also not rely solely on (I^2), but should consider (\tau^2), prediction intervals, and the underlying research context </w:t>
      </w:r>
      <w:r w:rsidR="00265A1B">
        <w:rPr>
          <w:lang w:val="en-ID"/>
        </w:rPr>
        <w:fldChar w:fldCharType="begin" w:fldLock="1"/>
      </w:r>
      <w:r w:rsidR="00265A1B">
        <w:rPr>
          <w:lang w:val="en-ID"/>
        </w:rPr>
        <w:instrText>ADDIN CSL_CITATION {"citationItems":[{"id":"ITEM-1","itemData":{"DOI":"10.1002/jrsm.1678","author":[{"dropping-particle":"","family":"Borenstein","given":"Michael","non-dropping-particle":"","parse-names":false,"suffix":""}],"container-title":"Research Synthesis Methods","id":"ITEM-1","issue":"2","issued":{"date-parts":[["2024"]]},"page":"354-368","title":"Avoiding common mistakes in meta-analysis: Understanding the distinct roles of Q, I-squared, tau-squared, and the prediction interval in reporting heterogeneity","type":"article-journal","volume":"15"},"uris":["http://www.mendeley.com/documents/?uuid=e959a6e6-f354-4833-a81e-57ec28b2015a"]}],"mendeley":{"formattedCitation":"(Borenstein, 2024)","plainTextFormattedCitation":"(Borenstein, 2024)","previouslyFormattedCitation":"(Borenstein, 2024)"},"properties":{"noteIndex":0},"schema":"https://github.com/citation-style-language/schema/raw/master/csl-citation.json"}</w:instrText>
      </w:r>
      <w:r w:rsidR="00265A1B">
        <w:rPr>
          <w:lang w:val="en-ID"/>
        </w:rPr>
        <w:fldChar w:fldCharType="separate"/>
      </w:r>
      <w:r w:rsidR="00265A1B" w:rsidRPr="00265A1B">
        <w:rPr>
          <w:noProof/>
          <w:lang w:val="en-ID"/>
        </w:rPr>
        <w:t>(Borenstein, 2024)</w:t>
      </w:r>
      <w:r w:rsidR="00265A1B">
        <w:rPr>
          <w:lang w:val="en-ID"/>
        </w:rPr>
        <w:fldChar w:fldCharType="end"/>
      </w:r>
      <w:r w:rsidRPr="00696DAB">
        <w:rPr>
          <w:lang w:val="en-ID"/>
        </w:rPr>
        <w:t>.</w:t>
      </w:r>
    </w:p>
    <w:p w14:paraId="31114E6B" w14:textId="110D93A1" w:rsidR="007A0911" w:rsidRPr="007A0911" w:rsidRDefault="00696DAB" w:rsidP="00696DAB">
      <w:pPr>
        <w:jc w:val="both"/>
        <w:rPr>
          <w:b/>
          <w:bCs/>
        </w:rPr>
      </w:pPr>
      <w:r w:rsidRPr="00696DAB">
        <w:rPr>
          <w:b/>
          <w:bCs/>
        </w:rPr>
        <w:t>The Close Relationship Between Rhizomes and Postpartum Bodily Recovery Practices</w:t>
      </w:r>
    </w:p>
    <w:p w14:paraId="2D24B37E" w14:textId="69B563B0" w:rsidR="00F860EE" w:rsidRPr="00F860EE" w:rsidRDefault="00F860EE" w:rsidP="00F860EE">
      <w:pPr>
        <w:ind w:firstLine="709"/>
        <w:jc w:val="both"/>
        <w:rPr>
          <w:lang w:val="en-ID"/>
        </w:rPr>
      </w:pPr>
      <w:r w:rsidRPr="00F860EE">
        <w:rPr>
          <w:lang w:val="en-ID"/>
        </w:rPr>
        <w:t xml:space="preserve">The repeated occurrence of </w:t>
      </w:r>
      <w:proofErr w:type="spellStart"/>
      <w:r w:rsidRPr="00F860EE">
        <w:rPr>
          <w:lang w:val="en-ID"/>
        </w:rPr>
        <w:t>Zingiberaceae</w:t>
      </w:r>
      <w:proofErr w:type="spellEnd"/>
      <w:r w:rsidRPr="00F860EE">
        <w:rPr>
          <w:lang w:val="en-ID"/>
        </w:rPr>
        <w:t xml:space="preserve"> may be understood through the close relationship between rhizomatous plants and everyday community life. Rhizomes are relatively easy to store, replant, boil, grate, pound, dry, or combine with other ingredients. These characteristics allow a single plant to be incorporated into several forms of care without requiring complex processing technology. The use of rhizomes in oral preparations and external treatments has been documented among the Tanjung Pura Malay community </w:t>
      </w:r>
      <w:r w:rsidR="00265A1B">
        <w:rPr>
          <w:lang w:val="en-ID"/>
        </w:rPr>
        <w:fldChar w:fldCharType="begin" w:fldLock="1"/>
      </w:r>
      <w:r w:rsidR="00265A1B">
        <w:rPr>
          <w:lang w:val="en-ID"/>
        </w:rPr>
        <w:instrText>ADDIN CSL_CITATION {"citationItems":[{"id":"ITEM-1","itemData":{"DOI":"10.31289/jibioma.v1i1.1225","author":[{"dropping-particle":"","family":"Yustika","given":"B","non-dropping-particle":"","parse-names":false,"suffix":""},{"dropping-particle":"","family":"Nasution","given":"J","non-dropping-particle":"","parse-names":false,"suffix":""},{"dropping-particle":"","family":"Riyanto","given":"","non-dropping-particle":"","parse-names":false,"suffix":""}],"container-title":"Jurnal Ilmiah Biologi UMA","id":"ITEM-1","issue":"1","issued":{"date-parts":[["2022"]]},"page":"8-17","title":"Jenis tumbuhan obat yang dimanfaatkan untuk pasca melahirkan oleh etnis Melayu di Tanjung Pura Kabupaten Langkat, Sumatera Utara","type":"article-journal","volume":"4"},"uris":["http://www.mendeley.com/documents/?uuid=8c98f3de-6c8d-40be-98ab-533f4d4c0a5e"]}],"mendeley":{"formattedCitation":"(Yustika et al., 2022)","plainTextFormattedCitation":"(Yustika et al., 2022)","previouslyFormattedCitation":"(Yustika et al., 2022)"},"properties":{"noteIndex":0},"schema":"https://github.com/citation-style-language/schema/raw/master/csl-citation.json"}</w:instrText>
      </w:r>
      <w:r w:rsidR="00265A1B">
        <w:rPr>
          <w:lang w:val="en-ID"/>
        </w:rPr>
        <w:fldChar w:fldCharType="separate"/>
      </w:r>
      <w:r w:rsidR="00265A1B" w:rsidRPr="00265A1B">
        <w:rPr>
          <w:noProof/>
          <w:lang w:val="en-ID"/>
        </w:rPr>
        <w:t>(Yustika et al., 2022)</w:t>
      </w:r>
      <w:r w:rsidR="00265A1B">
        <w:rPr>
          <w:lang w:val="en-ID"/>
        </w:rPr>
        <w:fldChar w:fldCharType="end"/>
      </w:r>
      <w:r w:rsidRPr="00F860EE">
        <w:rPr>
          <w:lang w:val="en-ID"/>
        </w:rPr>
        <w:t xml:space="preserve">. Rhizomatous plants also occupy an important position in the herbal preparations of the Sawe Dayak community </w:t>
      </w:r>
      <w:r w:rsidR="00265A1B">
        <w:rPr>
          <w:lang w:val="en-ID"/>
        </w:rPr>
        <w:fldChar w:fldCharType="begin" w:fldLock="1"/>
      </w:r>
      <w:r w:rsidR="00265A1B">
        <w:rPr>
          <w:lang w:val="en-ID"/>
        </w:rPr>
        <w:instrText>ADDIN CSL_CITATION {"citationItems":[{"id":"ITEM-1","itemData":{"author":[{"dropping-particle":"","family":"Agata","given":"F","non-dropping-particle":"","parse-names":false,"suffix":""},{"dropping-particle":"","family":"Arbiastutie","given":"Y","non-dropping-particle":"","parse-names":false,"suffix":""},{"dropping-particle":"","family":"Wardenaar","given":"E","non-dropping-particle":"","parse-names":false,"suffix":""}],"container-title":"Jurnal Lingkungan Hutan Tropis","id":"ITEM-1","issue":"4","issued":{"date-parts":[["2022"]]},"page":"1177-1185","title":"Pemanfaatan tumbuhan obat ibu pasca persalinan di Desa Sekonau Kecamatan Sekadau Hulu Kabupaten Sekadau","type":"article-journal","volume":"1"},"uris":["http://www.mendeley.com/documents/?uuid=b1a9e28b-d154-434d-9d1f-00cb51f8c762"]}],"mendeley":{"formattedCitation":"(Agata et al., 2022)","plainTextFormattedCitation":"(Agata et al., 2022)","previouslyFormattedCitation":"(Agata et al., 2022)"},"properties":{"noteIndex":0},"schema":"https://github.com/citation-style-language/schema/raw/master/csl-citation.json"}</w:instrText>
      </w:r>
      <w:r w:rsidR="00265A1B">
        <w:rPr>
          <w:lang w:val="en-ID"/>
        </w:rPr>
        <w:fldChar w:fldCharType="separate"/>
      </w:r>
      <w:r w:rsidR="00265A1B" w:rsidRPr="00265A1B">
        <w:rPr>
          <w:noProof/>
          <w:lang w:val="en-ID"/>
        </w:rPr>
        <w:t>(Agata et al., 2022)</w:t>
      </w:r>
      <w:r w:rsidR="00265A1B">
        <w:rPr>
          <w:lang w:val="en-ID"/>
        </w:rPr>
        <w:fldChar w:fldCharType="end"/>
      </w:r>
      <w:r w:rsidRPr="00F860EE">
        <w:rPr>
          <w:lang w:val="en-ID"/>
        </w:rPr>
        <w:t xml:space="preserve">. A similar pattern has been identified in postpartum remedies used by the Madurese community of </w:t>
      </w:r>
      <w:proofErr w:type="spellStart"/>
      <w:r w:rsidRPr="00F860EE">
        <w:rPr>
          <w:lang w:val="en-ID"/>
        </w:rPr>
        <w:t>Pasean</w:t>
      </w:r>
      <w:proofErr w:type="spellEnd"/>
      <w:r w:rsidRPr="00F860EE">
        <w:rPr>
          <w:lang w:val="en-ID"/>
        </w:rPr>
        <w:t xml:space="preserve"> </w:t>
      </w:r>
      <w:r w:rsidR="00265A1B">
        <w:rPr>
          <w:lang w:val="en-ID"/>
        </w:rPr>
        <w:fldChar w:fldCharType="begin" w:fldLock="1"/>
      </w:r>
      <w:r w:rsidR="00265A1B">
        <w:rPr>
          <w:lang w:val="en-ID"/>
        </w:rPr>
        <w:instrText>ADDIN CSL_CITATION {"citationItems":[{"id":"ITEM-1","itemData":{"DOI":"10.18860/elha.v10i3.36427","author":[{"dropping-particle":"","family":"Minarno","given":"E B","non-dropping-particle":"","parse-names":false,"suffix":""},{"dropping-particle":"","family":"Rahmah","given":"Z","non-dropping-particle":"","parse-names":false,"suffix":""},{"dropping-particle":"","family":"Jannah","given":"S H","non-dropping-particle":"","parse-names":false,"suffix":""}],"container-title":"El-Hayah: Jurnal Biologi","id":"ITEM-1","issue":"3","issued":{"date-parts":[["2025"]]},"page":"152-166","title":"Ethnobotany of medicinal plants by the Pasean District community in Pamekasan Regency as components of postpartum herbal remedies","type":"article-journal","volume":"10"},"uris":["http://www.mendeley.com/documents/?uuid=0f8a0160-acb7-4565-83fb-4d4adeba6397"]}],"mendeley":{"formattedCitation":"(Minarno et al., 2025)","plainTextFormattedCitation":"(Minarno et al., 2025)","previouslyFormattedCitation":"(Minarno et al., 2025)"},"properties":{"noteIndex":0},"schema":"https://github.com/citation-style-language/schema/raw/master/csl-citation.json"}</w:instrText>
      </w:r>
      <w:r w:rsidR="00265A1B">
        <w:rPr>
          <w:lang w:val="en-ID"/>
        </w:rPr>
        <w:fldChar w:fldCharType="separate"/>
      </w:r>
      <w:r w:rsidR="00265A1B" w:rsidRPr="00265A1B">
        <w:rPr>
          <w:noProof/>
          <w:lang w:val="en-ID"/>
        </w:rPr>
        <w:t>(Minarno et al., 2025)</w:t>
      </w:r>
      <w:r w:rsidR="00265A1B">
        <w:rPr>
          <w:lang w:val="en-ID"/>
        </w:rPr>
        <w:fldChar w:fldCharType="end"/>
      </w:r>
      <w:r w:rsidRPr="00F860EE">
        <w:rPr>
          <w:lang w:val="en-ID"/>
        </w:rPr>
        <w:t>.</w:t>
      </w:r>
    </w:p>
    <w:p w14:paraId="7406A623" w14:textId="18CDD758" w:rsidR="00F860EE" w:rsidRPr="00F860EE" w:rsidRDefault="00F860EE" w:rsidP="00F860EE">
      <w:pPr>
        <w:ind w:firstLine="709"/>
        <w:jc w:val="both"/>
        <w:rPr>
          <w:lang w:val="en-ID"/>
        </w:rPr>
      </w:pPr>
      <w:r w:rsidRPr="00F860EE">
        <w:rPr>
          <w:lang w:val="en-ID"/>
        </w:rPr>
        <w:t xml:space="preserve">Species such as </w:t>
      </w:r>
      <w:r w:rsidRPr="00F860EE">
        <w:rPr>
          <w:i/>
          <w:iCs/>
          <w:lang w:val="en-ID"/>
        </w:rPr>
        <w:t>Curcuma longa</w:t>
      </w:r>
      <w:r w:rsidRPr="00F860EE">
        <w:rPr>
          <w:lang w:val="en-ID"/>
        </w:rPr>
        <w:t xml:space="preserve">, </w:t>
      </w:r>
      <w:r w:rsidRPr="00F860EE">
        <w:rPr>
          <w:i/>
          <w:iCs/>
          <w:lang w:val="en-ID"/>
        </w:rPr>
        <w:t xml:space="preserve">Curcuma </w:t>
      </w:r>
      <w:proofErr w:type="spellStart"/>
      <w:r w:rsidRPr="00F860EE">
        <w:rPr>
          <w:i/>
          <w:iCs/>
          <w:lang w:val="en-ID"/>
        </w:rPr>
        <w:t>zanthorrhiza</w:t>
      </w:r>
      <w:proofErr w:type="spellEnd"/>
      <w:r w:rsidRPr="00F860EE">
        <w:rPr>
          <w:lang w:val="en-ID"/>
        </w:rPr>
        <w:t xml:space="preserve">, </w:t>
      </w:r>
      <w:r w:rsidRPr="00F860EE">
        <w:rPr>
          <w:i/>
          <w:iCs/>
          <w:lang w:val="en-ID"/>
        </w:rPr>
        <w:t>Kaempferia galanga</w:t>
      </w:r>
      <w:r w:rsidRPr="00F860EE">
        <w:rPr>
          <w:lang w:val="en-ID"/>
        </w:rPr>
        <w:t xml:space="preserve">, and </w:t>
      </w:r>
      <w:r w:rsidRPr="00F860EE">
        <w:rPr>
          <w:i/>
          <w:iCs/>
          <w:lang w:val="en-ID"/>
        </w:rPr>
        <w:t>Zingiber officinale</w:t>
      </w:r>
      <w:r w:rsidRPr="00F860EE">
        <w:rPr>
          <w:lang w:val="en-ID"/>
        </w:rPr>
        <w:t xml:space="preserve"> may occur in both culinary and medicinal traditions. This dual role allows these plants to be understood not merely as medicines, but as part of a gradual process of caring for and restoring the body after childbirth. In certain communities, herbal preparations are intended not only to alleviate specific complaints but also to restore strength, warm the body, improve appetite, maintain hygiene, and provide comfort. The use of medicinal foods as part of maternal recovery has been documented among the Sundanese </w:t>
      </w:r>
      <w:proofErr w:type="spellStart"/>
      <w:r w:rsidRPr="00F860EE">
        <w:rPr>
          <w:lang w:val="en-ID"/>
        </w:rPr>
        <w:t>Kasepuhan</w:t>
      </w:r>
      <w:proofErr w:type="spellEnd"/>
      <w:r w:rsidRPr="00F860EE">
        <w:rPr>
          <w:lang w:val="en-ID"/>
        </w:rPr>
        <w:t xml:space="preserve"> community </w:t>
      </w:r>
      <w:r w:rsidR="00265A1B">
        <w:rPr>
          <w:lang w:val="en-ID"/>
        </w:rPr>
        <w:fldChar w:fldCharType="begin" w:fldLock="1"/>
      </w:r>
      <w:r w:rsidR="00265A1B">
        <w:rPr>
          <w:lang w:val="en-ID"/>
        </w:rPr>
        <w:instrText>ADDIN CSL_CITATION {"citationItems":[{"id":"ITEM-1","itemData":{"DOI":"10.13057/biodiv/d250204","author":[{"dropping-particle":"","family":"Mulyanto","given":"","non-dropping-particle":"","parse-names":false,"suffix":""},{"dropping-particle":"","family":"Gunawan","given":"R","non-dropping-particle":"","parse-names":false,"suffix":""},{"dropping-particle":"","family":"Zakaria","given":"S","non-dropping-particle":"","parse-names":false,"suffix":""},{"dropping-particle":"","family":"Iskandar","given":"J","non-dropping-particle":"","parse-names":false,"suffix":""},{"dropping-particle":"","family":"Noviyanti","given":"A R","non-dropping-particle":"","parse-names":false,"suffix":""},{"dropping-particle":"","family":"Iskandar","given":"B S","non-dropping-particle":"","parse-names":false,"suffix":""}],"container-title":"Biodiversitas","id":"ITEM-1","issue":"2","issued":{"date-parts":[["2024"]]},"page":"465-473","title":"Utilization of wild plants in medicinal foods for maternal postpartum recovery among the Kasepuhan in rural West Java, Indonesia","type":"article-journal","volume":"25"},"uris":["http://www.mendeley.com/documents/?uuid=4bc54fa5-b5da-497a-8f1c-b4ff715a7604"]}],"mendeley":{"formattedCitation":"(Mulyanto et al., 2024)","plainTextFormattedCitation":"(Mulyanto et al., 2024)","previouslyFormattedCitation":"(Mulyanto et al., 2024)"},"properties":{"noteIndex":0},"schema":"https://github.com/citation-style-language/schema/raw/master/csl-citation.json"}</w:instrText>
      </w:r>
      <w:r w:rsidR="00265A1B">
        <w:rPr>
          <w:lang w:val="en-ID"/>
        </w:rPr>
        <w:fldChar w:fldCharType="separate"/>
      </w:r>
      <w:r w:rsidR="00265A1B" w:rsidRPr="00265A1B">
        <w:rPr>
          <w:noProof/>
          <w:lang w:val="en-ID"/>
        </w:rPr>
        <w:t>(Mulyanto et al., 2024)</w:t>
      </w:r>
      <w:r w:rsidR="00265A1B">
        <w:rPr>
          <w:lang w:val="en-ID"/>
        </w:rPr>
        <w:fldChar w:fldCharType="end"/>
      </w:r>
      <w:r w:rsidRPr="00F860EE">
        <w:rPr>
          <w:lang w:val="en-ID"/>
        </w:rPr>
        <w:t>.</w:t>
      </w:r>
    </w:p>
    <w:p w14:paraId="3E2083DA" w14:textId="12AE1602" w:rsidR="00F860EE" w:rsidRPr="00F860EE" w:rsidRDefault="00F860EE" w:rsidP="00F860EE">
      <w:pPr>
        <w:ind w:firstLine="709"/>
        <w:jc w:val="both"/>
        <w:rPr>
          <w:lang w:val="en-ID"/>
        </w:rPr>
      </w:pPr>
      <w:r w:rsidRPr="00F860EE">
        <w:rPr>
          <w:lang w:val="en-ID"/>
        </w:rPr>
        <w:t xml:space="preserve">The relatively high representation of </w:t>
      </w:r>
      <w:proofErr w:type="spellStart"/>
      <w:r w:rsidRPr="00F860EE">
        <w:rPr>
          <w:lang w:val="en-ID"/>
        </w:rPr>
        <w:t>Zingiberaceae</w:t>
      </w:r>
      <w:proofErr w:type="spellEnd"/>
      <w:r w:rsidRPr="00F860EE">
        <w:rPr>
          <w:lang w:val="en-ID"/>
        </w:rPr>
        <w:t xml:space="preserve"> in several inventories does not necessarily mean that the family is the primary choice of all women within those communities. A high proportion may arise because an article reports only a small number of plant families, several of which belong to </w:t>
      </w:r>
      <w:proofErr w:type="spellStart"/>
      <w:r w:rsidRPr="00F860EE">
        <w:rPr>
          <w:lang w:val="en-ID"/>
        </w:rPr>
        <w:t>Zingiberaceae</w:t>
      </w:r>
      <w:proofErr w:type="spellEnd"/>
      <w:r w:rsidRPr="00F860EE">
        <w:rPr>
          <w:lang w:val="en-ID"/>
        </w:rPr>
        <w:t xml:space="preserve">. Conversely, an article containing a very extensive inventory may document a large absolute number of </w:t>
      </w:r>
      <w:proofErr w:type="spellStart"/>
      <w:r w:rsidRPr="00F860EE">
        <w:rPr>
          <w:lang w:val="en-ID"/>
        </w:rPr>
        <w:t>Zingiberaceae</w:t>
      </w:r>
      <w:proofErr w:type="spellEnd"/>
      <w:r w:rsidRPr="00F860EE">
        <w:rPr>
          <w:lang w:val="en-ID"/>
        </w:rPr>
        <w:t xml:space="preserve"> species, but their proportional representation may be smaller because the denominator includes numerous other families. This situation can be observed in the inventory of the </w:t>
      </w:r>
      <w:proofErr w:type="spellStart"/>
      <w:r w:rsidRPr="00F860EE">
        <w:rPr>
          <w:lang w:val="en-ID"/>
        </w:rPr>
        <w:t>Bangkalan</w:t>
      </w:r>
      <w:proofErr w:type="spellEnd"/>
      <w:r w:rsidRPr="00F860EE">
        <w:rPr>
          <w:lang w:val="en-ID"/>
        </w:rPr>
        <w:t xml:space="preserve"> Madurese community, which documented a substantially larger number of species than most other studies </w:t>
      </w:r>
      <w:r w:rsidR="00265A1B">
        <w:rPr>
          <w:lang w:val="en-ID"/>
        </w:rPr>
        <w:fldChar w:fldCharType="begin" w:fldLock="1"/>
      </w:r>
      <w:r w:rsidR="00265A1B">
        <w:rPr>
          <w:lang w:val="en-ID"/>
        </w:rPr>
        <w:instrText>ADDIN CSL_CITATION {"citationItems":[{"id":"ITEM-1","itemData":{"DOI":"10.37506/ijfmt.v15i3.15960","author":[{"dropping-particle":"","family":"Muslichah","given":"S","non-dropping-particle":"","parse-names":false,"suffix":""},{"dropping-particle":"","family":"Azrianingsih","given":"R","non-dropping-particle":"","parse-names":false,"suffix":""},{"dropping-particle":"","family":"Indriyani","given":"S","non-dropping-particle":"","parse-names":false,"suffix":""},{"dropping-particle":"","family":"Arumingtyas","given":"E L","non-dropping-particle":"","parse-names":false,"suffix":""}],"container-title":"Indian Journal of Forensic Medicine &amp; Toxicology","id":"ITEM-1","issue":"3","issued":{"date-parts":[["2021"]]},"page":"4247-4255","title":"Ethnobotanical study of postnatal medicinal plants in the ethnic Madurese in Bangkalan Regency, East Java, Indonesia","type":"article-journal","volume":"15"},"uris":["http://www.mendeley.com/documents/?uuid=4e955fd4-d7d1-4859-b500-2ff2e0a2fc35"]}],"mendeley":{"formattedCitation":"(Muslichah et al., 2021)","plainTextFormattedCitation":"(Muslichah et al., 2021)","previouslyFormattedCitation":"(Muslichah et al., 2021)"},"properties":{"noteIndex":0},"schema":"https://github.com/citation-style-language/schema/raw/master/csl-citation.json"}</w:instrText>
      </w:r>
      <w:r w:rsidR="00265A1B">
        <w:rPr>
          <w:lang w:val="en-ID"/>
        </w:rPr>
        <w:fldChar w:fldCharType="separate"/>
      </w:r>
      <w:r w:rsidR="00265A1B" w:rsidRPr="00265A1B">
        <w:rPr>
          <w:noProof/>
          <w:lang w:val="en-ID"/>
        </w:rPr>
        <w:t>(Muslichah et al., 2021)</w:t>
      </w:r>
      <w:r w:rsidR="00265A1B">
        <w:rPr>
          <w:lang w:val="en-ID"/>
        </w:rPr>
        <w:fldChar w:fldCharType="end"/>
      </w:r>
      <w:r w:rsidRPr="00F860EE">
        <w:rPr>
          <w:lang w:val="en-ID"/>
        </w:rPr>
        <w:t xml:space="preserve">. Biologically, several </w:t>
      </w:r>
      <w:proofErr w:type="spellStart"/>
      <w:r w:rsidRPr="00F860EE">
        <w:rPr>
          <w:lang w:val="en-ID"/>
        </w:rPr>
        <w:t>Zingiberaceae</w:t>
      </w:r>
      <w:proofErr w:type="spellEnd"/>
      <w:r w:rsidRPr="00F860EE">
        <w:rPr>
          <w:lang w:val="en-ID"/>
        </w:rPr>
        <w:t xml:space="preserve"> species contain phenolic compounds, essential oils, gingerols, shogaols, curcuminoids, and terpenoids. These compounds have been investigated in pharmacological studies, but laboratory findings cannot be directly equated with the effectiveness of postpartum preparations used in everyday life. The concentration and activity of bioactive constituents may vary according to the species, plant part, dose, preparation method, ingredient combination, and storage duration. Pharmacological evidence regarding </w:t>
      </w:r>
      <w:r w:rsidRPr="00F860EE">
        <w:rPr>
          <w:i/>
          <w:iCs/>
          <w:lang w:val="en-ID"/>
        </w:rPr>
        <w:t>Curcuma longa</w:t>
      </w:r>
      <w:r w:rsidRPr="00F860EE">
        <w:rPr>
          <w:lang w:val="en-ID"/>
        </w:rPr>
        <w:t xml:space="preserve"> indicates a broad range of biological potential, but its application still requires clinical verification appropriate to the population and formulation being used </w:t>
      </w:r>
      <w:r w:rsidR="00265A1B">
        <w:rPr>
          <w:lang w:val="en-ID"/>
        </w:rPr>
        <w:fldChar w:fldCharType="begin" w:fldLock="1"/>
      </w:r>
      <w:r w:rsidR="00265A1B">
        <w:rPr>
          <w:lang w:val="en-ID"/>
        </w:rPr>
        <w:instrText>ADDIN CSL_CITATION {"citationItems":[{"id":"ITEM-1","itemData":{"DOI":"10.3389/fphar.2022.820806","author":[{"dropping-particle":"","family":"Fuloria","given":"S","non-dropping-particle":"","parse-names":false,"suffix":""},{"dropping-particle":"","family":"Mehta","given":"J","non-dropping-particle":"","parse-names":false,"suffix":""},{"dropping-particle":"","family":"Chandel","given":"A","non-dropping-particle":"","parse-names":false,"suffix":""},{"dropping-particle":"","family":"Sekar","given":"M","non-dropping-particle":"","parse-names":false,"suffix":""},{"dropping-particle":"","family":"Rani","given":"N N I M","non-dropping-particle":"","parse-names":false,"suffix":""},{"dropping-particle":"","family":"Begum","given":"M Y","non-dropping-particle":"","parse-names":false,"suffix":""},{"dropping-particle":"","family":"Subramaniyan","given":"V","non-dropping-particle":"","parse-names":false,"suffix":""},{"dropping-particle":"","family":"Chidambaram","given":"K","non-dropping-particle":"","parse-names":false,"suffix":""},{"dropping-particle":"","family":"Thangavelu","given":"L","non-dropping-particle":"","parse-names":false,"suffix":""},{"dropping-particle":"","family":"Nordin","given":"R","non-dropping-particle":"","parse-names":false,"suffix":""},{"dropping-particle":"","family":"Wu","given":"Y S","non-dropping-particle":"","parse-names":false,"suffix":""},{"dropping-particle":"V","family":"Sathasivam","given":"K","non-dropping-particle":"","parse-names":false,"suffix":""},{"dropping-particle":"","family":"Lum","given":"P T","non-dropping-particle":"","parse-names":false,"suffix":""},{"dropping-particle":"","family":"Meenakshi","given":"D U","non-dropping-particle":"","parse-names":false,"suffix":""},{"dropping-particle":"","family":"Kumarasamy","given":"V","non-dropping-particle":"","parse-names":false,"suffix":""},{"dropping-particle":"","family":"Azad","given":"A K","non-dropping-particle":"","parse-names":false,"suffix":""},{"dropping-particle":"","family":"Fuloria","given":"N K","non-dropping-particle":"","parse-names":false,"suffix":""}],"container-title":"Frontiers in Pharmacology","id":"ITEM-1","issued":{"date-parts":[["2022"]]},"page":"820806","title":"A comprehensive review on the therapeutic potential of Curcuma longa Linn. in relation to its major active constituent curcumin","type":"article-journal","volume":"13"},"uris":["http://www.mendeley.com/documents/?uuid=8b52dd3e-7509-41af-9be4-d650f5b74aa3"]}],"mendeley":{"formattedCitation":"(Fuloria et al., 2022)","plainTextFormattedCitation":"(Fuloria et al., 2022)","previouslyFormattedCitation":"(Fuloria et al., 2022)"},"properties":{"noteIndex":0},"schema":"https://github.com/citation-style-language/schema/raw/master/csl-citation.json"}</w:instrText>
      </w:r>
      <w:r w:rsidR="00265A1B">
        <w:rPr>
          <w:lang w:val="en-ID"/>
        </w:rPr>
        <w:fldChar w:fldCharType="separate"/>
      </w:r>
      <w:r w:rsidR="00265A1B" w:rsidRPr="00265A1B">
        <w:rPr>
          <w:noProof/>
          <w:lang w:val="en-ID"/>
        </w:rPr>
        <w:t>(Fuloria et al., 2022)</w:t>
      </w:r>
      <w:r w:rsidR="00265A1B">
        <w:rPr>
          <w:lang w:val="en-ID"/>
        </w:rPr>
        <w:fldChar w:fldCharType="end"/>
      </w:r>
      <w:r w:rsidRPr="00F860EE">
        <w:rPr>
          <w:lang w:val="en-ID"/>
        </w:rPr>
        <w:t>.</w:t>
      </w:r>
    </w:p>
    <w:p w14:paraId="21873245" w14:textId="49E94808" w:rsidR="007A0911" w:rsidRPr="007A0911" w:rsidRDefault="00F860EE" w:rsidP="00F860EE">
      <w:pPr>
        <w:jc w:val="both"/>
        <w:rPr>
          <w:b/>
          <w:bCs/>
        </w:rPr>
      </w:pPr>
      <w:r w:rsidRPr="00F860EE">
        <w:rPr>
          <w:b/>
          <w:bCs/>
        </w:rPr>
        <w:t>Local Traditions and Environmental Conditions Shape Plant Selection</w:t>
      </w:r>
    </w:p>
    <w:p w14:paraId="43AB2B7A" w14:textId="6A8E3461" w:rsidR="00F860EE" w:rsidRPr="00F860EE" w:rsidRDefault="00F860EE" w:rsidP="00F860EE">
      <w:pPr>
        <w:ind w:firstLine="709"/>
        <w:jc w:val="both"/>
        <w:rPr>
          <w:lang w:val="en-ID"/>
        </w:rPr>
      </w:pPr>
      <w:r w:rsidRPr="00F860EE">
        <w:rPr>
          <w:lang w:val="en-ID"/>
        </w:rPr>
        <w:t xml:space="preserve">Variation in the use of postpartum plants is not determined solely by the plant species available. Community understandings of the postpartum body also shape the selection of ingredients, preparation methods, and timing of use. In one community, care may focus on warming the body, restoring stamina, facilitating the discharge of postpartum blood, maintaining reproductive-organ hygiene, or supporting </w:t>
      </w:r>
      <w:r w:rsidRPr="00F860EE">
        <w:rPr>
          <w:lang w:val="en-ID"/>
        </w:rPr>
        <w:lastRenderedPageBreak/>
        <w:t xml:space="preserve">breast milk production. In another community, greater emphasis may be placed on dietary practices, herbal bathing, topical applications, or protecting the body from cold sensations. The same species may serve different purposes in different communities. A plant consumed as an oral preparation in one region may be used as a bathing ingredient or topical body rub in another. These differences indicate that the meaning of a plant is not inherent in the species alone, but is constructed through the experiences, cultural values, and care practices associated with it. Diverse relationships among species, preparation forms, and maternal purposes have been reported among Sundanese communities in Bandung </w:t>
      </w:r>
      <w:r w:rsidR="00265A1B">
        <w:rPr>
          <w:lang w:val="en-ID"/>
        </w:rPr>
        <w:fldChar w:fldCharType="begin" w:fldLock="1"/>
      </w:r>
      <w:r w:rsidR="00265A1B">
        <w:rPr>
          <w:lang w:val="en-ID"/>
        </w:rPr>
        <w:instrText>ADDIN CSL_CITATION {"citationItems":[{"id":"ITEM-1","itemData":{"DOI":"10.13057/biodiv/d240656","author":[{"dropping-particle":"","family":"Oktavia","given":"D","non-dropping-particle":"","parse-names":false,"suffix":""},{"dropping-particle":"","family":"Adnani","given":"Q E S","non-dropping-particle":"","parse-names":false,"suffix":""},{"dropping-particle":"","family":"Gumilang","given":"L","non-dropping-particle":"","parse-names":false,"suffix":""},{"dropping-particle":"","family":"Novianti","given":"E","non-dropping-particle":"","parse-names":false,"suffix":""},{"dropping-particle":"","family":"Sunardi","given":"","non-dropping-particle":"","parse-names":false,"suffix":""}],"container-title":"Biodiversitas","id":"ITEM-1","issue":"6","issued":{"date-parts":[["2023"]]},"page":"3568-3573","title":"Plants used by Sundanese mothers for maternal care in a rural village in Bandung District, West Java, Indonesia","type":"article-journal","volume":"24"},"uris":["http://www.mendeley.com/documents/?uuid=f9a9b20a-86c0-4897-a6b1-e98232c6b3f2"]}],"mendeley":{"formattedCitation":"(Oktavia et al., 2023)","plainTextFormattedCitation":"(Oktavia et al., 2023)","previouslyFormattedCitation":"(Oktavia et al., 2023)"},"properties":{"noteIndex":0},"schema":"https://github.com/citation-style-language/schema/raw/master/csl-citation.json"}</w:instrText>
      </w:r>
      <w:r w:rsidR="00265A1B">
        <w:rPr>
          <w:lang w:val="en-ID"/>
        </w:rPr>
        <w:fldChar w:fldCharType="separate"/>
      </w:r>
      <w:r w:rsidR="00265A1B" w:rsidRPr="00265A1B">
        <w:rPr>
          <w:noProof/>
          <w:lang w:val="en-ID"/>
        </w:rPr>
        <w:t>(Oktavia et al., 2023)</w:t>
      </w:r>
      <w:r w:rsidR="00265A1B">
        <w:rPr>
          <w:lang w:val="en-ID"/>
        </w:rPr>
        <w:fldChar w:fldCharType="end"/>
      </w:r>
      <w:r w:rsidRPr="00F860EE">
        <w:rPr>
          <w:lang w:val="en-ID"/>
        </w:rPr>
        <w:t xml:space="preserve">. The use of plants associated with the stages of pregnancy, childbirth, and the postpartum period has also been documented among Minangkabau communities </w:t>
      </w:r>
      <w:r w:rsidR="00265A1B">
        <w:rPr>
          <w:lang w:val="en-ID"/>
        </w:rPr>
        <w:fldChar w:fldCharType="begin" w:fldLock="1"/>
      </w:r>
      <w:r w:rsidR="00265A1B">
        <w:rPr>
          <w:lang w:val="en-ID"/>
        </w:rPr>
        <w:instrText>ADDIN CSL_CITATION {"citationItems":[{"id":"ITEM-1","itemData":{"DOI":"10.13057/biodiv/d211018","author":[{"dropping-particle":"","family":"Silalahi","given":"M","non-dropping-particle":"","parse-names":false,"suffix":""},{"dropping-particle":"","family":"Khairiah","given":"A","non-dropping-particle":"","parse-names":false,"suffix":""},{"dropping-particle":"","family":"Nisyawati","given":"","non-dropping-particle":"","parse-names":false,"suffix":""}],"container-title":"Biodiversitas","id":"ITEM-1","issue":"10","issued":{"date-parts":[["2020"]]},"page":"4597-4605","title":"Ethnomedicinal plants and practices related to pregnancy, childbirth, and postpartum healthcare of Minangkabau ethnic group, West Sumatra, Indonesia","type":"article-journal","volume":"21"},"uris":["http://www.mendeley.com/documents/?uuid=bf19d1ad-66f5-4ed7-9a46-421f86df6e34"]}],"mendeley":{"formattedCitation":"(Silalahi et al., 2020)","plainTextFormattedCitation":"(Silalahi et al., 2020)","previouslyFormattedCitation":"(Silalahi et al., 2020)"},"properties":{"noteIndex":0},"schema":"https://github.com/citation-style-language/schema/raw/master/csl-citation.json"}</w:instrText>
      </w:r>
      <w:r w:rsidR="00265A1B">
        <w:rPr>
          <w:lang w:val="en-ID"/>
        </w:rPr>
        <w:fldChar w:fldCharType="separate"/>
      </w:r>
      <w:r w:rsidR="00265A1B" w:rsidRPr="00265A1B">
        <w:rPr>
          <w:noProof/>
          <w:lang w:val="en-ID"/>
        </w:rPr>
        <w:t>(Silalahi et al., 2020)</w:t>
      </w:r>
      <w:r w:rsidR="00265A1B">
        <w:rPr>
          <w:lang w:val="en-ID"/>
        </w:rPr>
        <w:fldChar w:fldCharType="end"/>
      </w:r>
      <w:r w:rsidRPr="00F860EE">
        <w:rPr>
          <w:lang w:val="en-ID"/>
        </w:rPr>
        <w:t>.</w:t>
      </w:r>
    </w:p>
    <w:p w14:paraId="18AFB459" w14:textId="187AE12B" w:rsidR="00F860EE" w:rsidRPr="00F860EE" w:rsidRDefault="00F860EE" w:rsidP="00F860EE">
      <w:pPr>
        <w:ind w:firstLine="709"/>
        <w:jc w:val="both"/>
        <w:rPr>
          <w:lang w:val="en-ID"/>
        </w:rPr>
      </w:pPr>
      <w:r w:rsidRPr="00F860EE">
        <w:rPr>
          <w:lang w:val="en-ID"/>
        </w:rPr>
        <w:t xml:space="preserve">The residential environment also influences which plants are known and used. Communities located near forests or mixed gardens may have greater access to wild and semi-cultivated plants. Communities connected to markets or local trading networks may rely more heavily on readily obtainable spices. Research among </w:t>
      </w:r>
      <w:proofErr w:type="spellStart"/>
      <w:r w:rsidRPr="00F860EE">
        <w:rPr>
          <w:lang w:val="en-ID"/>
        </w:rPr>
        <w:t>Kasepuhan</w:t>
      </w:r>
      <w:proofErr w:type="spellEnd"/>
      <w:r w:rsidRPr="00F860EE">
        <w:rPr>
          <w:lang w:val="en-ID"/>
        </w:rPr>
        <w:t xml:space="preserve"> communities shows that wild plants continue to play a role in restorative foods for mothers after childbirth </w:t>
      </w:r>
      <w:r w:rsidR="00265A1B">
        <w:rPr>
          <w:lang w:val="en-ID"/>
        </w:rPr>
        <w:fldChar w:fldCharType="begin" w:fldLock="1"/>
      </w:r>
      <w:r w:rsidR="00265A1B">
        <w:rPr>
          <w:lang w:val="en-ID"/>
        </w:rPr>
        <w:instrText>ADDIN CSL_CITATION {"citationItems":[{"id":"ITEM-1","itemData":{"DOI":"10.13057/biodiv/d250204","author":[{"dropping-particle":"","family":"Mulyanto","given":"","non-dropping-particle":"","parse-names":false,"suffix":""},{"dropping-particle":"","family":"Gunawan","given":"R","non-dropping-particle":"","parse-names":false,"suffix":""},{"dropping-particle":"","family":"Zakaria","given":"S","non-dropping-particle":"","parse-names":false,"suffix":""},{"dropping-particle":"","family":"Iskandar","given":"J","non-dropping-particle":"","parse-names":false,"suffix":""},{"dropping-particle":"","family":"Noviyanti","given":"A R","non-dropping-particle":"","parse-names":false,"suffix":""},{"dropping-particle":"","family":"Iskandar","given":"B S","non-dropping-particle":"","parse-names":false,"suffix":""}],"container-title":"Biodiversitas","id":"ITEM-1","issue":"2","issued":{"date-parts":[["2024"]]},"page":"465-473","title":"Utilization of wild plants in medicinal foods for maternal postpartum recovery among the Kasepuhan in rural West Java, Indonesia","type":"article-journal","volume":"25"},"uris":["http://www.mendeley.com/documents/?uuid=4bc54fa5-b5da-497a-8f1c-b4ff715a7604"]}],"mendeley":{"formattedCitation":"(Mulyanto et al., 2024)","plainTextFormattedCitation":"(Mulyanto et al., 2024)","previouslyFormattedCitation":"(Mulyanto et al., 2024)"},"properties":{"noteIndex":0},"schema":"https://github.com/citation-style-language/schema/raw/master/csl-citation.json"}</w:instrText>
      </w:r>
      <w:r w:rsidR="00265A1B">
        <w:rPr>
          <w:lang w:val="en-ID"/>
        </w:rPr>
        <w:fldChar w:fldCharType="separate"/>
      </w:r>
      <w:r w:rsidR="00265A1B" w:rsidRPr="00265A1B">
        <w:rPr>
          <w:noProof/>
          <w:lang w:val="en-ID"/>
        </w:rPr>
        <w:t>(Mulyanto et al., 2024)</w:t>
      </w:r>
      <w:r w:rsidR="00265A1B">
        <w:rPr>
          <w:lang w:val="en-ID"/>
        </w:rPr>
        <w:fldChar w:fldCharType="end"/>
      </w:r>
      <w:r w:rsidRPr="00F860EE">
        <w:rPr>
          <w:lang w:val="en-ID"/>
        </w:rPr>
        <w:t xml:space="preserve">. By contrast, inventories from Madurese communities demonstrate the use of various ingredients that are also widely recognized as kitchen spices or home-garden plants </w:t>
      </w:r>
      <w:r w:rsidR="00265A1B">
        <w:rPr>
          <w:lang w:val="en-ID"/>
        </w:rPr>
        <w:fldChar w:fldCharType="begin" w:fldLock="1"/>
      </w:r>
      <w:r w:rsidR="00265A1B">
        <w:rPr>
          <w:lang w:val="en-ID"/>
        </w:rPr>
        <w:instrText>ADDIN CSL_CITATION {"citationItems":[{"id":"ITEM-1","itemData":{"DOI":"10.58794/jfarm.v1i1.488","author":[{"dropping-particle":"","family":"Azizah","given":"K N","non-dropping-particle":"","parse-names":false,"suffix":""},{"dropping-particle":"","family":"Asta","given":"R A","non-dropping-particle":"","parse-names":false,"suffix":""},{"dropping-particle":"","family":"Arifianto","given":"R","non-dropping-particle":"","parse-names":false,"suffix":""},{"dropping-particle":"","family":"Fa'jri","given":"Y D","non-dropping-particle":"","parse-names":false,"suffix":""},{"dropping-particle":"","family":"Angelia","given":"C","non-dropping-particle":"","parse-names":false,"suffix":""},{"dropping-particle":"","family":"Natalie","given":"R","non-dropping-particle":"","parse-names":false,"suffix":""},{"dropping-particle":"","family":"Choiron","given":"D S","non-dropping-particle":"","parse-names":false,"suffix":""},{"dropping-particle":"","family":"Dewi","given":"H K","non-dropping-particle":"","parse-names":false,"suffix":""},{"dropping-particle":"","family":"Yaumil A.","given":"Q M","non-dropping-particle":"","parse-names":false,"suffix":""},{"dropping-particle":"","family":"Apsari G.","given":"Z P","non-dropping-particle":"","parse-names":false,"suffix":""},{"dropping-particle":"","family":"Najlaa","given":"F A","non-dropping-particle":"","parse-names":false,"suffix":""}],"container-title":"JFARM: Jurnal Farmasi","id":"ITEM-1","issue":"1","issued":{"date-parts":[["2023"]]},"page":"19-29","title":"Ramuan tradisional pasca melahirkan Suku Madura di wilayah Kabupaten Pamekasan","type":"article-journal","volume":"1"},"uris":["http://www.mendeley.com/documents/?uuid=8dbc2322-af38-4d69-af0c-b8723a557100"]}],"mendeley":{"formattedCitation":"(Azizah et al., 2023)","plainTextFormattedCitation":"(Azizah et al., 2023)","previouslyFormattedCitation":"(Azizah et al., 2023)"},"properties":{"noteIndex":0},"schema":"https://github.com/citation-style-language/schema/raw/master/csl-citation.json"}</w:instrText>
      </w:r>
      <w:r w:rsidR="00265A1B">
        <w:rPr>
          <w:lang w:val="en-ID"/>
        </w:rPr>
        <w:fldChar w:fldCharType="separate"/>
      </w:r>
      <w:r w:rsidR="00265A1B" w:rsidRPr="00265A1B">
        <w:rPr>
          <w:noProof/>
          <w:lang w:val="en-ID"/>
        </w:rPr>
        <w:t>(Azizah et al., 2023)</w:t>
      </w:r>
      <w:r w:rsidR="00265A1B">
        <w:rPr>
          <w:lang w:val="en-ID"/>
        </w:rPr>
        <w:fldChar w:fldCharType="end"/>
      </w:r>
      <w:r w:rsidRPr="00F860EE">
        <w:rPr>
          <w:lang w:val="en-ID"/>
        </w:rPr>
        <w:t>.</w:t>
      </w:r>
    </w:p>
    <w:p w14:paraId="27A689AF" w14:textId="28A43EE6" w:rsidR="00F860EE" w:rsidRPr="00F860EE" w:rsidRDefault="00F860EE" w:rsidP="00F860EE">
      <w:pPr>
        <w:ind w:firstLine="709"/>
        <w:jc w:val="both"/>
        <w:rPr>
          <w:lang w:val="en-ID"/>
        </w:rPr>
      </w:pPr>
      <w:r w:rsidRPr="00F860EE">
        <w:rPr>
          <w:lang w:val="en-ID"/>
        </w:rPr>
        <w:t xml:space="preserve">Community familiarity with plants is also influenced by the holders of traditional knowledge. Traditional birth attendants, healers, herbal practitioners, experienced mothers, and family members do not necessarily possess the same repertoires of knowledge. </w:t>
      </w:r>
      <w:proofErr w:type="gramStart"/>
      <w:r w:rsidRPr="00F860EE">
        <w:rPr>
          <w:lang w:val="en-ID"/>
        </w:rPr>
        <w:t>A</w:t>
      </w:r>
      <w:proofErr w:type="gramEnd"/>
      <w:r w:rsidRPr="00F860EE">
        <w:rPr>
          <w:lang w:val="en-ID"/>
        </w:rPr>
        <w:t xml:space="preserve"> herbal practitioner may understand complex formulations, whereas a mother may be more familiar with ingredients that are readily available and commonly used in daily life. Ethnobotanical documentation should therefore preserve the relationships among plants, users, purposes of use, and cultural contexts. Local knowledge should not be reduced to a list of species names without considering who provides care, who uses the plants, and how the knowledge is transmitted. Recognition of the value of community knowledge can strengthen conservation while promoting fairness in the use of biological resources </w:t>
      </w:r>
      <w:r w:rsidR="00265A1B">
        <w:rPr>
          <w:lang w:val="en-ID"/>
        </w:rPr>
        <w:fldChar w:fldCharType="begin" w:fldLock="1"/>
      </w:r>
      <w:r w:rsidR="00265A1B">
        <w:rPr>
          <w:lang w:val="en-ID"/>
        </w:rPr>
        <w:instrText>ADDIN CSL_CITATION {"citationItems":[{"id":"ITEM-1","itemData":{"DOI":"10.1080/15592324.2024.2439255","author":[{"dropping-particle":"","family":"Alum","given":"Emmanuel U","non-dropping-particle":"","parse-names":false,"suffix":""}],"container-title":"Plant Signaling &amp; Behavior","id":"ITEM-1","issue":"1","issued":{"date-parts":[["2024"]]},"page":"2439255","title":"The role of indigenous knowledge in advancing the therapeutic use of medicinal plants: Challenges and opportunities","type":"article-journal","volume":"19"},"uris":["http://www.mendeley.com/documents/?uuid=6b0b4d62-32f0-4a5f-8902-cbb19bf940d1"]}],"mendeley":{"formattedCitation":"(Alum, 2024)","plainTextFormattedCitation":"(Alum, 2024)","previouslyFormattedCitation":"(Alum, 2024)"},"properties":{"noteIndex":0},"schema":"https://github.com/citation-style-language/schema/raw/master/csl-citation.json"}</w:instrText>
      </w:r>
      <w:r w:rsidR="00265A1B">
        <w:rPr>
          <w:lang w:val="en-ID"/>
        </w:rPr>
        <w:fldChar w:fldCharType="separate"/>
      </w:r>
      <w:r w:rsidR="00265A1B" w:rsidRPr="00265A1B">
        <w:rPr>
          <w:noProof/>
          <w:lang w:val="en-ID"/>
        </w:rPr>
        <w:t>(Alum, 2024)</w:t>
      </w:r>
      <w:r w:rsidR="00265A1B">
        <w:rPr>
          <w:lang w:val="en-ID"/>
        </w:rPr>
        <w:fldChar w:fldCharType="end"/>
      </w:r>
      <w:r w:rsidRPr="00F860EE">
        <w:rPr>
          <w:lang w:val="en-ID"/>
        </w:rPr>
        <w:t>.</w:t>
      </w:r>
    </w:p>
    <w:p w14:paraId="248AA38B" w14:textId="5527F9A9" w:rsidR="007A0911" w:rsidRPr="007A0911" w:rsidRDefault="00F860EE" w:rsidP="00F860EE">
      <w:pPr>
        <w:jc w:val="both"/>
        <w:rPr>
          <w:b/>
          <w:bCs/>
        </w:rPr>
      </w:pPr>
      <w:r w:rsidRPr="00F860EE">
        <w:rPr>
          <w:b/>
          <w:bCs/>
        </w:rPr>
        <w:t>Differences Between Inventories Also Reflect Differences in Research Methods</w:t>
      </w:r>
    </w:p>
    <w:p w14:paraId="0E571DFD" w14:textId="0D95F06C" w:rsidR="00DE20B0" w:rsidRPr="00DE20B0" w:rsidRDefault="00DE20B0" w:rsidP="00DE20B0">
      <w:pPr>
        <w:ind w:firstLine="709"/>
        <w:jc w:val="both"/>
        <w:rPr>
          <w:lang w:val="en-ID"/>
        </w:rPr>
      </w:pPr>
      <w:r w:rsidRPr="00DE20B0">
        <w:rPr>
          <w:lang w:val="en-ID"/>
        </w:rPr>
        <w:t xml:space="preserve">The number of species reported in each article cannot be directly used to determine which community possesses the richest body of knowledge. Plant inventories are strongly influenced by the number and type of informants, geographical coverage, research duration, interviewing techniques, and the accuracy of botanical identification. Studies involving a large number of respondents may capture greater variation in plant use than studies involving only a few key informants. The Sawe Dayak study involved a relatively large number of respondents and was therefore able to capture a broader range of usage experiences </w:t>
      </w:r>
      <w:r w:rsidR="00265A1B">
        <w:rPr>
          <w:lang w:val="en-ID"/>
        </w:rPr>
        <w:fldChar w:fldCharType="begin" w:fldLock="1"/>
      </w:r>
      <w:r w:rsidR="00265A1B">
        <w:rPr>
          <w:lang w:val="en-ID"/>
        </w:rPr>
        <w:instrText>ADDIN CSL_CITATION {"citationItems":[{"id":"ITEM-1","itemData":{"author":[{"dropping-particle":"","family":"Agata","given":"F","non-dropping-particle":"","parse-names":false,"suffix":""},{"dropping-particle":"","family":"Arbiastutie","given":"Y","non-dropping-particle":"","parse-names":false,"suffix":""},{"dropping-particle":"","family":"Wardenaar","given":"E","non-dropping-particle":"","parse-names":false,"suffix":""}],"container-title":"Jurnal Lingkungan Hutan Tropis","id":"ITEM-1","issue":"4","issued":{"date-parts":[["2022"]]},"page":"1177-1185","title":"Pemanfaatan tumbuhan obat ibu pasca persalinan di Desa Sekonau Kecamatan Sekadau Hulu Kabupaten Sekadau","type":"article-journal","volume":"1"},"uris":["http://www.mendeley.com/documents/?uuid=b1a9e28b-d154-434d-9d1f-00cb51f8c762"]}],"mendeley":{"formattedCitation":"(Agata et al., 2022)","plainTextFormattedCitation":"(Agata et al., 2022)","previouslyFormattedCitation":"(Agata et al., 2022)"},"properties":{"noteIndex":0},"schema":"https://github.com/citation-style-language/schema/raw/master/csl-citation.json"}</w:instrText>
      </w:r>
      <w:r w:rsidR="00265A1B">
        <w:rPr>
          <w:lang w:val="en-ID"/>
        </w:rPr>
        <w:fldChar w:fldCharType="separate"/>
      </w:r>
      <w:r w:rsidR="00265A1B" w:rsidRPr="00265A1B">
        <w:rPr>
          <w:noProof/>
          <w:lang w:val="en-ID"/>
        </w:rPr>
        <w:t>(Agata et al., 2022)</w:t>
      </w:r>
      <w:r w:rsidR="00265A1B">
        <w:rPr>
          <w:lang w:val="en-ID"/>
        </w:rPr>
        <w:fldChar w:fldCharType="end"/>
      </w:r>
      <w:r w:rsidRPr="00DE20B0">
        <w:rPr>
          <w:lang w:val="en-ID"/>
        </w:rPr>
        <w:t xml:space="preserve">. By contrast, the Kalis Dayak study involved three key informants, meaning that its findings more closely represent the specialized knowledge of traditional authorities than patterns of use across a broader population </w:t>
      </w:r>
      <w:r w:rsidR="00265A1B">
        <w:rPr>
          <w:lang w:val="en-ID"/>
        </w:rPr>
        <w:fldChar w:fldCharType="begin" w:fldLock="1"/>
      </w:r>
      <w:r w:rsidR="00265A1B">
        <w:rPr>
          <w:lang w:val="en-ID"/>
        </w:rPr>
        <w:instrText>ADDIN CSL_CITATION {"citationItems":[{"id":"ITEM-1","itemData":{"DOI":"10.13057/biodiv/d261203","author":[{"dropping-particle":"","family":"Panjaitan","given":"R G P","non-dropping-particle":"","parse-names":false,"suffix":""},{"dropping-particle":"","family":"Sandra","given":"K M","non-dropping-particle":"","parse-names":false,"suffix":""},{"dropping-particle":"","family":"Wahyuni","given":"E S","non-dropping-particle":"","parse-names":false,"suffix":""},{"dropping-particle":"","family":"Karmadi","given":"R M D","non-dropping-particle":"","parse-names":false,"suffix":""},{"dropping-particle":"","family":"Ningsih","given":"K","non-dropping-particle":"","parse-names":false,"suffix":""},{"dropping-particle":"","family":"Titin","given":"","non-dropping-particle":"","parse-names":false,"suffix":""},{"dropping-particle":"","family":"Harsono","given":"T","non-dropping-particle":"","parse-names":false,"suffix":""},{"dropping-particle":"","family":"Ali","given":"S S","non-dropping-particle":"","parse-names":false,"suffix":""}],"container-title":"Biodiversitas","id":"ITEM-1","issue":"12","issued":{"date-parts":[["2025"]]},"page":"5989-5999","title":"Ethnobotanical study of postpartum medicinal plants used by the Dayak Kalis in Nanga Danau, West Kalimantan, Indonesia","type":"article-journal","volume":"26"},"uris":["http://www.mendeley.com/documents/?uuid=e951c4f0-8ecd-488e-9fc3-c62b2c368654"]}],"mendeley":{"formattedCitation":"(Panjaitan et al., 2025)","plainTextFormattedCitation":"(Panjaitan et al., 2025)","previouslyFormattedCitation":"(Panjaitan et al., 2025)"},"properties":{"noteIndex":0},"schema":"https://github.com/citation-style-language/schema/raw/master/csl-citation.json"}</w:instrText>
      </w:r>
      <w:r w:rsidR="00265A1B">
        <w:rPr>
          <w:lang w:val="en-ID"/>
        </w:rPr>
        <w:fldChar w:fldCharType="separate"/>
      </w:r>
      <w:r w:rsidR="00265A1B" w:rsidRPr="00265A1B">
        <w:rPr>
          <w:noProof/>
          <w:lang w:val="en-ID"/>
        </w:rPr>
        <w:t>(Panjaitan et al., 2025)</w:t>
      </w:r>
      <w:r w:rsidR="00265A1B">
        <w:rPr>
          <w:lang w:val="en-ID"/>
        </w:rPr>
        <w:fldChar w:fldCharType="end"/>
      </w:r>
      <w:r w:rsidRPr="00DE20B0">
        <w:rPr>
          <w:lang w:val="en-ID"/>
        </w:rPr>
        <w:t>.</w:t>
      </w:r>
    </w:p>
    <w:p w14:paraId="3F263ED0" w14:textId="1963E5AE" w:rsidR="00DE20B0" w:rsidRPr="00DE20B0" w:rsidRDefault="00DE20B0" w:rsidP="00DE20B0">
      <w:pPr>
        <w:ind w:firstLine="709"/>
        <w:jc w:val="both"/>
        <w:rPr>
          <w:lang w:val="en-ID"/>
        </w:rPr>
      </w:pPr>
      <w:r w:rsidRPr="00DE20B0">
        <w:rPr>
          <w:lang w:val="en-ID"/>
        </w:rPr>
        <w:t xml:space="preserve">The number of research locations also influences the breadth of an inventory. Multiregional and </w:t>
      </w:r>
      <w:proofErr w:type="spellStart"/>
      <w:r w:rsidRPr="00DE20B0">
        <w:rPr>
          <w:lang w:val="en-ID"/>
        </w:rPr>
        <w:t>multicommunity</w:t>
      </w:r>
      <w:proofErr w:type="spellEnd"/>
      <w:r w:rsidRPr="00DE20B0">
        <w:rPr>
          <w:lang w:val="en-ID"/>
        </w:rPr>
        <w:t xml:space="preserve"> studies have a greater likelihood of documenting many species than studies conducted in a single village. An inventory covering several communities in North Maluku included broad ethnic and ecological settings, meaning that its article-level denominator was not equivalent to that of a study conducted in one community </w:t>
      </w:r>
      <w:r w:rsidR="00265A1B">
        <w:rPr>
          <w:lang w:val="en-ID"/>
        </w:rPr>
        <w:fldChar w:fldCharType="begin" w:fldLock="1"/>
      </w:r>
      <w:r w:rsidR="00265A1B">
        <w:rPr>
          <w:lang w:val="en-ID"/>
        </w:rPr>
        <w:instrText>ADDIN CSL_CITATION {"citationItems":[{"id":"ITEM-1","itemData":{"DOI":"10.21082/blpn.v26n2.2020.p145-156","author":[{"dropping-particle":"","family":"Wijaya","given":"N R","non-dropping-particle":"","parse-names":false,"suffix":""},{"dropping-particle":"","family":"Dewi","given":"T F","non-dropping-particle":"","parse-names":false,"suffix":""}],"container-title":"Buletin Plasma Nutfah","id":"ITEM-1","issue":"2","issued":{"date-parts":[["2020"]]},"page":"145-156","title":"Keanekaragaman spesies tumbuhan obat untuk perawatan sebelum dan sesudah persalinan pada beberapa suku di Maluku Utara","type":"article-journal","volume":"26"},"uris":["http://www.mendeley.com/documents/?uuid=4da24d0d-647e-4a4f-b2f5-b15c651057af"]}],"mendeley":{"formattedCitation":"(Wijaya &amp; Dewi, 2020)","plainTextFormattedCitation":"(Wijaya &amp; Dewi, 2020)","previouslyFormattedCitation":"(Wijaya &amp; Dewi, 2020)"},"properties":{"noteIndex":0},"schema":"https://github.com/citation-style-language/schema/raw/master/csl-citation.json"}</w:instrText>
      </w:r>
      <w:r w:rsidR="00265A1B">
        <w:rPr>
          <w:lang w:val="en-ID"/>
        </w:rPr>
        <w:fldChar w:fldCharType="separate"/>
      </w:r>
      <w:r w:rsidR="00265A1B" w:rsidRPr="00265A1B">
        <w:rPr>
          <w:noProof/>
          <w:lang w:val="en-ID"/>
        </w:rPr>
        <w:t>(Wijaya &amp; Dewi, 2020)</w:t>
      </w:r>
      <w:r w:rsidR="00265A1B">
        <w:rPr>
          <w:lang w:val="en-ID"/>
        </w:rPr>
        <w:fldChar w:fldCharType="end"/>
      </w:r>
      <w:r w:rsidRPr="00DE20B0">
        <w:rPr>
          <w:lang w:val="en-ID"/>
        </w:rPr>
        <w:t xml:space="preserve">. Research involving Acehnese, </w:t>
      </w:r>
      <w:proofErr w:type="spellStart"/>
      <w:r w:rsidRPr="00DE20B0">
        <w:rPr>
          <w:lang w:val="en-ID"/>
        </w:rPr>
        <w:t>Singkil</w:t>
      </w:r>
      <w:proofErr w:type="spellEnd"/>
      <w:r w:rsidRPr="00DE20B0">
        <w:rPr>
          <w:lang w:val="en-ID"/>
        </w:rPr>
        <w:t xml:space="preserve">, Javanese, Alas, and </w:t>
      </w:r>
      <w:proofErr w:type="spellStart"/>
      <w:r w:rsidRPr="00DE20B0">
        <w:rPr>
          <w:lang w:val="en-ID"/>
        </w:rPr>
        <w:t>Pakpak</w:t>
      </w:r>
      <w:proofErr w:type="spellEnd"/>
      <w:r w:rsidRPr="00DE20B0">
        <w:rPr>
          <w:lang w:val="en-ID"/>
        </w:rPr>
        <w:t xml:space="preserve"> communities also combined knowledge from several distinct community backgrounds within a single article-level inventory </w:t>
      </w:r>
      <w:r w:rsidR="00265A1B">
        <w:rPr>
          <w:lang w:val="en-ID"/>
        </w:rPr>
        <w:fldChar w:fldCharType="begin" w:fldLock="1"/>
      </w:r>
      <w:r w:rsidR="00265A1B">
        <w:rPr>
          <w:lang w:val="en-ID"/>
        </w:rPr>
        <w:instrText>ADDIN CSL_CITATION {"citationItems":[{"id":"ITEM-1","itemData":{"DOI":"10.30743/best.v6i1.6568","author":[{"dropping-particle":"","family":"Jubaidah","given":"","non-dropping-particle":"","parse-names":false,"suffix":""},{"dropping-particle":"","family":"Setyoko","given":"","non-dropping-particle":"","parse-names":false,"suffix":""},{"dropping-particle":"","family":"Sarjani","given":"T M","non-dropping-particle":"","parse-names":false,"suffix":""}],"container-title":"BEST Journal: Biology Education, Sains and Technology","id":"ITEM-1","issue":"1","issued":{"date-parts":[["2023"]]},"page":"190-196","title":"Etnobotani tumbuhan obat pasca melahirkan oleh khutbiah di Kecamatan Sultan Daulat Kota Subulussalam","type":"article-journal","volume":"6"},"uris":["http://www.mendeley.com/documents/?uuid=6814451f-7eb5-4e78-be9c-88d3a4d202f4"]}],"mendeley":{"formattedCitation":"(Jubaidah et al., 2023)","plainTextFormattedCitation":"(Jubaidah et al., 2023)","previouslyFormattedCitation":"(Jubaidah et al., 2023)"},"properties":{"noteIndex":0},"schema":"https://github.com/citation-style-language/schema/raw/master/csl-citation.json"}</w:instrText>
      </w:r>
      <w:r w:rsidR="00265A1B">
        <w:rPr>
          <w:lang w:val="en-ID"/>
        </w:rPr>
        <w:fldChar w:fldCharType="separate"/>
      </w:r>
      <w:r w:rsidR="00265A1B" w:rsidRPr="00265A1B">
        <w:rPr>
          <w:noProof/>
          <w:lang w:val="en-ID"/>
        </w:rPr>
        <w:t>(Jubaidah et al., 2023)</w:t>
      </w:r>
      <w:r w:rsidR="00265A1B">
        <w:rPr>
          <w:lang w:val="en-ID"/>
        </w:rPr>
        <w:fldChar w:fldCharType="end"/>
      </w:r>
      <w:r w:rsidRPr="00DE20B0">
        <w:rPr>
          <w:lang w:val="en-ID"/>
        </w:rPr>
        <w:t>.</w:t>
      </w:r>
    </w:p>
    <w:p w14:paraId="39448B7A" w14:textId="7CC1422E" w:rsidR="00DE20B0" w:rsidRPr="00DE20B0" w:rsidRDefault="00DE20B0" w:rsidP="00DE20B0">
      <w:pPr>
        <w:ind w:firstLine="709"/>
        <w:jc w:val="both"/>
        <w:rPr>
          <w:lang w:val="en-ID"/>
        </w:rPr>
      </w:pPr>
      <w:r w:rsidRPr="00DE20B0">
        <w:rPr>
          <w:lang w:val="en-ID"/>
        </w:rPr>
        <w:lastRenderedPageBreak/>
        <w:t xml:space="preserve">Conceptual boundaries regarding postpartum care also affect the number of species recorded. Articles that document only oral preparations used during the first few days after childbirth tend to produce shorter lists. Articles that include medicinal foods, baths, topical rubs, abdominal pastes, body washes, and treatments used for several weeks after childbirth tend to produce larger inventories. Plants intended for mothers and those intended for infants are also not always consistently separated. This issue is apparent in research involving the Paus Dayak and Malay communities, which covered the care of both mothers and children following childbirth </w:t>
      </w:r>
      <w:r w:rsidR="00265A1B">
        <w:rPr>
          <w:lang w:val="en-ID"/>
        </w:rPr>
        <w:fldChar w:fldCharType="begin" w:fldLock="1"/>
      </w:r>
      <w:r w:rsidR="00265A1B">
        <w:rPr>
          <w:lang w:val="en-ID"/>
        </w:rPr>
        <w:instrText>ADDIN CSL_CITATION {"citationItems":[{"id":"ITEM-1","itemData":{"DOI":"10.30870/biodidaktika.v16i1.10805","author":[{"dropping-particle":"","family":"Pradita","given":"S","non-dropping-particle":"","parse-names":false,"suffix":""},{"dropping-particle":"","family":"Mariani","given":"Y","non-dropping-particle":"","parse-names":false,"suffix":""},{"dropping-particle":"","family":"Wardenaar","given":"E","non-dropping-particle":"","parse-names":false,"suffix":""},{"dropping-particle":"","family":"Yusro","given":"F","non-dropping-particle":"","parse-names":false,"suffix":""}],"container-title":"Biodidaktika: Jurnal Biologi dan Pembelajarannya","id":"ITEM-1","issue":"1","issued":{"date-parts":[["2021"]]},"page":"93-110","title":"Pemanfaatan tumbuhan obat oleh Suku Dayak Paus dan Melayu untuk perawatan ibu dan anak pasca persalinan di Desa Pengadang Kabupaten Sanggau Kalimantan Barat","type":"article-journal","volume":"16"},"uris":["http://www.mendeley.com/documents/?uuid=83626c9f-70b1-4b90-8cdd-ccea15b60e0a"]}],"mendeley":{"formattedCitation":"(Pradita et al., 2021)","plainTextFormattedCitation":"(Pradita et al., 2021)","previouslyFormattedCitation":"(Pradita et al., 2021)"},"properties":{"noteIndex":0},"schema":"https://github.com/citation-style-language/schema/raw/master/csl-citation.json"}</w:instrText>
      </w:r>
      <w:r w:rsidR="00265A1B">
        <w:rPr>
          <w:lang w:val="en-ID"/>
        </w:rPr>
        <w:fldChar w:fldCharType="separate"/>
      </w:r>
      <w:r w:rsidR="00265A1B" w:rsidRPr="00265A1B">
        <w:rPr>
          <w:noProof/>
          <w:lang w:val="en-ID"/>
        </w:rPr>
        <w:t>(Pradita et al., 2021)</w:t>
      </w:r>
      <w:r w:rsidR="00265A1B">
        <w:rPr>
          <w:lang w:val="en-ID"/>
        </w:rPr>
        <w:fldChar w:fldCharType="end"/>
      </w:r>
      <w:r w:rsidRPr="00DE20B0">
        <w:rPr>
          <w:lang w:val="en-ID"/>
        </w:rPr>
        <w:t>.</w:t>
      </w:r>
    </w:p>
    <w:p w14:paraId="6F4B3CBC" w14:textId="4CAF5FA1" w:rsidR="007A0911" w:rsidRPr="007A0911" w:rsidRDefault="00DE20B0" w:rsidP="00DE20B0">
      <w:pPr>
        <w:jc w:val="both"/>
        <w:rPr>
          <w:b/>
          <w:bCs/>
        </w:rPr>
      </w:pPr>
      <w:r w:rsidRPr="00DE20B0">
        <w:rPr>
          <w:b/>
          <w:bCs/>
        </w:rPr>
        <w:t>Heterogeneity Indicates Genuine Diversity, but Its Causes Have Not Been Fully Examined</w:t>
      </w:r>
    </w:p>
    <w:p w14:paraId="7D75089C" w14:textId="415D49D4" w:rsidR="00DE20B0" w:rsidRPr="00DE20B0" w:rsidRDefault="00DE20B0" w:rsidP="00DE20B0">
      <w:pPr>
        <w:ind w:firstLine="709"/>
        <w:jc w:val="both"/>
        <w:rPr>
          <w:lang w:val="en-ID"/>
        </w:rPr>
      </w:pPr>
      <w:r w:rsidRPr="00DE20B0">
        <w:rPr>
          <w:lang w:val="en-ID"/>
        </w:rPr>
        <w:t xml:space="preserve">The primary analysis produced an (I^2) value of 65.6%, indicating moderate to high variation among the included articles. This value demonstrates that the proportion of </w:t>
      </w:r>
      <w:proofErr w:type="spellStart"/>
      <w:r w:rsidRPr="00DE20B0">
        <w:rPr>
          <w:lang w:val="en-ID"/>
        </w:rPr>
        <w:t>Zingiberaceae</w:t>
      </w:r>
      <w:proofErr w:type="spellEnd"/>
      <w:r w:rsidRPr="00DE20B0">
        <w:rPr>
          <w:lang w:val="en-ID"/>
        </w:rPr>
        <w:t xml:space="preserve"> was not uniform across all inventories. However, (I^2) does not explain the actual magnitude of the differences in proportion or identify the factors responsible for the variation. Interpreting (I^2) in isolation may lead to an overly simplistic conclusion regarding heterogeneity </w:t>
      </w:r>
      <w:r w:rsidR="00265A1B">
        <w:rPr>
          <w:lang w:val="en-ID"/>
        </w:rPr>
        <w:fldChar w:fldCharType="begin" w:fldLock="1"/>
      </w:r>
      <w:r w:rsidR="00A33854">
        <w:rPr>
          <w:lang w:val="en-ID"/>
        </w:rPr>
        <w:instrText>ADDIN CSL_CITATION {"citationItems":[{"id":"ITEM-1","itemData":{"DOI":"10.1016/j.jclinepi.2022.10.003","author":[{"dropping-particle":"","family":"Borenstein","given":"Michael","non-dropping-particle":"","parse-names":false,"suffix":""}],"container-title":"Journal of Clinical Epidemiology","id":"ITEM-1","issued":{"date-parts":[["2022"]]},"page":"281-284","title":"In a meta-analysis, the I-squared statistic does not tell us how much the effect size varies","type":"article-journal","volume":"152"},"uris":["http://www.mendeley.com/documents/?uuid=29c866a2-2d90-4d9c-beca-c22916562187"]}],"mendeley":{"formattedCitation":"(Borenstein, 2022)","plainTextFormattedCitation":"(Borenstein, 2022)","previouslyFormattedCitation":"(Borenstein, 2022)"},"properties":{"noteIndex":0},"schema":"https://github.com/citation-style-language/schema/raw/master/csl-citation.json"}</w:instrText>
      </w:r>
      <w:r w:rsidR="00265A1B">
        <w:rPr>
          <w:lang w:val="en-ID"/>
        </w:rPr>
        <w:fldChar w:fldCharType="separate"/>
      </w:r>
      <w:r w:rsidR="00265A1B" w:rsidRPr="00265A1B">
        <w:rPr>
          <w:noProof/>
          <w:lang w:val="en-ID"/>
        </w:rPr>
        <w:t>(Borenstein, 2022)</w:t>
      </w:r>
      <w:r w:rsidR="00265A1B">
        <w:rPr>
          <w:lang w:val="en-ID"/>
        </w:rPr>
        <w:fldChar w:fldCharType="end"/>
      </w:r>
      <w:r w:rsidRPr="00DE20B0">
        <w:rPr>
          <w:lang w:val="en-ID"/>
        </w:rPr>
        <w:t>.</w:t>
      </w:r>
    </w:p>
    <w:p w14:paraId="0DD854CB" w14:textId="77777777" w:rsidR="00DE20B0" w:rsidRPr="00DE20B0" w:rsidRDefault="00DE20B0" w:rsidP="00DE20B0">
      <w:pPr>
        <w:ind w:firstLine="709"/>
        <w:jc w:val="both"/>
        <w:rPr>
          <w:lang w:val="en-ID"/>
        </w:rPr>
      </w:pPr>
      <w:r w:rsidRPr="00DE20B0">
        <w:rPr>
          <w:lang w:val="en-ID"/>
        </w:rPr>
        <w:t xml:space="preserve">The sources of heterogeneity formally evaluated in this study remain limited. The sensitivity analysis compared the findings from Group A with those obtained by combining Groups A and B. The inclusion of articles with separable postpartum data reduced the estimate from 23.2% to 21.3%, but did not alter the overall direction of the findings. The leave-one-out analysis similarly indicated that the estimate was not determined by any single article. By contrast, differences according to island, ethnic community, number of informants, geographical coverage, availability of voucher specimens, and type of data could not be adequately tested. Some variables were incompletely reported, whereas several categories contained only a small number of articles. These factors can therefore be discussed only as possible explanations, rather than as empirically established moderators. Cultural variation may influence plant selection, but its effects cannot yet be separated from ecological and methodological variation. The number of informants may affect the breadth of an inventory, but its relationship with the proportion of </w:t>
      </w:r>
      <w:proofErr w:type="spellStart"/>
      <w:r w:rsidRPr="00DE20B0">
        <w:rPr>
          <w:lang w:val="en-ID"/>
        </w:rPr>
        <w:t>Zingiberaceae</w:t>
      </w:r>
      <w:proofErr w:type="spellEnd"/>
      <w:r w:rsidRPr="00DE20B0">
        <w:rPr>
          <w:lang w:val="en-ID"/>
        </w:rPr>
        <w:t xml:space="preserve"> has not been directly examined.</w:t>
      </w:r>
    </w:p>
    <w:p w14:paraId="3F3996A2" w14:textId="0CE588C5" w:rsidR="00DE20B0" w:rsidRPr="00DE20B0" w:rsidRDefault="00DE20B0" w:rsidP="00DE20B0">
      <w:pPr>
        <w:ind w:firstLine="709"/>
        <w:jc w:val="both"/>
        <w:rPr>
          <w:lang w:val="en-ID"/>
        </w:rPr>
      </w:pPr>
      <w:r w:rsidRPr="00DE20B0">
        <w:rPr>
          <w:lang w:val="en-ID"/>
        </w:rPr>
        <w:t xml:space="preserve">The wide prediction interval further reinforces the need for caution when presenting the findings. A new study conducted in a different community could produce a proportion substantially lower or higher than the model average. Reporting prediction intervals helps prevent the pooled estimate from being interpreted as a single value applicable across all contexts </w:t>
      </w:r>
      <w:r w:rsidR="00A33854">
        <w:rPr>
          <w:lang w:val="en-ID"/>
        </w:rPr>
        <w:fldChar w:fldCharType="begin" w:fldLock="1"/>
      </w:r>
      <w:r w:rsidR="00A33854">
        <w:rPr>
          <w:lang w:val="en-ID"/>
        </w:rPr>
        <w:instrText>ADDIN CSL_CITATION {"citationItems":[{"id":"ITEM-1","itemData":{"DOI":"10.1186/s12874-025-02733-9","author":[{"dropping-particle":"","family":"Siemens","given":"W","non-dropping-particle":"","parse-names":false,"suffix":""},{"dropping-particle":"","family":"Borenstein","given":"M","non-dropping-particle":"","parse-names":false,"suffix":""},{"dropping-particle":"","family":"Evrenoglou","given":"T","non-dropping-particle":"","parse-names":false,"suffix":""},{"dropping-particle":"","family":"Meerpohl","given":"J J","non-dropping-particle":"","parse-names":false,"suffix":""},{"dropping-particle":"","family":"Schwarzer","given":"G","non-dropping-particle":"","parse-names":false,"suffix":""}],"container-title":"BMC Medical Research Methodology","id":"ITEM-1","issued":{"date-parts":[["2025"]]},"page":"275","title":"Beyond prediction intervals in meta-analysis: Reporting the expected proportion of comparable studies with clinically relevant benefit or harm","type":"article-journal","volume":"25"},"uris":["http://www.mendeley.com/documents/?uuid=1de30681-b0af-4166-8328-1cfa9c1c5a81"]}],"mendeley":{"formattedCitation":"(Siemens et al., 2025)","plainTextFormattedCitation":"(Siemens et al., 2025)","previouslyFormattedCitation":"(Siemens et al., 2025)"},"properties":{"noteIndex":0},"schema":"https://github.com/citation-style-language/schema/raw/master/csl-citation.json"}</w:instrText>
      </w:r>
      <w:r w:rsidR="00A33854">
        <w:rPr>
          <w:lang w:val="en-ID"/>
        </w:rPr>
        <w:fldChar w:fldCharType="separate"/>
      </w:r>
      <w:r w:rsidR="00A33854" w:rsidRPr="00A33854">
        <w:rPr>
          <w:noProof/>
          <w:lang w:val="en-ID"/>
        </w:rPr>
        <w:t>(Siemens et al., 2025)</w:t>
      </w:r>
      <w:r w:rsidR="00A33854">
        <w:rPr>
          <w:lang w:val="en-ID"/>
        </w:rPr>
        <w:fldChar w:fldCharType="end"/>
      </w:r>
      <w:r w:rsidRPr="00DE20B0">
        <w:rPr>
          <w:lang w:val="en-ID"/>
        </w:rPr>
        <w:t xml:space="preserve">. The funnel plot in this study served only as an exploratory assessment of small-study effects. An asymmetric distribution may result from differences in biodiversity, inventory size, number of informants, and genuine cultural variation. Such a pattern cannot be directly interpreted as evidence of publication bias. Funnel plots also have limited ability to detect bias when the number of articles is small and heterogeneity is substantial. Misinterpreting funnel plot asymmetry may result in claims of publication bias that are not supported by the data </w:t>
      </w:r>
      <w:r w:rsidR="00A33854">
        <w:rPr>
          <w:lang w:val="en-ID"/>
        </w:rPr>
        <w:fldChar w:fldCharType="begin" w:fldLock="1"/>
      </w:r>
      <w:r w:rsidR="00A33854">
        <w:rPr>
          <w:lang w:val="en-ID"/>
        </w:rPr>
        <w:instrText>ADDIN CSL_CITATION {"citationItems":[{"id":"ITEM-1","itemData":{"DOI":"10.1007/s40279-023-01927-9","author":[{"dropping-particle":"","family":"Afonso","given":"José","non-dropping-particle":"","parse-names":false,"suffix":""},{"dropping-particle":"","family":"Ramirez-Campillo","given":"Rodrigo","non-dropping-particle":"","parse-names":false,"suffix":""},{"dropping-particle":"","family":"Clemente","given":"Filipe Manuel","non-dropping-particle":"","parse-names":false,"suffix":""},{"dropping-particle":"","family":"Büttner","given":"Felix C","non-dropping-particle":"","parse-names":false,"suffix":""},{"dropping-particle":"","family":"Andrade","given":"Rodrigo","non-dropping-particle":"","parse-names":false,"suffix":""}],"container-title":"Sports Medicine","id":"ITEM-1","issue":"2","issued":{"date-parts":[["2024"]]},"page":"257-269","title":"The perils of misinterpreting and misusing \"publication bias'' in meta-analyses: An education review on funnel plot-based methods","type":"article-journal","volume":"54"},"uris":["http://www.mendeley.com/documents/?uuid=e81c7cf0-7357-444d-99ab-af6344da075f"]}],"mendeley":{"formattedCitation":"(Afonso et al., 2024)","plainTextFormattedCitation":"(Afonso et al., 2024)","previouslyFormattedCitation":"(Afonso et al., 2024)"},"properties":{"noteIndex":0},"schema":"https://github.com/citation-style-language/schema/raw/master/csl-citation.json"}</w:instrText>
      </w:r>
      <w:r w:rsidR="00A33854">
        <w:rPr>
          <w:lang w:val="en-ID"/>
        </w:rPr>
        <w:fldChar w:fldCharType="separate"/>
      </w:r>
      <w:r w:rsidR="00A33854" w:rsidRPr="00A33854">
        <w:rPr>
          <w:noProof/>
          <w:lang w:val="en-ID"/>
        </w:rPr>
        <w:t>(Afonso et al., 2024)</w:t>
      </w:r>
      <w:r w:rsidR="00A33854">
        <w:rPr>
          <w:lang w:val="en-ID"/>
        </w:rPr>
        <w:fldChar w:fldCharType="end"/>
      </w:r>
      <w:r w:rsidRPr="00DE20B0">
        <w:rPr>
          <w:lang w:val="en-ID"/>
        </w:rPr>
        <w:t>.</w:t>
      </w:r>
    </w:p>
    <w:p w14:paraId="281100A9" w14:textId="5B3F0CAF" w:rsidR="007A0911" w:rsidRPr="007A0911" w:rsidRDefault="00DE20B0" w:rsidP="00DE20B0">
      <w:pPr>
        <w:jc w:val="both"/>
        <w:rPr>
          <w:b/>
          <w:bCs/>
        </w:rPr>
      </w:pPr>
      <w:r w:rsidRPr="00DE20B0">
        <w:rPr>
          <w:b/>
          <w:bCs/>
        </w:rPr>
        <w:t>Documentation Quality Determines the Level of Confidence in the Findings</w:t>
      </w:r>
    </w:p>
    <w:p w14:paraId="454D29CE" w14:textId="77777777" w:rsidR="0027243F" w:rsidRPr="0027243F" w:rsidRDefault="0027243F" w:rsidP="0027243F">
      <w:pPr>
        <w:ind w:firstLine="709"/>
        <w:jc w:val="both"/>
        <w:rPr>
          <w:lang w:val="en-ID"/>
        </w:rPr>
      </w:pPr>
      <w:r w:rsidRPr="0027243F">
        <w:rPr>
          <w:lang w:val="en-ID"/>
        </w:rPr>
        <w:t>The primary strength of the included articles lies in their efforts to document knowledge that remains in active use within communities. Several studies involved female users, traditional birth attendants, healers, and traditional herbal practitioners. These approaches allow everyday experiences to be incorporated into scientific knowledge. Direct documentation also helps preserve local names, preparation forms, and purposes of use that may not be available in written sources.</w:t>
      </w:r>
    </w:p>
    <w:p w14:paraId="3C499D60" w14:textId="77777777" w:rsidR="0027243F" w:rsidRPr="0027243F" w:rsidRDefault="0027243F" w:rsidP="0027243F">
      <w:pPr>
        <w:ind w:firstLine="709"/>
        <w:jc w:val="both"/>
        <w:rPr>
          <w:lang w:val="en-ID"/>
        </w:rPr>
      </w:pPr>
      <w:r w:rsidRPr="0027243F">
        <w:rPr>
          <w:lang w:val="en-ID"/>
        </w:rPr>
        <w:lastRenderedPageBreak/>
        <w:t>However, the quality of reporting varied across articles. Some articles adequately described the number of informants, interview methods, and data-collection procedures. Others did not clearly explain informant-selection criteria, the process used to validate responses, the research period, or the relationship between each species and specific stages of the postpartum period. Such incomplete reporting limits the ability to compare findings on an equivalent basis. Articles containing combined maternal data present an additional limitation because species used during pregnancy, childbirth, and the postpartum period cannot always be separated. Information from these articles remains important for understanding maternal care systems more broadly, but should not be included in the primary estimate when the relationship between a species and the postpartum period is unclear. This consideration explains why Group C articles were used only in the narrative synthesis.</w:t>
      </w:r>
    </w:p>
    <w:p w14:paraId="6F274809" w14:textId="5DF393B8" w:rsidR="0027243F" w:rsidRPr="0027243F" w:rsidRDefault="0027243F" w:rsidP="0027243F">
      <w:pPr>
        <w:ind w:firstLine="709"/>
        <w:jc w:val="both"/>
        <w:rPr>
          <w:lang w:val="en-ID"/>
        </w:rPr>
      </w:pPr>
      <w:r w:rsidRPr="0027243F">
        <w:rPr>
          <w:lang w:val="en-ID"/>
        </w:rPr>
        <w:t xml:space="preserve">Botanical identification is also a major determinant of confidence in an inventory. The same local name may refer to different taxa, while one species may have several local names. Harmonizing accepted names can improve nomenclatural consistency, but cannot replace field-specimen verification. Without voucher specimens, diagnostic photographs, collection numbers, or information identifying the botanical determiner, species identification remains uncertain. Quality assessment should therefore be understood as a means of evaluating the degree to which each article’s findings can be trusted, rather than merely as an administrative requirement. Articles presenting separable postpartum data, clear denominators, traceable plant identification, and voucher documentation provide a stronger basis for quantitative synthesis. Articles with limited botanical information remain valuable for cultural documentation, but require more cautious interpretation. Quality control of herbal materials requires species authentication, standardized processing, and contaminant testing to ensure that the materials used can be safely traced </w:t>
      </w:r>
      <w:r w:rsidR="00A33854">
        <w:rPr>
          <w:lang w:val="en-ID"/>
        </w:rPr>
        <w:fldChar w:fldCharType="begin" w:fldLock="1"/>
      </w:r>
      <w:r w:rsidR="00A33854">
        <w:rPr>
          <w:lang w:val="en-ID"/>
        </w:rPr>
        <w:instrText>ADDIN CSL_CITATION {"citationItems":[{"id":"ITEM-1","itemData":{"DOI":"10.3389/fphar.2023.1265178","author":[{"dropping-particle":"","family":"Wang","given":"H","non-dropping-particle":"","parse-names":false,"suffix":""},{"dropping-particle":"","family":"Chen","given":"Y","non-dropping-particle":"","parse-names":false,"suffix":""},{"dropping-particle":"","family":"Wang","given":"L","non-dropping-particle":"","parse-names":false,"suffix":""},{"dropping-particle":"","family":"Liu","given":"Q","non-dropping-particle":"","parse-names":false,"suffix":""},{"dropping-particle":"","family":"Yang","given":"S","non-dropping-particle":"","parse-names":false,"suffix":""},{"dropping-particle":"","family":"Wang","given":"C","non-dropping-particle":"","parse-names":false,"suffix":""}],"container-title":"Frontiers in Pharmacology","id":"ITEM-1","issued":{"date-parts":[["2023"]]},"page":"1265178","title":"Advancing herbal medicine: Enhancing product quality and safety through robust quality control practices","type":"article-journal","volume":"14"},"uris":["http://www.mendeley.com/documents/?uuid=0deb3409-d1bf-4adc-a2fe-6c302ce0c70f"]}],"mendeley":{"formattedCitation":"(Wang et al., 2023)","plainTextFormattedCitation":"(Wang et al., 2023)","previouslyFormattedCitation":"(Wang et al., 2023)"},"properties":{"noteIndex":0},"schema":"https://github.com/citation-style-language/schema/raw/master/csl-citation.json"}</w:instrText>
      </w:r>
      <w:r w:rsidR="00A33854">
        <w:rPr>
          <w:lang w:val="en-ID"/>
        </w:rPr>
        <w:fldChar w:fldCharType="separate"/>
      </w:r>
      <w:r w:rsidR="00A33854" w:rsidRPr="00A33854">
        <w:rPr>
          <w:noProof/>
          <w:lang w:val="en-ID"/>
        </w:rPr>
        <w:t>(Wang et al., 2023)</w:t>
      </w:r>
      <w:r w:rsidR="00A33854">
        <w:rPr>
          <w:lang w:val="en-ID"/>
        </w:rPr>
        <w:fldChar w:fldCharType="end"/>
      </w:r>
      <w:r w:rsidRPr="0027243F">
        <w:rPr>
          <w:lang w:val="en-ID"/>
        </w:rPr>
        <w:t>.</w:t>
      </w:r>
    </w:p>
    <w:p w14:paraId="35392F8E" w14:textId="4DFBD75D" w:rsidR="007A0911" w:rsidRPr="007A0911" w:rsidRDefault="0027243F" w:rsidP="0027243F">
      <w:pPr>
        <w:jc w:val="both"/>
        <w:rPr>
          <w:b/>
          <w:bCs/>
        </w:rPr>
      </w:pPr>
      <w:r w:rsidRPr="0027243F">
        <w:rPr>
          <w:b/>
          <w:bCs/>
        </w:rPr>
        <w:t>Patterns of Use Should Be Linked to Plant Sustainability</w:t>
      </w:r>
    </w:p>
    <w:p w14:paraId="4113B530" w14:textId="77777777" w:rsidR="0027243F" w:rsidRPr="0027243F" w:rsidRDefault="0027243F" w:rsidP="0027243F">
      <w:pPr>
        <w:ind w:firstLine="709"/>
        <w:jc w:val="both"/>
        <w:rPr>
          <w:lang w:val="en-ID"/>
        </w:rPr>
      </w:pPr>
      <w:r w:rsidRPr="0027243F">
        <w:rPr>
          <w:lang w:val="en-ID"/>
        </w:rPr>
        <w:t>The frequent reporting of a plant does not necessarily indicate that the species is experiencing high harvesting pressure. Conservation risk is influenced by the source of the material, cultivation status, harvested plant part, volume extracted, regenerative capacity, and habitat condition. Plants cultivated in home gardens face different risks from wild plants harvested directly from forests. Rhizomes can be propagated vegetatively, and many species can be cultivated. Nevertheless, harvesting rhizomes from the wild may be more destructive than harvesting leaves or fruits because rhizomes function as storage organs and are essential for regrowth. Similar risks apply to the harvesting of roots, tubers, and bark.</w:t>
      </w:r>
    </w:p>
    <w:p w14:paraId="2C1ACA2E" w14:textId="3D5C8B11" w:rsidR="0027243F" w:rsidRPr="0027243F" w:rsidRDefault="0027243F" w:rsidP="0027243F">
      <w:pPr>
        <w:ind w:firstLine="709"/>
        <w:jc w:val="both"/>
        <w:rPr>
          <w:lang w:val="en-ID"/>
        </w:rPr>
      </w:pPr>
      <w:r w:rsidRPr="0027243F">
        <w:rPr>
          <w:lang w:val="en-ID"/>
        </w:rPr>
        <w:t xml:space="preserve">The </w:t>
      </w:r>
      <w:proofErr w:type="spellStart"/>
      <w:r w:rsidRPr="0027243F">
        <w:rPr>
          <w:lang w:val="en-ID"/>
        </w:rPr>
        <w:t>Kasepuhan</w:t>
      </w:r>
      <w:proofErr w:type="spellEnd"/>
      <w:r w:rsidRPr="0027243F">
        <w:rPr>
          <w:lang w:val="en-ID"/>
        </w:rPr>
        <w:t xml:space="preserve"> inventory demonstrates that wild plants continue to play a role in maternal recovery </w:t>
      </w:r>
      <w:r w:rsidR="00A33854">
        <w:rPr>
          <w:lang w:val="en-ID"/>
        </w:rPr>
        <w:fldChar w:fldCharType="begin" w:fldLock="1"/>
      </w:r>
      <w:r w:rsidR="00A33854">
        <w:rPr>
          <w:lang w:val="en-ID"/>
        </w:rPr>
        <w:instrText>ADDIN CSL_CITATION {"citationItems":[{"id":"ITEM-1","itemData":{"DOI":"10.13057/biodiv/d250204","author":[{"dropping-particle":"","family":"Mulyanto","given":"","non-dropping-particle":"","parse-names":false,"suffix":""},{"dropping-particle":"","family":"Gunawan","given":"R","non-dropping-particle":"","parse-names":false,"suffix":""},{"dropping-particle":"","family":"Zakaria","given":"S","non-dropping-particle":"","parse-names":false,"suffix":""},{"dropping-particle":"","family":"Iskandar","given":"J","non-dropping-particle":"","parse-names":false,"suffix":""},{"dropping-particle":"","family":"Noviyanti","given":"A R","non-dropping-particle":"","parse-names":false,"suffix":""},{"dropping-particle":"","family":"Iskandar","given":"B S","non-dropping-particle":"","parse-names":false,"suffix":""}],"container-title":"Biodiversitas","id":"ITEM-1","issue":"2","issued":{"date-parts":[["2024"]]},"page":"465-473","title":"Utilization of wild plants in medicinal foods for maternal postpartum recovery among the Kasepuhan in rural West Java, Indonesia","type":"article-journal","volume":"25"},"uris":["http://www.mendeley.com/documents/?uuid=4bc54fa5-b5da-497a-8f1c-b4ff715a7604"]}],"mendeley":{"formattedCitation":"(Mulyanto et al., 2024)","plainTextFormattedCitation":"(Mulyanto et al., 2024)","previouslyFormattedCitation":"(Mulyanto et al., 2024)"},"properties":{"noteIndex":0},"schema":"https://github.com/citation-style-language/schema/raw/master/csl-citation.json"}</w:instrText>
      </w:r>
      <w:r w:rsidR="00A33854">
        <w:rPr>
          <w:lang w:val="en-ID"/>
        </w:rPr>
        <w:fldChar w:fldCharType="separate"/>
      </w:r>
      <w:r w:rsidR="00A33854" w:rsidRPr="00A33854">
        <w:rPr>
          <w:noProof/>
          <w:lang w:val="en-ID"/>
        </w:rPr>
        <w:t>(Mulyanto et al., 2024)</w:t>
      </w:r>
      <w:r w:rsidR="00A33854">
        <w:rPr>
          <w:lang w:val="en-ID"/>
        </w:rPr>
        <w:fldChar w:fldCharType="end"/>
      </w:r>
      <w:r w:rsidRPr="0027243F">
        <w:rPr>
          <w:lang w:val="en-ID"/>
        </w:rPr>
        <w:t xml:space="preserve">. Other studies have reported the use of materials obtained from gardens, home yards, or local markets. These distinctions should be recorded in the master species list so that conservation priorities are not determined solely by reporting frequency. The conservation of </w:t>
      </w:r>
      <w:proofErr w:type="spellStart"/>
      <w:r w:rsidRPr="0027243F">
        <w:rPr>
          <w:lang w:val="en-ID"/>
        </w:rPr>
        <w:t>Zingiberaceae</w:t>
      </w:r>
      <w:proofErr w:type="spellEnd"/>
      <w:r w:rsidRPr="0027243F">
        <w:rPr>
          <w:lang w:val="en-ID"/>
        </w:rPr>
        <w:t xml:space="preserve"> cannot be achieved only through ex situ collections or commercial cultivation. Habitat protection, community gardens, local nurseries, and monitoring of wild populations should be developed in collaboration with communities. </w:t>
      </w:r>
      <w:proofErr w:type="spellStart"/>
      <w:r w:rsidRPr="0027243F">
        <w:rPr>
          <w:lang w:val="en-ID"/>
        </w:rPr>
        <w:t>Zingiberaceae</w:t>
      </w:r>
      <w:proofErr w:type="spellEnd"/>
      <w:r w:rsidRPr="0027243F">
        <w:rPr>
          <w:lang w:val="en-ID"/>
        </w:rPr>
        <w:t xml:space="preserve"> diversity in Southeast Asia has medicinal, culinary, spice-related, and economic value; its conservation strategies should therefore connect natural habitats with cultivation systems </w:t>
      </w:r>
      <w:r w:rsidR="00A33854">
        <w:rPr>
          <w:lang w:val="en-ID"/>
        </w:rPr>
        <w:fldChar w:fldCharType="begin" w:fldLock="1"/>
      </w:r>
      <w:r w:rsidR="00A33854">
        <w:rPr>
          <w:lang w:val="en-ID"/>
        </w:rPr>
        <w:instrText>ADDIN CSL_CITATION {"citationItems":[{"id":"ITEM-1","itemData":{"DOI":"10.3390/horticulturae11050527","author":[{"dropping-particle":"","family":"Saensouk","given":"P","non-dropping-particle":"","parse-names":false,"suffix":""},{"dropping-particle":"","family":"Saensouk","given":"S","non-dropping-particle":"","parse-names":false,"suffix":""},{"dropping-particle":"","family":"Boonma","given":"T","non-dropping-particle":"","parse-names":false,"suffix":""},{"dropping-particle":"","family":"Junsongduang","given":"A","non-dropping-particle":"","parse-names":false,"suffix":""},{"dropping-particle":"","family":"Rakarcha","given":"S","non-dropping-particle":"","parse-names":false,"suffix":""},{"dropping-particle":"","family":"Chanthavongsa","given":"K","non-dropping-particle":"","parse-names":false,"suffix":""},{"dropping-particle":"","family":"Jitpromma","given":"T","non-dropping-particle":"","parse-names":false,"suffix":""}],"container-title":"Horticulturae","id":"ITEM-1","issue":"5","issued":{"date-parts":[["2025"]]},"page":"527","title":"Zingiberaceae in Roi Et Province, Thailand: Diversity, ethnobotany, horticultural value, and conservation status","type":"article-journal","volume":"11"},"uris":["http://www.mendeley.com/documents/?uuid=a4174f0e-f8fd-45c1-9f2a-3e71df19204b"]}],"mendeley":{"formattedCitation":"(Saensouk et al., 2025)","plainTextFormattedCitation":"(Saensouk et al., 2025)","previouslyFormattedCitation":"(Saensouk et al., 2025)"},"properties":{"noteIndex":0},"schema":"https://github.com/citation-style-language/schema/raw/master/csl-citation.json"}</w:instrText>
      </w:r>
      <w:r w:rsidR="00A33854">
        <w:rPr>
          <w:lang w:val="en-ID"/>
        </w:rPr>
        <w:fldChar w:fldCharType="separate"/>
      </w:r>
      <w:r w:rsidR="00A33854" w:rsidRPr="00A33854">
        <w:rPr>
          <w:noProof/>
          <w:lang w:val="en-ID"/>
        </w:rPr>
        <w:t>(Saensouk et al., 2025)</w:t>
      </w:r>
      <w:r w:rsidR="00A33854">
        <w:rPr>
          <w:lang w:val="en-ID"/>
        </w:rPr>
        <w:fldChar w:fldCharType="end"/>
      </w:r>
      <w:r w:rsidRPr="0027243F">
        <w:rPr>
          <w:lang w:val="en-ID"/>
        </w:rPr>
        <w:t>.</w:t>
      </w:r>
    </w:p>
    <w:p w14:paraId="1ACB1517" w14:textId="31945EFC" w:rsidR="0027243F" w:rsidRPr="0027243F" w:rsidRDefault="0027243F" w:rsidP="0027243F">
      <w:pPr>
        <w:ind w:firstLine="709"/>
        <w:jc w:val="both"/>
        <w:rPr>
          <w:lang w:val="en-ID"/>
        </w:rPr>
      </w:pPr>
      <w:r w:rsidRPr="0027243F">
        <w:rPr>
          <w:lang w:val="en-ID"/>
        </w:rPr>
        <w:t xml:space="preserve">Protecting knowledge is as important as protecting plants. Information regarding herbal preparations should not be separated from the rights of the communities that preserve and transmit that knowledge. Community participation in setting research priorities, validating data, and sharing benefits is </w:t>
      </w:r>
      <w:r w:rsidRPr="0027243F">
        <w:rPr>
          <w:lang w:val="en-ID"/>
        </w:rPr>
        <w:lastRenderedPageBreak/>
        <w:t xml:space="preserve">necessary to prevent conservation initiatives from reducing local knowledge to a mere commodity. Recognition of the diverse values of nature can produce conservation policies that are more equitable and contextually appropriate </w:t>
      </w:r>
      <w:r w:rsidR="00A33854">
        <w:rPr>
          <w:lang w:val="en-ID"/>
        </w:rPr>
        <w:fldChar w:fldCharType="begin" w:fldLock="1"/>
      </w:r>
      <w:r w:rsidR="00A33854">
        <w:rPr>
          <w:lang w:val="en-ID"/>
        </w:rPr>
        <w:instrText>ADDIN CSL_CITATION {"citationItems":[{"id":"ITEM-1","itemData":{"DOI":"10.5281/zenodo.6522522","author":[{"dropping-particle":"","family":"Intergovernmental Science-Policy Platform on Biodiversity and Ecosystem Services","given":"","non-dropping-particle":"","parse-names":false,"suffix":""}],"editor":[{"dropping-particle":"","family":"Balvanera","given":"Patricia","non-dropping-particle":"","parse-names":false,"suffix":""},{"dropping-particle":"","family":"Pascual","given":"Unai","non-dropping-particle":"","parse-names":false,"suffix":""},{"dropping-particle":"","family":"Christie","given":"Mike","non-dropping-particle":"","parse-names":false,"suffix":""},{"dropping-particle":"","family":"Baptiste","given":"Brigitte","non-dropping-particle":"","parse-names":false,"suffix":""},{"dropping-particle":"","family":"González-Jiménez","given":"David","non-dropping-particle":"","parse-names":false,"suffix":""}],"id":"ITEM-1","issued":{"date-parts":[["2022"]]},"publisher":"IPBES Secretariat","title":"Methodological Assessment Report on the Diverse Values and Valuation of Nature","type":"book"},"uris":["http://www.mendeley.com/documents/?uuid=7cd85e5c-fade-4cef-834d-64daba902aa3"]}],"mendeley":{"formattedCitation":"(Intergovernmental Science-Policy Platform on Biodiversity and Ecosystem Services, 2022)","plainTextFormattedCitation":"(Intergovernmental Science-Policy Platform on Biodiversity and Ecosystem Services, 2022)","previouslyFormattedCitation":"(Intergovernmental Science-Policy Platform on Biodiversity and Ecosystem Services, 2022)"},"properties":{"noteIndex":0},"schema":"https://github.com/citation-style-language/schema/raw/master/csl-citation.json"}</w:instrText>
      </w:r>
      <w:r w:rsidR="00A33854">
        <w:rPr>
          <w:lang w:val="en-ID"/>
        </w:rPr>
        <w:fldChar w:fldCharType="separate"/>
      </w:r>
      <w:r w:rsidR="00A33854" w:rsidRPr="00A33854">
        <w:rPr>
          <w:noProof/>
          <w:lang w:val="en-ID"/>
        </w:rPr>
        <w:t>(Intergovernmental Science-Policy Platform on Biodiversity and Ecosystem Services, 2022)</w:t>
      </w:r>
      <w:r w:rsidR="00A33854">
        <w:rPr>
          <w:lang w:val="en-ID"/>
        </w:rPr>
        <w:fldChar w:fldCharType="end"/>
      </w:r>
      <w:r w:rsidRPr="0027243F">
        <w:rPr>
          <w:lang w:val="en-ID"/>
        </w:rPr>
        <w:t>.</w:t>
      </w:r>
    </w:p>
    <w:p w14:paraId="32BE579F" w14:textId="3062B309" w:rsidR="007A0911" w:rsidRPr="007A0911" w:rsidRDefault="0027243F" w:rsidP="0027243F">
      <w:pPr>
        <w:jc w:val="both"/>
        <w:rPr>
          <w:b/>
          <w:bCs/>
        </w:rPr>
      </w:pPr>
      <w:r w:rsidRPr="0027243F">
        <w:rPr>
          <w:b/>
          <w:bCs/>
        </w:rPr>
        <w:t>The Use of Traditional Medicine Cannot Yet Be Equated with Clinical Safety</w:t>
      </w:r>
    </w:p>
    <w:p w14:paraId="384CE2F2" w14:textId="77777777" w:rsidR="00786D23" w:rsidRPr="00786D23" w:rsidRDefault="00786D23" w:rsidP="00786D23">
      <w:pPr>
        <w:ind w:firstLine="709"/>
        <w:jc w:val="both"/>
        <w:rPr>
          <w:lang w:val="en-ID"/>
        </w:rPr>
      </w:pPr>
      <w:r w:rsidRPr="00786D23">
        <w:rPr>
          <w:lang w:val="en-ID"/>
        </w:rPr>
        <w:t>Frequency of reporting indicates that a plant is known and used within a community. Cultural value demonstrates the plant’s close relationship with community practices. Pharmacological activity indicates biological potential under specific research conditions. Clinical effectiveness can only be evaluated through human studies using appropriate designs, doses, and outcomes.</w:t>
      </w:r>
    </w:p>
    <w:p w14:paraId="78AB344E" w14:textId="77777777" w:rsidR="00786D23" w:rsidRPr="00786D23" w:rsidRDefault="00786D23" w:rsidP="00786D23">
      <w:pPr>
        <w:ind w:firstLine="709"/>
        <w:jc w:val="both"/>
        <w:rPr>
          <w:lang w:val="en-ID"/>
        </w:rPr>
      </w:pPr>
      <w:r w:rsidRPr="00786D23">
        <w:rPr>
          <w:lang w:val="en-ID"/>
        </w:rPr>
        <w:t xml:space="preserve">Differences in routes of administration require particular attention during safety evaluation. Oral preparations may result in systemic exposure and allow certain constituents to enter breast milk. External applications may cause irritation, allergic reactions, wound contamination, or mucosal exposure. Risks are also influenced by material cleanliness, storage duration, boiling procedures, the quantity of ingredients, and combinations of plants. Postpartum women constitute a population with specific needs because their bodies remain in the recovery process and most are also breastfeeding. The use of herbal preparations should therefore take into account bleeding, </w:t>
      </w:r>
      <w:proofErr w:type="spellStart"/>
      <w:r w:rsidRPr="00786D23">
        <w:rPr>
          <w:lang w:val="en-ID"/>
        </w:rPr>
        <w:t>anemia</w:t>
      </w:r>
      <w:proofErr w:type="spellEnd"/>
      <w:r w:rsidRPr="00786D23">
        <w:rPr>
          <w:lang w:val="en-ID"/>
        </w:rPr>
        <w:t>, blood pressure, wound condition, concurrent medication use, and infant health. Future ethnobotanical research should document dosage, frequency, duration of use, the postpartum day on which consumption begins, breastfeeding status, and adverse events.</w:t>
      </w:r>
    </w:p>
    <w:p w14:paraId="5B027EBC" w14:textId="6BDED123" w:rsidR="00786D23" w:rsidRPr="00786D23" w:rsidRDefault="00786D23" w:rsidP="00786D23">
      <w:pPr>
        <w:ind w:firstLine="709"/>
        <w:jc w:val="both"/>
        <w:rPr>
          <w:lang w:val="en-ID"/>
        </w:rPr>
      </w:pPr>
      <w:r w:rsidRPr="00786D23">
        <w:rPr>
          <w:lang w:val="en-ID"/>
        </w:rPr>
        <w:t xml:space="preserve">Evidence concerning ginger as a galactagogue should be interpreted cautiously. Several trials have indicated a possible increase in breast milk production under certain conditions, but the intervention forms, maternal populations, and product compositions differed across studies. The absence of reported adverse effects in a limited number of studies does not establish that all ginger preparations are safe for all breastfeeding women </w:t>
      </w:r>
      <w:r w:rsidR="00A33854">
        <w:rPr>
          <w:lang w:val="en-ID"/>
        </w:rPr>
        <w:fldChar w:fldCharType="begin" w:fldLock="1"/>
      </w:r>
      <w:r w:rsidR="00A33854">
        <w:rPr>
          <w:lang w:val="en-ID"/>
        </w:rPr>
        <w:instrText>ADDIN CSL_CITATION {"citationItems":[{"id":"ITEM-1","itemData":{"DOI":"10.1159/000515630","author":[{"dropping-particle":"","family":"Dilokthornsakul","given":"W","non-dropping-particle":"","parse-names":false,"suffix":""},{"dropping-particle":"","family":"Rinta","given":"A","non-dropping-particle":"","parse-names":false,"suffix":""},{"dropping-particle":"","family":"Dhippayom","given":"T","non-dropping-particle":"","parse-names":false,"suffix":""},{"dropping-particle":"","family":"Dilokthornsakul","given":"P","non-dropping-particle":"","parse-names":false,"suffix":""}],"container-title":"Complementary Medicine Research","id":"ITEM-1","issue":"1","issued":{"date-parts":[["2022"]]},"page":"67-73","title":"Efficacy and safety of ginger regarding human milk volume and related clinical outcomes: A systematic review of randomized controlled trials","type":"article-journal","volume":"29"},"uris":["http://www.mendeley.com/documents/?uuid=4af55105-846d-4645-8b3a-14cb2a5824fa"]}],"mendeley":{"formattedCitation":"(Dilokthornsakul et al., 2022)","plainTextFormattedCitation":"(Dilokthornsakul et al., 2022)","previouslyFormattedCitation":"(Dilokthornsakul et al., 2022)"},"properties":{"noteIndex":0},"schema":"https://github.com/citation-style-language/schema/raw/master/csl-citation.json"}</w:instrText>
      </w:r>
      <w:r w:rsidR="00A33854">
        <w:rPr>
          <w:lang w:val="en-ID"/>
        </w:rPr>
        <w:fldChar w:fldCharType="separate"/>
      </w:r>
      <w:r w:rsidR="00A33854" w:rsidRPr="00A33854">
        <w:rPr>
          <w:noProof/>
          <w:lang w:val="en-ID"/>
        </w:rPr>
        <w:t>(Dilokthornsakul et al., 2022)</w:t>
      </w:r>
      <w:r w:rsidR="00A33854">
        <w:rPr>
          <w:lang w:val="en-ID"/>
        </w:rPr>
        <w:fldChar w:fldCharType="end"/>
      </w:r>
      <w:r w:rsidRPr="00786D23">
        <w:rPr>
          <w:lang w:val="en-ID"/>
        </w:rPr>
        <w:t xml:space="preserve">. Evidence regarding herbal galactagogues in general is also insufficient to support uniform recommendations. Existing studies have used different products, doses, and ingredient combinations. Some have methodological limitations and small sample sizes. The certainty of evidence regarding the benefits of herbal galactagogues for mothers who have delivered preterm infants remains limited </w:t>
      </w:r>
      <w:r w:rsidR="00A33854">
        <w:rPr>
          <w:lang w:val="en-ID"/>
        </w:rPr>
        <w:fldChar w:fldCharType="begin" w:fldLock="1"/>
      </w:r>
      <w:r w:rsidR="00A33854">
        <w:rPr>
          <w:lang w:val="en-ID"/>
        </w:rPr>
        <w:instrText>ADDIN CSL_CITATION {"citationItems":[{"id":"ITEM-1","itemData":{"DOI":"10.1038/s41430-025-01679-x","author":[{"dropping-particle":"","family":"Cragg","given":"A","non-dropping-particle":"","parse-names":false,"suffix":""},{"dropping-particle":"","family":"Levene","given":"I","non-dropping-particle":"","parse-names":false,"suffix":""},{"dropping-particle":"","family":"Darabi","given":"S","non-dropping-particle":"","parse-names":false,"suffix":""},{"dropping-particle":"","family":"Willcox","given":"M","non-dropping-particle":"","parse-names":false,"suffix":""}],"container-title":"European Journal of Clinical Nutrition","id":"ITEM-1","issued":{"date-parts":[["2026"]]},"page":"146-158","title":"Herbal galactagogues to improve breastmilk production and lactation in mothers of preterm babies: A systematic review of clinical trials","type":"article-journal","volume":"80"},"uris":["http://www.mendeley.com/documents/?uuid=affeb708-759e-4ad0-a158-340ae7743190"]}],"mendeley":{"formattedCitation":"(Cragg et al., 2026)","plainTextFormattedCitation":"(Cragg et al., 2026)","previouslyFormattedCitation":"(Cragg et al., 2026)"},"properties":{"noteIndex":0},"schema":"https://github.com/citation-style-language/schema/raw/master/csl-citation.json"}</w:instrText>
      </w:r>
      <w:r w:rsidR="00A33854">
        <w:rPr>
          <w:lang w:val="en-ID"/>
        </w:rPr>
        <w:fldChar w:fldCharType="separate"/>
      </w:r>
      <w:r w:rsidR="00A33854" w:rsidRPr="00A33854">
        <w:rPr>
          <w:noProof/>
          <w:lang w:val="en-ID"/>
        </w:rPr>
        <w:t>(Cragg et al., 2026)</w:t>
      </w:r>
      <w:r w:rsidR="00A33854">
        <w:rPr>
          <w:lang w:val="en-ID"/>
        </w:rPr>
        <w:fldChar w:fldCharType="end"/>
      </w:r>
      <w:r w:rsidRPr="00786D23">
        <w:rPr>
          <w:lang w:val="en-ID"/>
        </w:rPr>
        <w:t>.</w:t>
      </w:r>
    </w:p>
    <w:p w14:paraId="09C4C971" w14:textId="04D636A2" w:rsidR="00786D23" w:rsidRPr="00786D23" w:rsidRDefault="00786D23" w:rsidP="00786D23">
      <w:pPr>
        <w:ind w:firstLine="709"/>
        <w:jc w:val="both"/>
        <w:rPr>
          <w:lang w:val="en-ID"/>
        </w:rPr>
      </w:pPr>
      <w:r w:rsidRPr="00786D23">
        <w:rPr>
          <w:lang w:val="en-ID"/>
        </w:rPr>
        <w:t xml:space="preserve">The use of galactagogues within communities may be driven by concerns regarding the adequacy of breast milk and by subjective experiences following the consumption of herbal preparations. Perceived benefits are valuable for understanding maternal experiences, but they remain distinct from clinically measured outcomes. The relatively widespread use of galactagogues among breastfeeding women highlights the need for nonjudgmental, evidence-based health communication </w:t>
      </w:r>
      <w:r w:rsidR="00A33854">
        <w:rPr>
          <w:lang w:val="en-ID"/>
        </w:rPr>
        <w:fldChar w:fldCharType="begin" w:fldLock="1"/>
      </w:r>
      <w:r w:rsidR="00A33854">
        <w:rPr>
          <w:lang w:val="en-ID"/>
        </w:rPr>
        <w:instrText>ADDIN CSL_CITATION {"citationItems":[{"id":"ITEM-1","itemData":{"DOI":"10.1016/j.jand.2023.05.019","author":[{"dropping-particle":"","family":"Ryan","given":"R A","non-dropping-particle":"","parse-names":false,"suffix":""},{"dropping-particle":"","family":"Hepworth","given":"A D","non-dropping-particle":"","parse-names":false,"suffix":""},{"dropping-particle":"","family":"Lyndon","given":"A","non-dropping-particle":"","parse-names":false,"suffix":""},{"dropping-particle":"","family":"Bihuniak","given":"J D","non-dropping-particle":"","parse-names":false,"suffix":""}],"container-title":"Journal of the Academy of Nutrition and Dietetics","id":"ITEM-1","issue":"9","issued":{"date-parts":[["2023"]]},"page":"1329-1339","title":"Use of galactagogues to increase milk production among breastfeeding mothers in the United States: A descriptive study","type":"article-journal","volume":"123"},"uris":["http://www.mendeley.com/documents/?uuid=0d044a3e-6060-4297-b7ad-b0d51be53ebd"]}],"mendeley":{"formattedCitation":"(Ryan et al., 2023)","plainTextFormattedCitation":"(Ryan et al., 2023)","previouslyFormattedCitation":"(Ryan et al., 2023)"},"properties":{"noteIndex":0},"schema":"https://github.com/citation-style-language/schema/raw/master/csl-citation.json"}</w:instrText>
      </w:r>
      <w:r w:rsidR="00A33854">
        <w:rPr>
          <w:lang w:val="en-ID"/>
        </w:rPr>
        <w:fldChar w:fldCharType="separate"/>
      </w:r>
      <w:r w:rsidR="00A33854" w:rsidRPr="00A33854">
        <w:rPr>
          <w:noProof/>
          <w:lang w:val="en-ID"/>
        </w:rPr>
        <w:t>(Ryan et al., 2023)</w:t>
      </w:r>
      <w:r w:rsidR="00A33854">
        <w:rPr>
          <w:lang w:val="en-ID"/>
        </w:rPr>
        <w:fldChar w:fldCharType="end"/>
      </w:r>
      <w:r w:rsidRPr="00786D23">
        <w:rPr>
          <w:lang w:val="en-ID"/>
        </w:rPr>
        <w:t>.</w:t>
      </w:r>
    </w:p>
    <w:p w14:paraId="5D70B10A" w14:textId="50ED7EE1" w:rsidR="00786D23" w:rsidRPr="00786D23" w:rsidRDefault="00786D23" w:rsidP="00786D23">
      <w:pPr>
        <w:ind w:firstLine="709"/>
        <w:jc w:val="both"/>
        <w:rPr>
          <w:lang w:val="en-ID"/>
        </w:rPr>
      </w:pPr>
      <w:r w:rsidRPr="00786D23">
        <w:rPr>
          <w:lang w:val="en-ID"/>
        </w:rPr>
        <w:t xml:space="preserve">Prospective registries may provide a useful approach for observing the safety of herbal preparations in real-world practice. Such registries could systematically record ingredients, doses, maternal characteristics, concomitant medications, clinical findings, and adverse events. This approach has begun to be developed to assess the safety of herbal medicine during the postpartum period in real-world healthcare settings </w:t>
      </w:r>
      <w:r w:rsidR="00A33854">
        <w:rPr>
          <w:lang w:val="en-ID"/>
        </w:rPr>
        <w:fldChar w:fldCharType="begin" w:fldLock="1"/>
      </w:r>
      <w:r w:rsidR="00A33854">
        <w:rPr>
          <w:lang w:val="en-ID"/>
        </w:rPr>
        <w:instrText>ADDIN CSL_CITATION {"citationItems":[{"id":"ITEM-1","itemData":{"DOI":"10.1136/bmjopen-2024-086645","author":[{"dropping-particle":"","family":"Kim","given":"A","non-dropping-particle":"","parse-names":false,"suffix":""},{"dropping-particle":"","family":"Kim","given":"Y E","non-dropping-particle":"","parse-names":false,"suffix":""},{"dropping-particle":"","family":"Seo","given":"S","non-dropping-particle":"","parse-names":false,"suffix":""},{"dropping-particle":"","family":"Kim","given":"S","non-dropping-particle":"","parse-names":false,"suffix":""},{"dropping-particle":"","family":"Cho","given":"E","non-dropping-particle":"","parse-names":false,"suffix":""},{"dropping-particle":"","family":"Kang","given":"Y.-J.","non-dropping-particle":"","parse-names":false,"suffix":""},{"dropping-particle":"","family":"Kim","given":"M","non-dropping-particle":"","parse-names":false,"suffix":""},{"dropping-particle":"","family":"Lee","given":"E","non-dropping-particle":"","parse-names":false,"suffix":""},{"dropping-particle":"","family":"Son","given":"M J","non-dropping-particle":"","parse-names":false,"suffix":""}],"container-title":"BMJ Open","id":"ITEM-1","issue":"8","issued":{"date-parts":[["2024"]]},"page":"e086645","title":"Safety of herbal medicine in the postpartum period of a Korean Medicine hospital and postpartum care centre: Protocol of a registry study (SAFEHERE-PC)","type":"article-journal","volume":"14"},"uris":["http://www.mendeley.com/documents/?uuid=e76a504d-275a-48e0-80c0-070783a268d5"]}],"mendeley":{"formattedCitation":"(Kim et al., 2024)","plainTextFormattedCitation":"(Kim et al., 2024)","previouslyFormattedCitation":"(Kim et al., 2024)"},"properties":{"noteIndex":0},"schema":"https://github.com/citation-style-language/schema/raw/master/csl-citation.json"}</w:instrText>
      </w:r>
      <w:r w:rsidR="00A33854">
        <w:rPr>
          <w:lang w:val="en-ID"/>
        </w:rPr>
        <w:fldChar w:fldCharType="separate"/>
      </w:r>
      <w:r w:rsidR="00A33854" w:rsidRPr="00A33854">
        <w:rPr>
          <w:noProof/>
          <w:lang w:val="en-ID"/>
        </w:rPr>
        <w:t>(Kim et al., 2024)</w:t>
      </w:r>
      <w:r w:rsidR="00A33854">
        <w:rPr>
          <w:lang w:val="en-ID"/>
        </w:rPr>
        <w:fldChar w:fldCharType="end"/>
      </w:r>
      <w:r w:rsidRPr="00786D23">
        <w:rPr>
          <w:lang w:val="en-ID"/>
        </w:rPr>
        <w:t>.</w:t>
      </w:r>
    </w:p>
    <w:p w14:paraId="4744C74A" w14:textId="104ABD96" w:rsidR="00786D23" w:rsidRPr="00786D23" w:rsidRDefault="00786D23" w:rsidP="00786D23">
      <w:pPr>
        <w:ind w:firstLine="709"/>
        <w:jc w:val="both"/>
        <w:rPr>
          <w:lang w:val="en-ID"/>
        </w:rPr>
      </w:pPr>
      <w:r w:rsidRPr="00786D23">
        <w:rPr>
          <w:lang w:val="en-ID"/>
        </w:rPr>
        <w:t xml:space="preserve">Pharmacovigilance should also be strengthened because adverse events associated with herbal products are frequently underreported. Information concerning product composition, scientific names, </w:t>
      </w:r>
      <w:r w:rsidRPr="00786D23">
        <w:rPr>
          <w:lang w:val="en-ID"/>
        </w:rPr>
        <w:lastRenderedPageBreak/>
        <w:t xml:space="preserve">plant parts, manufacturers, and additional ingredients is often unavailable. More detailed reporting is required so that associations between products and observed effects can be assessed more reliably </w:t>
      </w:r>
      <w:r w:rsidR="00A33854">
        <w:rPr>
          <w:lang w:val="en-ID"/>
        </w:rPr>
        <w:fldChar w:fldCharType="begin" w:fldLock="1"/>
      </w:r>
      <w:r w:rsidR="00A33854">
        <w:rPr>
          <w:lang w:val="en-ID"/>
        </w:rPr>
        <w:instrText>ADDIN CSL_CITATION {"citationItems":[{"id":"ITEM-1","itemData":{"DOI":"10.2196/63808","author":[{"dropping-particle":"","family":"Kongkaew","given":"Chuenjid","non-dropping-particle":"","parse-names":false,"suffix":""},{"dropping-particle":"","family":"Phan","given":"D T A","non-dropping-particle":"","parse-names":false,"suffix":""},{"dropping-particle":"","family":"Janusorn","given":"P","non-dropping-particle":"","parse-names":false,"suffix":""},{"dropping-particle":"","family":"Mongkhon","given":"P","non-dropping-particle":"","parse-names":false,"suffix":""}],"container-title":"JMIR Public Health and Surveillance","id":"ITEM-1","issued":{"date-parts":[["2024"]]},"page":"e63808","title":"Estimating adverse events associated with herbal medicines using pharmacovigilance databases: Systematic review and meta-analysis","type":"article-journal","volume":"10"},"uris":["http://www.mendeley.com/documents/?uuid=fdbdb5b3-1664-4cde-90b6-f9c0f13dd215"]}],"mendeley":{"formattedCitation":"(Kongkaew et al., 2024)","plainTextFormattedCitation":"(Kongkaew et al., 2024)","previouslyFormattedCitation":"(Kongkaew et al., 2024)"},"properties":{"noteIndex":0},"schema":"https://github.com/citation-style-language/schema/raw/master/csl-citation.json"}</w:instrText>
      </w:r>
      <w:r w:rsidR="00A33854">
        <w:rPr>
          <w:lang w:val="en-ID"/>
        </w:rPr>
        <w:fldChar w:fldCharType="separate"/>
      </w:r>
      <w:r w:rsidR="00A33854" w:rsidRPr="00A33854">
        <w:rPr>
          <w:noProof/>
          <w:lang w:val="en-ID"/>
        </w:rPr>
        <w:t>(Kongkaew et al., 2024)</w:t>
      </w:r>
      <w:r w:rsidR="00A33854">
        <w:rPr>
          <w:lang w:val="en-ID"/>
        </w:rPr>
        <w:fldChar w:fldCharType="end"/>
      </w:r>
      <w:r w:rsidRPr="00786D23">
        <w:rPr>
          <w:lang w:val="en-ID"/>
        </w:rPr>
        <w:t xml:space="preserve">. The findings of this review therefore do not support the conclusion that </w:t>
      </w:r>
      <w:proofErr w:type="spellStart"/>
      <w:r w:rsidRPr="00786D23">
        <w:rPr>
          <w:lang w:val="en-ID"/>
        </w:rPr>
        <w:t>Zingiberaceae</w:t>
      </w:r>
      <w:proofErr w:type="spellEnd"/>
      <w:r w:rsidRPr="00786D23">
        <w:rPr>
          <w:lang w:val="en-ID"/>
        </w:rPr>
        <w:t xml:space="preserve"> or any other plant family has been proven safe and effective for all postpartum women. Rather, the findings help identify plants that frequently appear in inventories and should be prioritized for authentication, toxicological investigation, evaluation of herb–drug interactions, and clinical research. The integration of traditional medicine into healthcare services should respect local knowledge while strengthening quality, safety, and user protection </w:t>
      </w:r>
      <w:r w:rsidR="00A33854">
        <w:rPr>
          <w:lang w:val="en-ID"/>
        </w:rPr>
        <w:fldChar w:fldCharType="begin" w:fldLock="1"/>
      </w:r>
      <w:r w:rsidR="00A33854">
        <w:rPr>
          <w:lang w:val="en-ID"/>
        </w:rPr>
        <w:instrText>ADDIN CSL_CITATION {"citationItems":[{"id":"ITEM-1","itemData":{"author":[{"dropping-particle":"","family":"World Health Organization","given":"","non-dropping-particle":"","parse-names":false,"suffix":""}],"id":"ITEM-1","issued":{"date-parts":[["2025"]]},"title":"Global Traditional Medicine Strategy 2025--2034","type":"report"},"uris":["http://www.mendeley.com/documents/?uuid=c3c69cc7-4a12-4e0a-b82d-b928477e8752"]}],"mendeley":{"formattedCitation":"(World Health Organization, 2025)","plainTextFormattedCitation":"(World Health Organization, 2025)","previouslyFormattedCitation":"(World Health Organization, 2025)"},"properties":{"noteIndex":0},"schema":"https://github.com/citation-style-language/schema/raw/master/csl-citation.json"}</w:instrText>
      </w:r>
      <w:r w:rsidR="00A33854">
        <w:rPr>
          <w:lang w:val="en-ID"/>
        </w:rPr>
        <w:fldChar w:fldCharType="separate"/>
      </w:r>
      <w:r w:rsidR="00A33854" w:rsidRPr="00A33854">
        <w:rPr>
          <w:noProof/>
          <w:lang w:val="en-ID"/>
        </w:rPr>
        <w:t>(World Health Organization, 2025)</w:t>
      </w:r>
      <w:r w:rsidR="00A33854">
        <w:rPr>
          <w:lang w:val="en-ID"/>
        </w:rPr>
        <w:fldChar w:fldCharType="end"/>
      </w:r>
      <w:r w:rsidRPr="00786D23">
        <w:rPr>
          <w:lang w:val="en-ID"/>
        </w:rPr>
        <w:t>.</w:t>
      </w:r>
    </w:p>
    <w:p w14:paraId="206053E0" w14:textId="3B1B00FD" w:rsidR="007A0911" w:rsidRPr="007A0911" w:rsidRDefault="00786D23" w:rsidP="00786D23">
      <w:pPr>
        <w:jc w:val="both"/>
        <w:rPr>
          <w:b/>
          <w:bCs/>
        </w:rPr>
      </w:pPr>
      <w:r w:rsidRPr="00786D23">
        <w:rPr>
          <w:b/>
          <w:bCs/>
        </w:rPr>
        <w:t>Study Limitations</w:t>
      </w:r>
    </w:p>
    <w:p w14:paraId="45520C27" w14:textId="77777777" w:rsidR="00786D23" w:rsidRPr="00786D23" w:rsidRDefault="00786D23" w:rsidP="00786D23">
      <w:pPr>
        <w:ind w:firstLine="709"/>
        <w:jc w:val="both"/>
        <w:rPr>
          <w:lang w:val="en-ID"/>
        </w:rPr>
      </w:pPr>
      <w:r w:rsidRPr="00786D23">
        <w:rPr>
          <w:lang w:val="en-ID"/>
        </w:rPr>
        <w:t xml:space="preserve">A major strength of this study is its specific focus on plants used for postpartum maternal care. The classification of articles into postpartum-specific data, separable postpartum data, and combined maternal data helped prevent the conflation of plant uses during pregnancy, childbirth, infant care, and the postpartum period. Taxonomic harmonization also reduced the possibility that the same species would be counted repeatedly because of synonym differences. The reporting of prediction intervals represents an additional strength because between-article variation was not concealed by a single mean estimate. The sensitivity analysis also demonstrated that the findings did not change substantially when Group B articles were included. The selection of </w:t>
      </w:r>
      <w:proofErr w:type="spellStart"/>
      <w:r w:rsidRPr="00786D23">
        <w:rPr>
          <w:lang w:val="en-ID"/>
        </w:rPr>
        <w:t>Zingiberaceae</w:t>
      </w:r>
      <w:proofErr w:type="spellEnd"/>
      <w:r w:rsidRPr="00786D23">
        <w:rPr>
          <w:lang w:val="en-ID"/>
        </w:rPr>
        <w:t xml:space="preserve"> after data extraction was explicitly identified as an exploratory analysis, allowing readers to openly assess the potential for outcome-selection bias.</w:t>
      </w:r>
    </w:p>
    <w:p w14:paraId="77A8FE92" w14:textId="77777777" w:rsidR="00786D23" w:rsidRPr="00786D23" w:rsidRDefault="00786D23" w:rsidP="00786D23">
      <w:pPr>
        <w:ind w:firstLine="709"/>
        <w:jc w:val="both"/>
        <w:rPr>
          <w:lang w:val="en-ID"/>
        </w:rPr>
      </w:pPr>
      <w:r w:rsidRPr="00786D23">
        <w:rPr>
          <w:lang w:val="en-ID"/>
        </w:rPr>
        <w:t>The most important limitation concerns the unit of analysis. The denominator was the number of species recorded in each article, rather than the number of mothers or informants. This denominator was influenced by geographical coverage, interview intensity, number of research locations, and the manner in which each study defined postpartum care. The pooled estimate therefore cannot be interpreted as national prevalence.</w:t>
      </w:r>
    </w:p>
    <w:p w14:paraId="293B0F0B" w14:textId="77777777" w:rsidR="00786D23" w:rsidRPr="00786D23" w:rsidRDefault="00786D23" w:rsidP="00786D23">
      <w:pPr>
        <w:ind w:firstLine="709"/>
        <w:jc w:val="both"/>
        <w:rPr>
          <w:lang w:val="en-ID"/>
        </w:rPr>
      </w:pPr>
      <w:r w:rsidRPr="00786D23">
        <w:rPr>
          <w:lang w:val="en-ID"/>
        </w:rPr>
        <w:t>The geographical distribution of the evidence was also uneven. Most evidence originated from Sumatra, Java, and Kalimantan. Sulawesi and Maluku were represented by only a small number of studies, while no articles from Bali, Nusa Tenggara, or Papua met the inclusion criteria. The absence of eligible articles from a region does not indicate that local communities lack knowledge of postpartum plants. Instead, it may reflect limitations in research activity, indexing, publication language, or access to articles.</w:t>
      </w:r>
    </w:p>
    <w:p w14:paraId="59BCD0F7" w14:textId="77777777" w:rsidR="00786D23" w:rsidRPr="00786D23" w:rsidRDefault="00786D23" w:rsidP="00786D23">
      <w:pPr>
        <w:ind w:firstLine="709"/>
        <w:jc w:val="both"/>
        <w:rPr>
          <w:lang w:val="en-ID"/>
        </w:rPr>
      </w:pPr>
      <w:r w:rsidRPr="00786D23">
        <w:rPr>
          <w:lang w:val="en-ID"/>
        </w:rPr>
        <w:t>Multiethnic articles presented another limitation because combined inventories may obscure differences among communities. When data could not be separated, an article could only be treated as one combined inventory. This restricted the ability of the review to associate a particular species with a specific ethnic identity. Potential availability bias and indexing bias should also be considered. Local articles may be published in unindexed journals or may use regional terminology not captured by the search strategy. Some studies may also be available only in institutional repositories or local reports. A review that was not prospectively registered has the additional limitation that methodological changes made after data extraction cannot be compared with an initial publicly available protocol.</w:t>
      </w:r>
    </w:p>
    <w:p w14:paraId="3BA987DF" w14:textId="77777777" w:rsidR="00786D23" w:rsidRPr="00786D23" w:rsidRDefault="00786D23" w:rsidP="00786D23">
      <w:pPr>
        <w:ind w:firstLine="709"/>
        <w:jc w:val="both"/>
        <w:rPr>
          <w:lang w:val="en-ID"/>
        </w:rPr>
      </w:pPr>
      <w:r w:rsidRPr="00786D23">
        <w:rPr>
          <w:lang w:val="en-ID"/>
        </w:rPr>
        <w:t xml:space="preserve">Taxonomic harmonization does not completely eliminate the risk of misidentification. Accepted names can be standardized </w:t>
      </w:r>
      <w:proofErr w:type="spellStart"/>
      <w:r w:rsidRPr="00786D23">
        <w:rPr>
          <w:lang w:val="en-ID"/>
        </w:rPr>
        <w:t>nomenclaturally</w:t>
      </w:r>
      <w:proofErr w:type="spellEnd"/>
      <w:r w:rsidRPr="00786D23">
        <w:rPr>
          <w:lang w:val="en-ID"/>
        </w:rPr>
        <w:t xml:space="preserve">, but the accuracy of field identification remains dependent on voucher specimens and botanical documentation. Local names that are not supported by specimen evidence should be interpreted cautiously. Funnel plots also have limited utility in this context. Asymmetry </w:t>
      </w:r>
      <w:r w:rsidRPr="00786D23">
        <w:rPr>
          <w:lang w:val="en-ID"/>
        </w:rPr>
        <w:lastRenderedPageBreak/>
        <w:t>may be influenced by cultural and ecological heterogeneity rather than publication bias alone. Consequently, funnel plot findings were not used as the basis for the primary conclusions.</w:t>
      </w:r>
    </w:p>
    <w:p w14:paraId="049ABFA3" w14:textId="67BE67D1" w:rsidR="007A0911" w:rsidRPr="007A0911" w:rsidRDefault="004B6A92" w:rsidP="004B6A92">
      <w:pPr>
        <w:jc w:val="both"/>
        <w:rPr>
          <w:b/>
          <w:bCs/>
        </w:rPr>
      </w:pPr>
      <w:r w:rsidRPr="004B6A92">
        <w:rPr>
          <w:b/>
          <w:bCs/>
        </w:rPr>
        <w:t>Advancing Postpartum Ethnobotanical Research</w:t>
      </w:r>
    </w:p>
    <w:p w14:paraId="758CFAFE" w14:textId="77777777" w:rsidR="004B6A92" w:rsidRPr="004B6A92" w:rsidRDefault="004B6A92" w:rsidP="004B6A92">
      <w:pPr>
        <w:ind w:firstLine="709"/>
        <w:jc w:val="both"/>
        <w:rPr>
          <w:lang w:val="en-ID"/>
        </w:rPr>
      </w:pPr>
      <w:r w:rsidRPr="004B6A92">
        <w:rPr>
          <w:lang w:val="en-ID"/>
        </w:rPr>
        <w:t>Future studies should adopt more structured ethnobotanical reporting. Essential information should include informant characteristics, sampling techniques, number of research locations, study period, interview methods, validation procedures, local names, scientific names, plant families, voucher specimens, plant parts, preparation methods, administration routes, dosage, frequency, duration, postpartum day of use, breastfeeding status, and adverse events. Data should be separated according to community and maternal stage. Plants used during pregnancy, childbirth, the postpartum period, and infant care should not be combined without clear markers. Such separation would increase the precision of future syntheses and allow more meaningful analyses.</w:t>
      </w:r>
    </w:p>
    <w:p w14:paraId="3C85DDFB" w14:textId="77777777" w:rsidR="004B6A92" w:rsidRPr="004B6A92" w:rsidRDefault="004B6A92" w:rsidP="004B6A92">
      <w:pPr>
        <w:ind w:firstLine="709"/>
        <w:jc w:val="both"/>
        <w:rPr>
          <w:lang w:val="en-ID"/>
        </w:rPr>
      </w:pPr>
      <w:r w:rsidRPr="004B6A92">
        <w:rPr>
          <w:lang w:val="en-ID"/>
        </w:rPr>
        <w:t>The development of a master species list is an important priority. The list should include the accepted scientific name, the original name reported in the article, synonyms, family, local names, community, province, island, plant parts, preparation methods, administration routes, postpartum indications, voucher specimens, source articles, and taxonomic verification status. Such a list is also necessary for accurately calculating the number of unique species, genera, and families.</w:t>
      </w:r>
    </w:p>
    <w:p w14:paraId="76A1BBD3" w14:textId="77777777" w:rsidR="004B6A92" w:rsidRPr="004B6A92" w:rsidRDefault="004B6A92" w:rsidP="004B6A92">
      <w:pPr>
        <w:ind w:firstLine="709"/>
        <w:jc w:val="both"/>
        <w:rPr>
          <w:lang w:val="en-ID"/>
        </w:rPr>
      </w:pPr>
      <w:r w:rsidRPr="004B6A92">
        <w:rPr>
          <w:lang w:val="en-ID"/>
        </w:rPr>
        <w:t>Safety research may begin with botanical authentication, contaminant testing, chemical characterization, and toxicological assessment according to the administration route. Subsequent stages could use cohort studies or registries to document exposure to herbal preparations under real-world conditions. Preparations demonstrating an adequate preliminary profile could then proceed to clinical studies using relevant maternal and breastfeeding outcomes.</w:t>
      </w:r>
    </w:p>
    <w:p w14:paraId="35AF7F18" w14:textId="77777777" w:rsidR="004B6A92" w:rsidRPr="004B6A92" w:rsidRDefault="004B6A92" w:rsidP="004B6A92">
      <w:pPr>
        <w:ind w:firstLine="709"/>
        <w:jc w:val="both"/>
        <w:rPr>
          <w:lang w:val="en-ID"/>
        </w:rPr>
      </w:pPr>
      <w:r w:rsidRPr="004B6A92">
        <w:rPr>
          <w:lang w:val="en-ID"/>
        </w:rPr>
        <w:t>Conservation research should distinguish among materials obtained from forests, cultivated gardens, home yards, markets, and processed products. Information on wild or cultivated status would help identify species requiring habitat protection or nursery development. Conservation approaches should be designed together with communities so that plant protection proceeds alongside the protection of traditional knowledge. Future quantitative analyses could employ multilevel models when a single article provides inventories from several communities. Meta-regression may also become feasible when the number of articles and completeness of moderator data are sufficient. Relevant moderators may include biogeographical region, number of informants, number of research locations, multiethnic status, intensity of data collection, availability of voucher specimens, material sources, and the quality of botanical identification.</w:t>
      </w:r>
    </w:p>
    <w:p w14:paraId="3BCF89A9" w14:textId="77777777" w:rsidR="007A0911" w:rsidRPr="00E54943" w:rsidRDefault="007A0911" w:rsidP="00E54943">
      <w:pPr>
        <w:ind w:firstLine="709"/>
        <w:jc w:val="both"/>
      </w:pPr>
    </w:p>
    <w:p w14:paraId="78C71CE4" w14:textId="3913463C" w:rsidR="00E45F62" w:rsidRPr="00E45F62" w:rsidRDefault="004B6A92" w:rsidP="004B6A92">
      <w:pPr>
        <w:jc w:val="both"/>
        <w:rPr>
          <w:b/>
          <w:bCs/>
        </w:rPr>
      </w:pPr>
      <w:r w:rsidRPr="004B6A92">
        <w:rPr>
          <w:b/>
          <w:bCs/>
        </w:rPr>
        <w:t>CONCLUSION</w:t>
      </w:r>
    </w:p>
    <w:p w14:paraId="58726B30" w14:textId="77777777" w:rsidR="00A30FD9" w:rsidRPr="00A30FD9" w:rsidRDefault="00A30FD9" w:rsidP="00A30FD9">
      <w:pPr>
        <w:ind w:firstLine="709"/>
        <w:jc w:val="both"/>
        <w:rPr>
          <w:lang w:val="en-ID"/>
        </w:rPr>
      </w:pPr>
      <w:r w:rsidRPr="00A30FD9">
        <w:rPr>
          <w:lang w:val="en-ID"/>
        </w:rPr>
        <w:t xml:space="preserve">This study identified 23 articles describing the diversity of medicinal plants used for postpartum maternal care among various ethnic communities, Indigenous peoples, and local communities in Indonesia. The primary analysis of 17 inventories specifically addressing postpartum care yielded a model-averaged estimate for the proportion of </w:t>
      </w:r>
      <w:proofErr w:type="spellStart"/>
      <w:r w:rsidRPr="00A30FD9">
        <w:rPr>
          <w:lang w:val="en-ID"/>
        </w:rPr>
        <w:t>Zingiberaceae</w:t>
      </w:r>
      <w:proofErr w:type="spellEnd"/>
      <w:r w:rsidRPr="00A30FD9">
        <w:rPr>
          <w:lang w:val="en-ID"/>
        </w:rPr>
        <w:t xml:space="preserve"> of 23.2%, with a 95% confidence interval of 16.7%–31.3% and a 95% prediction interval of 6.8%–55.7%. When four articles containing separable postpartum data were added in the sensitivity analysis, the estimate changed to 21.3%, with a 95% confidence interval </w:t>
      </w:r>
      <w:r w:rsidRPr="00A30FD9">
        <w:rPr>
          <w:lang w:val="en-ID"/>
        </w:rPr>
        <w:lastRenderedPageBreak/>
        <w:t>of 15.5%–28.6% and a 95% prediction interval of 6.4%–51.9%. Two articles containing inseparable maternal data were used only in the narrative synthesis.</w:t>
      </w:r>
    </w:p>
    <w:p w14:paraId="3886FDE9" w14:textId="77777777" w:rsidR="00A30FD9" w:rsidRPr="00A30FD9" w:rsidRDefault="00A30FD9" w:rsidP="00A30FD9">
      <w:pPr>
        <w:ind w:firstLine="709"/>
        <w:jc w:val="both"/>
        <w:rPr>
          <w:lang w:val="en-ID"/>
        </w:rPr>
      </w:pPr>
      <w:r w:rsidRPr="00A30FD9">
        <w:rPr>
          <w:lang w:val="en-ID"/>
        </w:rPr>
        <w:t xml:space="preserve">These estimates describe article-level floristic composition rather than the prevalence of plant use among postpartum women or communities throughout Indonesia. </w:t>
      </w:r>
      <w:proofErr w:type="spellStart"/>
      <w:r w:rsidRPr="00A30FD9">
        <w:rPr>
          <w:lang w:val="en-ID"/>
        </w:rPr>
        <w:t>Zingiberaceae</w:t>
      </w:r>
      <w:proofErr w:type="spellEnd"/>
      <w:r w:rsidRPr="00A30FD9">
        <w:rPr>
          <w:lang w:val="en-ID"/>
        </w:rPr>
        <w:t xml:space="preserve"> may be described as a family frequently represented in the included article-level inventories. However, its frequency of occurrence does not demonstrate that it is the most effective, the safest, the most culturally important, or the most urgently in need of conservation. The generalizability of the findings is further limited by the uneven geographical distribution of the studies, differences in the number and characteristics of informants, variation in data-collection methods, the combination of several communities within single inventories, and inconsistencies in botanical identification.</w:t>
      </w:r>
    </w:p>
    <w:p w14:paraId="2DC7A10C" w14:textId="77777777" w:rsidR="00A30FD9" w:rsidRPr="00A30FD9" w:rsidRDefault="00A30FD9" w:rsidP="00A30FD9">
      <w:pPr>
        <w:ind w:firstLine="709"/>
        <w:jc w:val="both"/>
        <w:rPr>
          <w:lang w:val="en-ID"/>
        </w:rPr>
      </w:pPr>
      <w:r w:rsidRPr="00A30FD9">
        <w:rPr>
          <w:lang w:val="en-ID"/>
        </w:rPr>
        <w:t>Future studies should apply standardized field data-collection procedures, separate plant uses according to maternal stage and community, provide voucher specimens, conduct taxonomic verification, and evaluate toxicology and safety among postpartum and breastfeeding women before conclusions regarding clinical benefits can be drawn.</w:t>
      </w:r>
    </w:p>
    <w:p w14:paraId="222D4315" w14:textId="77777777" w:rsidR="00E54943" w:rsidRPr="00725E09" w:rsidRDefault="00E54943" w:rsidP="00E45F62">
      <w:pPr>
        <w:jc w:val="both"/>
      </w:pPr>
    </w:p>
    <w:p w14:paraId="6EF80B10" w14:textId="27D1D549" w:rsidR="00725E09" w:rsidRPr="00725E09" w:rsidRDefault="00A30FD9" w:rsidP="00725E09">
      <w:pPr>
        <w:rPr>
          <w:b/>
          <w:bCs/>
        </w:rPr>
      </w:pPr>
      <w:r>
        <w:rPr>
          <w:b/>
          <w:bCs/>
        </w:rPr>
        <w:t>REFERENCES</w:t>
      </w:r>
    </w:p>
    <w:p w14:paraId="40264A93" w14:textId="208ABCDC"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fldChar w:fldCharType="begin" w:fldLock="1"/>
      </w:r>
      <w:r>
        <w:instrText xml:space="preserve">ADDIN Mendeley Bibliography CSL_BIBLIOGRAPHY </w:instrText>
      </w:r>
      <w:r>
        <w:fldChar w:fldCharType="separate"/>
      </w:r>
      <w:r w:rsidRPr="00A33854">
        <w:rPr>
          <w:rFonts w:ascii="Calibri" w:hAnsi="Calibri" w:cs="Calibri"/>
          <w:noProof/>
          <w:kern w:val="0"/>
        </w:rPr>
        <w:t xml:space="preserve">Afonso, J., Ramirez-Campillo, R., Clemente, F. M., Büttner, F. C., &amp; Andrade, R. (2024). The perils of misinterpreting and misusing “publication bias’’’ in meta-analyses: An education review on funnel plot-based methods.” </w:t>
      </w:r>
      <w:r w:rsidRPr="00A33854">
        <w:rPr>
          <w:rFonts w:ascii="Calibri" w:hAnsi="Calibri" w:cs="Calibri"/>
          <w:i/>
          <w:iCs/>
          <w:noProof/>
          <w:kern w:val="0"/>
        </w:rPr>
        <w:t>Sports Medicine</w:t>
      </w:r>
      <w:r w:rsidRPr="00A33854">
        <w:rPr>
          <w:rFonts w:ascii="Calibri" w:hAnsi="Calibri" w:cs="Calibri"/>
          <w:noProof/>
          <w:kern w:val="0"/>
        </w:rPr>
        <w:t xml:space="preserve">, </w:t>
      </w:r>
      <w:r w:rsidRPr="00A33854">
        <w:rPr>
          <w:rFonts w:ascii="Calibri" w:hAnsi="Calibri" w:cs="Calibri"/>
          <w:i/>
          <w:iCs/>
          <w:noProof/>
          <w:kern w:val="0"/>
        </w:rPr>
        <w:t>54</w:t>
      </w:r>
      <w:r w:rsidRPr="00A33854">
        <w:rPr>
          <w:rFonts w:ascii="Calibri" w:hAnsi="Calibri" w:cs="Calibri"/>
          <w:noProof/>
          <w:kern w:val="0"/>
        </w:rPr>
        <w:t>(2), 257–269. https://doi.org/10.1007/s40279-023-01927-9</w:t>
      </w:r>
    </w:p>
    <w:p w14:paraId="1807BC0D"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Agata, F., Arbiastutie, Y., &amp; Wardenaar, E. (2022). Pemanfaatan tumbuhan obat ibu pasca persalinan di Desa Sekonau Kecamatan Sekadau Hulu Kabupaten Sekadau. </w:t>
      </w:r>
      <w:r w:rsidRPr="00A33854">
        <w:rPr>
          <w:rFonts w:ascii="Calibri" w:hAnsi="Calibri" w:cs="Calibri"/>
          <w:i/>
          <w:iCs/>
          <w:noProof/>
          <w:kern w:val="0"/>
        </w:rPr>
        <w:t>Jurnal Lingkungan Hutan Tropis</w:t>
      </w:r>
      <w:r w:rsidRPr="00A33854">
        <w:rPr>
          <w:rFonts w:ascii="Calibri" w:hAnsi="Calibri" w:cs="Calibri"/>
          <w:noProof/>
          <w:kern w:val="0"/>
        </w:rPr>
        <w:t xml:space="preserve">, </w:t>
      </w:r>
      <w:r w:rsidRPr="00A33854">
        <w:rPr>
          <w:rFonts w:ascii="Calibri" w:hAnsi="Calibri" w:cs="Calibri"/>
          <w:i/>
          <w:iCs/>
          <w:noProof/>
          <w:kern w:val="0"/>
        </w:rPr>
        <w:t>1</w:t>
      </w:r>
      <w:r w:rsidRPr="00A33854">
        <w:rPr>
          <w:rFonts w:ascii="Calibri" w:hAnsi="Calibri" w:cs="Calibri"/>
          <w:noProof/>
          <w:kern w:val="0"/>
        </w:rPr>
        <w:t>(4), 1177–1185.</w:t>
      </w:r>
    </w:p>
    <w:p w14:paraId="7BC5FF9B"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Alfi, N. M., Ekasari, T., &amp; Ermawati, I. (2026). Studi etnomedisin penggunaan tanaman obat untuk perawatan pasca melahirkan pada Suku Madura di Kelurahan Kandangjati Kulon Kecamatan Kraksaan Kabupaten Probolinggo. </w:t>
      </w:r>
      <w:r w:rsidRPr="00A33854">
        <w:rPr>
          <w:rFonts w:ascii="Calibri" w:hAnsi="Calibri" w:cs="Calibri"/>
          <w:i/>
          <w:iCs/>
          <w:noProof/>
          <w:kern w:val="0"/>
        </w:rPr>
        <w:t>DELIMA: Jurnal Kajian Kebidanan</w:t>
      </w:r>
      <w:r w:rsidRPr="00A33854">
        <w:rPr>
          <w:rFonts w:ascii="Calibri" w:hAnsi="Calibri" w:cs="Calibri"/>
          <w:noProof/>
          <w:kern w:val="0"/>
        </w:rPr>
        <w:t xml:space="preserve">, </w:t>
      </w:r>
      <w:r w:rsidRPr="00A33854">
        <w:rPr>
          <w:rFonts w:ascii="Calibri" w:hAnsi="Calibri" w:cs="Calibri"/>
          <w:i/>
          <w:iCs/>
          <w:noProof/>
          <w:kern w:val="0"/>
        </w:rPr>
        <w:t>4</w:t>
      </w:r>
      <w:r w:rsidRPr="00A33854">
        <w:rPr>
          <w:rFonts w:ascii="Calibri" w:hAnsi="Calibri" w:cs="Calibri"/>
          <w:noProof/>
          <w:kern w:val="0"/>
        </w:rPr>
        <w:t>(1), 60–76.</w:t>
      </w:r>
    </w:p>
    <w:p w14:paraId="75EBE90C"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Alfiani, A. D., Kamaliah, &amp; Sardi, A. (2026). Etnobotani tanaman obat tradisional pasca melahirkan di Kecamatan Singkil Utara Kabupaten Aceh Singkil. </w:t>
      </w:r>
      <w:r w:rsidRPr="00A33854">
        <w:rPr>
          <w:rFonts w:ascii="Calibri" w:hAnsi="Calibri" w:cs="Calibri"/>
          <w:i/>
          <w:iCs/>
          <w:noProof/>
          <w:kern w:val="0"/>
        </w:rPr>
        <w:t>KENANGA: Journal of Biological Sciences and Applied Biology</w:t>
      </w:r>
      <w:r w:rsidRPr="00A33854">
        <w:rPr>
          <w:rFonts w:ascii="Calibri" w:hAnsi="Calibri" w:cs="Calibri"/>
          <w:noProof/>
          <w:kern w:val="0"/>
        </w:rPr>
        <w:t xml:space="preserve">, </w:t>
      </w:r>
      <w:r w:rsidRPr="00A33854">
        <w:rPr>
          <w:rFonts w:ascii="Calibri" w:hAnsi="Calibri" w:cs="Calibri"/>
          <w:i/>
          <w:iCs/>
          <w:noProof/>
          <w:kern w:val="0"/>
        </w:rPr>
        <w:t>6</w:t>
      </w:r>
      <w:r w:rsidRPr="00A33854">
        <w:rPr>
          <w:rFonts w:ascii="Calibri" w:hAnsi="Calibri" w:cs="Calibri"/>
          <w:noProof/>
          <w:kern w:val="0"/>
        </w:rPr>
        <w:t>(1), 74–96. https://doi.org/10.22373/kenanga.v6i1.9974</w:t>
      </w:r>
    </w:p>
    <w:p w14:paraId="7658686B"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Alum, E. U. (2024). The role of indigenous knowledge in advancing the therapeutic use of medicinal plants: Challenges and opportunities. </w:t>
      </w:r>
      <w:r w:rsidRPr="00A33854">
        <w:rPr>
          <w:rFonts w:ascii="Calibri" w:hAnsi="Calibri" w:cs="Calibri"/>
          <w:i/>
          <w:iCs/>
          <w:noProof/>
          <w:kern w:val="0"/>
        </w:rPr>
        <w:t>Plant Signaling &amp; Behavior</w:t>
      </w:r>
      <w:r w:rsidRPr="00A33854">
        <w:rPr>
          <w:rFonts w:ascii="Calibri" w:hAnsi="Calibri" w:cs="Calibri"/>
          <w:noProof/>
          <w:kern w:val="0"/>
        </w:rPr>
        <w:t xml:space="preserve">, </w:t>
      </w:r>
      <w:r w:rsidRPr="00A33854">
        <w:rPr>
          <w:rFonts w:ascii="Calibri" w:hAnsi="Calibri" w:cs="Calibri"/>
          <w:i/>
          <w:iCs/>
          <w:noProof/>
          <w:kern w:val="0"/>
        </w:rPr>
        <w:t>19</w:t>
      </w:r>
      <w:r w:rsidRPr="00A33854">
        <w:rPr>
          <w:rFonts w:ascii="Calibri" w:hAnsi="Calibri" w:cs="Calibri"/>
          <w:noProof/>
          <w:kern w:val="0"/>
        </w:rPr>
        <w:t>(1), 2439255. https://doi.org/10.1080/15592324.2024.2439255</w:t>
      </w:r>
    </w:p>
    <w:p w14:paraId="38AAC2D6"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Azizah, K. N., Asta, R. A., Arifianto, R., Fa’jri, Y. D., Angelia, C., Natalie, R., Choiron, D. S., Dewi, H. K., Yaumil A., Q. M., Apsari G., Z. P., &amp; Najlaa, F. A. (2023). Ramuan tradisional pasca melahirkan Suku Madura di wilayah Kabupaten Pamekasan. </w:t>
      </w:r>
      <w:r w:rsidRPr="00A33854">
        <w:rPr>
          <w:rFonts w:ascii="Calibri" w:hAnsi="Calibri" w:cs="Calibri"/>
          <w:i/>
          <w:iCs/>
          <w:noProof/>
          <w:kern w:val="0"/>
        </w:rPr>
        <w:t>JFARM: Jurnal Farmasi</w:t>
      </w:r>
      <w:r w:rsidRPr="00A33854">
        <w:rPr>
          <w:rFonts w:ascii="Calibri" w:hAnsi="Calibri" w:cs="Calibri"/>
          <w:noProof/>
          <w:kern w:val="0"/>
        </w:rPr>
        <w:t xml:space="preserve">, </w:t>
      </w:r>
      <w:r w:rsidRPr="00A33854">
        <w:rPr>
          <w:rFonts w:ascii="Calibri" w:hAnsi="Calibri" w:cs="Calibri"/>
          <w:i/>
          <w:iCs/>
          <w:noProof/>
          <w:kern w:val="0"/>
        </w:rPr>
        <w:t>1</w:t>
      </w:r>
      <w:r w:rsidRPr="00A33854">
        <w:rPr>
          <w:rFonts w:ascii="Calibri" w:hAnsi="Calibri" w:cs="Calibri"/>
          <w:noProof/>
          <w:kern w:val="0"/>
        </w:rPr>
        <w:t>(1), 19–29. https://doi.org/10.58794/jfarm.v1i1.488</w:t>
      </w:r>
    </w:p>
    <w:p w14:paraId="0A01703A"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Badan Riset dan Inovasi Nasional. (2024). </w:t>
      </w:r>
      <w:r w:rsidRPr="00A33854">
        <w:rPr>
          <w:rFonts w:ascii="Calibri" w:hAnsi="Calibri" w:cs="Calibri"/>
          <w:i/>
          <w:iCs/>
          <w:noProof/>
          <w:kern w:val="0"/>
        </w:rPr>
        <w:t>Indonesia has 30,000 plant species and marine resources for herbal medicine</w:t>
      </w:r>
      <w:r w:rsidRPr="00A33854">
        <w:rPr>
          <w:rFonts w:ascii="Calibri" w:hAnsi="Calibri" w:cs="Calibri"/>
          <w:noProof/>
          <w:kern w:val="0"/>
        </w:rPr>
        <w:t>. https://www.brin.go.id/en/news/117492/indonesia-has-30000-plant-species-and-marine-resources-for-herbal-medicine</w:t>
      </w:r>
    </w:p>
    <w:p w14:paraId="743B046F"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lastRenderedPageBreak/>
        <w:t xml:space="preserve">Borenstein, M. (2022). In a meta-analysis, the I-squared statistic does not tell us how much the effect size varies. </w:t>
      </w:r>
      <w:r w:rsidRPr="00A33854">
        <w:rPr>
          <w:rFonts w:ascii="Calibri" w:hAnsi="Calibri" w:cs="Calibri"/>
          <w:i/>
          <w:iCs/>
          <w:noProof/>
          <w:kern w:val="0"/>
        </w:rPr>
        <w:t>Journal of Clinical Epidemiology</w:t>
      </w:r>
      <w:r w:rsidRPr="00A33854">
        <w:rPr>
          <w:rFonts w:ascii="Calibri" w:hAnsi="Calibri" w:cs="Calibri"/>
          <w:noProof/>
          <w:kern w:val="0"/>
        </w:rPr>
        <w:t xml:space="preserve">, </w:t>
      </w:r>
      <w:r w:rsidRPr="00A33854">
        <w:rPr>
          <w:rFonts w:ascii="Calibri" w:hAnsi="Calibri" w:cs="Calibri"/>
          <w:i/>
          <w:iCs/>
          <w:noProof/>
          <w:kern w:val="0"/>
        </w:rPr>
        <w:t>152</w:t>
      </w:r>
      <w:r w:rsidRPr="00A33854">
        <w:rPr>
          <w:rFonts w:ascii="Calibri" w:hAnsi="Calibri" w:cs="Calibri"/>
          <w:noProof/>
          <w:kern w:val="0"/>
        </w:rPr>
        <w:t>, 281–284. https://doi.org/10.1016/j.jclinepi.2022.10.003</w:t>
      </w:r>
    </w:p>
    <w:p w14:paraId="17260C57"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Borenstein, M. (2023). How to understand and report heterogeneity in a meta-analysis: The difference between I-squared and prediction intervals. </w:t>
      </w:r>
      <w:r w:rsidRPr="00A33854">
        <w:rPr>
          <w:rFonts w:ascii="Calibri" w:hAnsi="Calibri" w:cs="Calibri"/>
          <w:i/>
          <w:iCs/>
          <w:noProof/>
          <w:kern w:val="0"/>
        </w:rPr>
        <w:t>Integrative Medicine Research</w:t>
      </w:r>
      <w:r w:rsidRPr="00A33854">
        <w:rPr>
          <w:rFonts w:ascii="Calibri" w:hAnsi="Calibri" w:cs="Calibri"/>
          <w:noProof/>
          <w:kern w:val="0"/>
        </w:rPr>
        <w:t xml:space="preserve">, </w:t>
      </w:r>
      <w:r w:rsidRPr="00A33854">
        <w:rPr>
          <w:rFonts w:ascii="Calibri" w:hAnsi="Calibri" w:cs="Calibri"/>
          <w:i/>
          <w:iCs/>
          <w:noProof/>
          <w:kern w:val="0"/>
        </w:rPr>
        <w:t>12</w:t>
      </w:r>
      <w:r w:rsidRPr="00A33854">
        <w:rPr>
          <w:rFonts w:ascii="Calibri" w:hAnsi="Calibri" w:cs="Calibri"/>
          <w:noProof/>
          <w:kern w:val="0"/>
        </w:rPr>
        <w:t>(4), 101014. https://doi.org/10.1016/j.imr.2023.101014</w:t>
      </w:r>
    </w:p>
    <w:p w14:paraId="29B41C61"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Borenstein, M. (2024). Avoiding common mistakes in meta-analysis: Understanding the distinct roles of Q, I-squared, tau-squared, and the prediction interval in reporting heterogeneity. </w:t>
      </w:r>
      <w:r w:rsidRPr="00A33854">
        <w:rPr>
          <w:rFonts w:ascii="Calibri" w:hAnsi="Calibri" w:cs="Calibri"/>
          <w:i/>
          <w:iCs/>
          <w:noProof/>
          <w:kern w:val="0"/>
        </w:rPr>
        <w:t>Research Synthesis Methods</w:t>
      </w:r>
      <w:r w:rsidRPr="00A33854">
        <w:rPr>
          <w:rFonts w:ascii="Calibri" w:hAnsi="Calibri" w:cs="Calibri"/>
          <w:noProof/>
          <w:kern w:val="0"/>
        </w:rPr>
        <w:t xml:space="preserve">, </w:t>
      </w:r>
      <w:r w:rsidRPr="00A33854">
        <w:rPr>
          <w:rFonts w:ascii="Calibri" w:hAnsi="Calibri" w:cs="Calibri"/>
          <w:i/>
          <w:iCs/>
          <w:noProof/>
          <w:kern w:val="0"/>
        </w:rPr>
        <w:t>15</w:t>
      </w:r>
      <w:r w:rsidRPr="00A33854">
        <w:rPr>
          <w:rFonts w:ascii="Calibri" w:hAnsi="Calibri" w:cs="Calibri"/>
          <w:noProof/>
          <w:kern w:val="0"/>
        </w:rPr>
        <w:t>(2), 354–368. https://doi.org/10.1002/jrsm.1678</w:t>
      </w:r>
    </w:p>
    <w:p w14:paraId="7DB1869B"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Cragg, A., Levene, I., Darabi, S., &amp; Willcox, M. (2026). Herbal galactagogues to improve breastmilk production and lactation in mothers of preterm babies: A systematic review of clinical trials. </w:t>
      </w:r>
      <w:r w:rsidRPr="00A33854">
        <w:rPr>
          <w:rFonts w:ascii="Calibri" w:hAnsi="Calibri" w:cs="Calibri"/>
          <w:i/>
          <w:iCs/>
          <w:noProof/>
          <w:kern w:val="0"/>
        </w:rPr>
        <w:t>European Journal of Clinical Nutrition</w:t>
      </w:r>
      <w:r w:rsidRPr="00A33854">
        <w:rPr>
          <w:rFonts w:ascii="Calibri" w:hAnsi="Calibri" w:cs="Calibri"/>
          <w:noProof/>
          <w:kern w:val="0"/>
        </w:rPr>
        <w:t xml:space="preserve">, </w:t>
      </w:r>
      <w:r w:rsidRPr="00A33854">
        <w:rPr>
          <w:rFonts w:ascii="Calibri" w:hAnsi="Calibri" w:cs="Calibri"/>
          <w:i/>
          <w:iCs/>
          <w:noProof/>
          <w:kern w:val="0"/>
        </w:rPr>
        <w:t>80</w:t>
      </w:r>
      <w:r w:rsidRPr="00A33854">
        <w:rPr>
          <w:rFonts w:ascii="Calibri" w:hAnsi="Calibri" w:cs="Calibri"/>
          <w:noProof/>
          <w:kern w:val="0"/>
        </w:rPr>
        <w:t>, 146–158. https://doi.org/10.1038/s41430-025-01679-x</w:t>
      </w:r>
    </w:p>
    <w:p w14:paraId="1E85F28E"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Damanik, J. E. F. (2021). </w:t>
      </w:r>
      <w:r w:rsidRPr="00A33854">
        <w:rPr>
          <w:rFonts w:ascii="Calibri" w:hAnsi="Calibri" w:cs="Calibri"/>
          <w:i/>
          <w:iCs/>
          <w:noProof/>
          <w:kern w:val="0"/>
        </w:rPr>
        <w:t>Kajian etnobotani ramuan herbal untuk perawatan pasca melahirkan pada masyarakat etnis Simalungun di Sumatera Utara</w:t>
      </w:r>
      <w:r w:rsidRPr="00A33854">
        <w:rPr>
          <w:rFonts w:ascii="Calibri" w:hAnsi="Calibri" w:cs="Calibri"/>
          <w:noProof/>
          <w:kern w:val="0"/>
        </w:rPr>
        <w:t>. Universitas Medan Area.</w:t>
      </w:r>
    </w:p>
    <w:p w14:paraId="13B6EA03"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Dilokthornsakul, W., Rinta, A., Dhippayom, T., &amp; Dilokthornsakul, P. (2022). Efficacy and safety of ginger regarding human milk volume and related clinical outcomes: A systematic review of randomized controlled trials. </w:t>
      </w:r>
      <w:r w:rsidRPr="00A33854">
        <w:rPr>
          <w:rFonts w:ascii="Calibri" w:hAnsi="Calibri" w:cs="Calibri"/>
          <w:i/>
          <w:iCs/>
          <w:noProof/>
          <w:kern w:val="0"/>
        </w:rPr>
        <w:t>Complementary Medicine Research</w:t>
      </w:r>
      <w:r w:rsidRPr="00A33854">
        <w:rPr>
          <w:rFonts w:ascii="Calibri" w:hAnsi="Calibri" w:cs="Calibri"/>
          <w:noProof/>
          <w:kern w:val="0"/>
        </w:rPr>
        <w:t xml:space="preserve">, </w:t>
      </w:r>
      <w:r w:rsidRPr="00A33854">
        <w:rPr>
          <w:rFonts w:ascii="Calibri" w:hAnsi="Calibri" w:cs="Calibri"/>
          <w:i/>
          <w:iCs/>
          <w:noProof/>
          <w:kern w:val="0"/>
        </w:rPr>
        <w:t>29</w:t>
      </w:r>
      <w:r w:rsidRPr="00A33854">
        <w:rPr>
          <w:rFonts w:ascii="Calibri" w:hAnsi="Calibri" w:cs="Calibri"/>
          <w:noProof/>
          <w:kern w:val="0"/>
        </w:rPr>
        <w:t>(1), 67–73. https://doi.org/10.1159/000515630</w:t>
      </w:r>
    </w:p>
    <w:p w14:paraId="6B3C1FF2"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Febriyanti, R. M., Ramadhania, Z. M., Tjitraresmi, A., Indradi, R. B., Maisyarah, I. T., Maundu, P. M., Muhaimin, M., &amp; Sujarwo, W. (2026). A systematic review of ethnobotanical study in Indonesia: Diversity and cultural patterns of medicinal plant use. </w:t>
      </w:r>
      <w:r w:rsidRPr="00A33854">
        <w:rPr>
          <w:rFonts w:ascii="Calibri" w:hAnsi="Calibri" w:cs="Calibri"/>
          <w:i/>
          <w:iCs/>
          <w:noProof/>
          <w:kern w:val="0"/>
        </w:rPr>
        <w:t>Journal of Ethnobiology and Ethnomedicine</w:t>
      </w:r>
      <w:r w:rsidRPr="00A33854">
        <w:rPr>
          <w:rFonts w:ascii="Calibri" w:hAnsi="Calibri" w:cs="Calibri"/>
          <w:noProof/>
          <w:kern w:val="0"/>
        </w:rPr>
        <w:t xml:space="preserve">, </w:t>
      </w:r>
      <w:r w:rsidRPr="00A33854">
        <w:rPr>
          <w:rFonts w:ascii="Calibri" w:hAnsi="Calibri" w:cs="Calibri"/>
          <w:i/>
          <w:iCs/>
          <w:noProof/>
          <w:kern w:val="0"/>
        </w:rPr>
        <w:t>22</w:t>
      </w:r>
      <w:r w:rsidRPr="00A33854">
        <w:rPr>
          <w:rFonts w:ascii="Calibri" w:hAnsi="Calibri" w:cs="Calibri"/>
          <w:noProof/>
          <w:kern w:val="0"/>
        </w:rPr>
        <w:t>, 42. https://doi.org/10.1186/s13002-026-00879-4</w:t>
      </w:r>
    </w:p>
    <w:p w14:paraId="7CA28337"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Fuloria, S., Mehta, J., Chandel, A., Sekar, M., Rani, N. N. I. M., Begum, M. Y., Subramaniyan, V., Chidambaram, K., Thangavelu, L., Nordin, R., Wu, Y. S., Sathasivam, K. V, Lum, P. T., Meenakshi, D. U., Kumarasamy, V., Azad, A. K., &amp; Fuloria, N. K. (2022). A comprehensive review on the therapeutic potential of Curcuma longa Linn. in relation to its major active constituent curcumin. </w:t>
      </w:r>
      <w:r w:rsidRPr="00A33854">
        <w:rPr>
          <w:rFonts w:ascii="Calibri" w:hAnsi="Calibri" w:cs="Calibri"/>
          <w:i/>
          <w:iCs/>
          <w:noProof/>
          <w:kern w:val="0"/>
        </w:rPr>
        <w:t>Frontiers in Pharmacology</w:t>
      </w:r>
      <w:r w:rsidRPr="00A33854">
        <w:rPr>
          <w:rFonts w:ascii="Calibri" w:hAnsi="Calibri" w:cs="Calibri"/>
          <w:noProof/>
          <w:kern w:val="0"/>
        </w:rPr>
        <w:t xml:space="preserve">, </w:t>
      </w:r>
      <w:r w:rsidRPr="00A33854">
        <w:rPr>
          <w:rFonts w:ascii="Calibri" w:hAnsi="Calibri" w:cs="Calibri"/>
          <w:i/>
          <w:iCs/>
          <w:noProof/>
          <w:kern w:val="0"/>
        </w:rPr>
        <w:t>13</w:t>
      </w:r>
      <w:r w:rsidRPr="00A33854">
        <w:rPr>
          <w:rFonts w:ascii="Calibri" w:hAnsi="Calibri" w:cs="Calibri"/>
          <w:noProof/>
          <w:kern w:val="0"/>
        </w:rPr>
        <w:t>, 820806. https://doi.org/10.3389/fphar.2022.820806</w:t>
      </w:r>
    </w:p>
    <w:p w14:paraId="0190E260"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Hasriani, Andarias, S. H., &amp; Slamet, A. (2023). Utilization of plants in postpartum maternal care in Watulea Village, Central Buton Regency. </w:t>
      </w:r>
      <w:r w:rsidRPr="00A33854">
        <w:rPr>
          <w:rFonts w:ascii="Calibri" w:hAnsi="Calibri" w:cs="Calibri"/>
          <w:i/>
          <w:iCs/>
          <w:noProof/>
          <w:kern w:val="0"/>
        </w:rPr>
        <w:t>Jurnal Biologi Tropis</w:t>
      </w:r>
      <w:r w:rsidRPr="00A33854">
        <w:rPr>
          <w:rFonts w:ascii="Calibri" w:hAnsi="Calibri" w:cs="Calibri"/>
          <w:noProof/>
          <w:kern w:val="0"/>
        </w:rPr>
        <w:t xml:space="preserve">, </w:t>
      </w:r>
      <w:r w:rsidRPr="00A33854">
        <w:rPr>
          <w:rFonts w:ascii="Calibri" w:hAnsi="Calibri" w:cs="Calibri"/>
          <w:i/>
          <w:iCs/>
          <w:noProof/>
          <w:kern w:val="0"/>
        </w:rPr>
        <w:t>23</w:t>
      </w:r>
      <w:r w:rsidRPr="00A33854">
        <w:rPr>
          <w:rFonts w:ascii="Calibri" w:hAnsi="Calibri" w:cs="Calibri"/>
          <w:noProof/>
          <w:kern w:val="0"/>
        </w:rPr>
        <w:t>(3), 136–142. https://doi.org/10.29303/jbt.v23i3.5015</w:t>
      </w:r>
    </w:p>
    <w:p w14:paraId="2E492710"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Hujjatusnaini, N., Fitri, D. R. K., Nirmalasari, R., Mila, &amp; Amin, A. M. (2025). Ethnobotanical study of medicinal plants for postpartum remedies by the Dayak Bakumpai Tribe in Central Kalimantan, Indonesia. </w:t>
      </w:r>
      <w:r w:rsidRPr="00A33854">
        <w:rPr>
          <w:rFonts w:ascii="Calibri" w:hAnsi="Calibri" w:cs="Calibri"/>
          <w:i/>
          <w:iCs/>
          <w:noProof/>
          <w:kern w:val="0"/>
        </w:rPr>
        <w:t>Biodiversitas</w:t>
      </w:r>
      <w:r w:rsidRPr="00A33854">
        <w:rPr>
          <w:rFonts w:ascii="Calibri" w:hAnsi="Calibri" w:cs="Calibri"/>
          <w:noProof/>
          <w:kern w:val="0"/>
        </w:rPr>
        <w:t xml:space="preserve">, </w:t>
      </w:r>
      <w:r w:rsidRPr="00A33854">
        <w:rPr>
          <w:rFonts w:ascii="Calibri" w:hAnsi="Calibri" w:cs="Calibri"/>
          <w:i/>
          <w:iCs/>
          <w:noProof/>
          <w:kern w:val="0"/>
        </w:rPr>
        <w:t>26</w:t>
      </w:r>
      <w:r w:rsidRPr="00A33854">
        <w:rPr>
          <w:rFonts w:ascii="Calibri" w:hAnsi="Calibri" w:cs="Calibri"/>
          <w:noProof/>
          <w:kern w:val="0"/>
        </w:rPr>
        <w:t>(6), 2946–2956. https://doi.org/10.13057/biodiv/d260637</w:t>
      </w:r>
    </w:p>
    <w:p w14:paraId="476C4E68"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Intergovernmental Science-Policy Platform on Biodiversity and Ecosystem Services. (2022). </w:t>
      </w:r>
      <w:r w:rsidRPr="00A33854">
        <w:rPr>
          <w:rFonts w:ascii="Calibri" w:hAnsi="Calibri" w:cs="Calibri"/>
          <w:i/>
          <w:iCs/>
          <w:noProof/>
          <w:kern w:val="0"/>
        </w:rPr>
        <w:t>Methodological Assessment Report on the Diverse Values and Valuation of Nature</w:t>
      </w:r>
      <w:r w:rsidRPr="00A33854">
        <w:rPr>
          <w:rFonts w:ascii="Calibri" w:hAnsi="Calibri" w:cs="Calibri"/>
          <w:noProof/>
          <w:kern w:val="0"/>
        </w:rPr>
        <w:t xml:space="preserve"> (P. Balvanera, U. Pascual, M. Christie, B. Baptiste, &amp; D. González-Jiménez (eds.)). IPBES Secretariat. https://doi.org/10.5281/zenodo.6522522</w:t>
      </w:r>
    </w:p>
    <w:p w14:paraId="2108B699"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Jubaidah, Setyoko, &amp; Sarjani, T. M. (2023). Etnobotani tumbuhan obat pasca melahirkan oleh khutbiah di Kecamatan Sultan Daulat Kota Subulussalam. </w:t>
      </w:r>
      <w:r w:rsidRPr="00A33854">
        <w:rPr>
          <w:rFonts w:ascii="Calibri" w:hAnsi="Calibri" w:cs="Calibri"/>
          <w:i/>
          <w:iCs/>
          <w:noProof/>
          <w:kern w:val="0"/>
        </w:rPr>
        <w:t>BEST Journal: Biology Education, Sains and Technology</w:t>
      </w:r>
      <w:r w:rsidRPr="00A33854">
        <w:rPr>
          <w:rFonts w:ascii="Calibri" w:hAnsi="Calibri" w:cs="Calibri"/>
          <w:noProof/>
          <w:kern w:val="0"/>
        </w:rPr>
        <w:t xml:space="preserve">, </w:t>
      </w:r>
      <w:r w:rsidRPr="00A33854">
        <w:rPr>
          <w:rFonts w:ascii="Calibri" w:hAnsi="Calibri" w:cs="Calibri"/>
          <w:i/>
          <w:iCs/>
          <w:noProof/>
          <w:kern w:val="0"/>
        </w:rPr>
        <w:t>6</w:t>
      </w:r>
      <w:r w:rsidRPr="00A33854">
        <w:rPr>
          <w:rFonts w:ascii="Calibri" w:hAnsi="Calibri" w:cs="Calibri"/>
          <w:noProof/>
          <w:kern w:val="0"/>
        </w:rPr>
        <w:t>(1), 190–196. https://doi.org/10.30743/best.v6i1.6568</w:t>
      </w:r>
    </w:p>
    <w:p w14:paraId="6651E066"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Kementerian Kesehatan Republik Indonesia. (2024). </w:t>
      </w:r>
      <w:r w:rsidRPr="00A33854">
        <w:rPr>
          <w:rFonts w:ascii="Calibri" w:hAnsi="Calibri" w:cs="Calibri"/>
          <w:i/>
          <w:iCs/>
          <w:noProof/>
          <w:kern w:val="0"/>
        </w:rPr>
        <w:t>Laporan Kinerja Kementerian Kesehatan Tahun 2023</w:t>
      </w:r>
      <w:r w:rsidRPr="00A33854">
        <w:rPr>
          <w:rFonts w:ascii="Calibri" w:hAnsi="Calibri" w:cs="Calibri"/>
          <w:noProof/>
          <w:kern w:val="0"/>
        </w:rPr>
        <w:t>.</w:t>
      </w:r>
    </w:p>
    <w:p w14:paraId="6E1A9A92"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lastRenderedPageBreak/>
        <w:t xml:space="preserve">Kementerian Kesehatan Republik Indonesia. (2025). </w:t>
      </w:r>
      <w:r w:rsidRPr="00A33854">
        <w:rPr>
          <w:rFonts w:ascii="Calibri" w:hAnsi="Calibri" w:cs="Calibri"/>
          <w:i/>
          <w:iCs/>
          <w:noProof/>
          <w:kern w:val="0"/>
        </w:rPr>
        <w:t>Profil Kesehatan Indonesia 2024</w:t>
      </w:r>
      <w:r w:rsidRPr="00A33854">
        <w:rPr>
          <w:rFonts w:ascii="Calibri" w:hAnsi="Calibri" w:cs="Calibri"/>
          <w:noProof/>
          <w:kern w:val="0"/>
        </w:rPr>
        <w:t>. https://www.kemkes.go.id/id/profil-kesehatan-indonesia-2024</w:t>
      </w:r>
    </w:p>
    <w:p w14:paraId="0DA8B400"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Kim, A., Kim, Y. E., Seo, S., Kim, S., Cho, E., Kang, Y.-J., Kim, M., Lee, E., &amp; Son, M. J. (2024). Safety of herbal medicine in the postpartum period of a Korean Medicine hospital and postpartum care centre: Protocol of a registry study (SAFEHERE-PC). </w:t>
      </w:r>
      <w:r w:rsidRPr="00A33854">
        <w:rPr>
          <w:rFonts w:ascii="Calibri" w:hAnsi="Calibri" w:cs="Calibri"/>
          <w:i/>
          <w:iCs/>
          <w:noProof/>
          <w:kern w:val="0"/>
        </w:rPr>
        <w:t>BMJ Open</w:t>
      </w:r>
      <w:r w:rsidRPr="00A33854">
        <w:rPr>
          <w:rFonts w:ascii="Calibri" w:hAnsi="Calibri" w:cs="Calibri"/>
          <w:noProof/>
          <w:kern w:val="0"/>
        </w:rPr>
        <w:t xml:space="preserve">, </w:t>
      </w:r>
      <w:r w:rsidRPr="00A33854">
        <w:rPr>
          <w:rFonts w:ascii="Calibri" w:hAnsi="Calibri" w:cs="Calibri"/>
          <w:i/>
          <w:iCs/>
          <w:noProof/>
          <w:kern w:val="0"/>
        </w:rPr>
        <w:t>14</w:t>
      </w:r>
      <w:r w:rsidRPr="00A33854">
        <w:rPr>
          <w:rFonts w:ascii="Calibri" w:hAnsi="Calibri" w:cs="Calibri"/>
          <w:noProof/>
          <w:kern w:val="0"/>
        </w:rPr>
        <w:t>(8), e086645. https://doi.org/10.1136/bmjopen-2024-086645</w:t>
      </w:r>
    </w:p>
    <w:p w14:paraId="1C0E1947"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Kongkaew, C., Phan, D. T. A., Janusorn, P., &amp; Mongkhon, P. (2024). Estimating adverse events associated with herbal medicines using pharmacovigilance databases: Systematic review and meta-analysis. </w:t>
      </w:r>
      <w:r w:rsidRPr="00A33854">
        <w:rPr>
          <w:rFonts w:ascii="Calibri" w:hAnsi="Calibri" w:cs="Calibri"/>
          <w:i/>
          <w:iCs/>
          <w:noProof/>
          <w:kern w:val="0"/>
        </w:rPr>
        <w:t>JMIR Public Health and Surveillance</w:t>
      </w:r>
      <w:r w:rsidRPr="00A33854">
        <w:rPr>
          <w:rFonts w:ascii="Calibri" w:hAnsi="Calibri" w:cs="Calibri"/>
          <w:noProof/>
          <w:kern w:val="0"/>
        </w:rPr>
        <w:t xml:space="preserve">, </w:t>
      </w:r>
      <w:r w:rsidRPr="00A33854">
        <w:rPr>
          <w:rFonts w:ascii="Calibri" w:hAnsi="Calibri" w:cs="Calibri"/>
          <w:i/>
          <w:iCs/>
          <w:noProof/>
          <w:kern w:val="0"/>
        </w:rPr>
        <w:t>10</w:t>
      </w:r>
      <w:r w:rsidRPr="00A33854">
        <w:rPr>
          <w:rFonts w:ascii="Calibri" w:hAnsi="Calibri" w:cs="Calibri"/>
          <w:noProof/>
          <w:kern w:val="0"/>
        </w:rPr>
        <w:t>, e63808. https://doi.org/10.2196/63808</w:t>
      </w:r>
    </w:p>
    <w:p w14:paraId="63EC71E3"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Lestari, F., Febrianti, Y., &amp; Susanti, I. (2025). Potential of postpartum medicinal plants of the Sindang Kelingi Ilir Tribe. </w:t>
      </w:r>
      <w:r w:rsidRPr="00A33854">
        <w:rPr>
          <w:rFonts w:ascii="Calibri" w:hAnsi="Calibri" w:cs="Calibri"/>
          <w:i/>
          <w:iCs/>
          <w:noProof/>
          <w:kern w:val="0"/>
        </w:rPr>
        <w:t>South Eastern European Journal of Public Health</w:t>
      </w:r>
      <w:r w:rsidRPr="00A33854">
        <w:rPr>
          <w:rFonts w:ascii="Calibri" w:hAnsi="Calibri" w:cs="Calibri"/>
          <w:noProof/>
          <w:kern w:val="0"/>
        </w:rPr>
        <w:t xml:space="preserve">, </w:t>
      </w:r>
      <w:r w:rsidRPr="00A33854">
        <w:rPr>
          <w:rFonts w:ascii="Calibri" w:hAnsi="Calibri" w:cs="Calibri"/>
          <w:i/>
          <w:iCs/>
          <w:noProof/>
          <w:kern w:val="0"/>
        </w:rPr>
        <w:t>26</w:t>
      </w:r>
      <w:r w:rsidRPr="00A33854">
        <w:rPr>
          <w:rFonts w:ascii="Calibri" w:hAnsi="Calibri" w:cs="Calibri"/>
          <w:noProof/>
          <w:kern w:val="0"/>
        </w:rPr>
        <w:t>, 2621–2631.</w:t>
      </w:r>
    </w:p>
    <w:p w14:paraId="00D9FB0B"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Magtalas, M. C., Balbin, P. T., Cruz, E. C., Guevarra, R. C., Cruz, A. R. D. P., Silverio, C. E., Lee, K. Y., &amp; Tantengco, O. A. G. (2023). A systematic review of ethnomedicinal plants used for pregnancy, childbirth, and postpartum care in the Philippines. </w:t>
      </w:r>
      <w:r w:rsidRPr="00A33854">
        <w:rPr>
          <w:rFonts w:ascii="Calibri" w:hAnsi="Calibri" w:cs="Calibri"/>
          <w:i/>
          <w:iCs/>
          <w:noProof/>
          <w:kern w:val="0"/>
        </w:rPr>
        <w:t>Phytomedicine Plus</w:t>
      </w:r>
      <w:r w:rsidRPr="00A33854">
        <w:rPr>
          <w:rFonts w:ascii="Calibri" w:hAnsi="Calibri" w:cs="Calibri"/>
          <w:noProof/>
          <w:kern w:val="0"/>
        </w:rPr>
        <w:t xml:space="preserve">, </w:t>
      </w:r>
      <w:r w:rsidRPr="00A33854">
        <w:rPr>
          <w:rFonts w:ascii="Calibri" w:hAnsi="Calibri" w:cs="Calibri"/>
          <w:i/>
          <w:iCs/>
          <w:noProof/>
          <w:kern w:val="0"/>
        </w:rPr>
        <w:t>3</w:t>
      </w:r>
      <w:r w:rsidRPr="00A33854">
        <w:rPr>
          <w:rFonts w:ascii="Calibri" w:hAnsi="Calibri" w:cs="Calibri"/>
          <w:noProof/>
          <w:kern w:val="0"/>
        </w:rPr>
        <w:t>(1), 100407. https://doi.org/10.1016/j.phyplu.2023.100407</w:t>
      </w:r>
    </w:p>
    <w:p w14:paraId="458085D9"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Minarno, E. B., Rahmah, Z., &amp; Jannah, S. H. (2025). Ethnobotany of medicinal plants by the Pasean District community in Pamekasan Regency as components of postpartum herbal remedies. </w:t>
      </w:r>
      <w:r w:rsidRPr="00A33854">
        <w:rPr>
          <w:rFonts w:ascii="Calibri" w:hAnsi="Calibri" w:cs="Calibri"/>
          <w:i/>
          <w:iCs/>
          <w:noProof/>
          <w:kern w:val="0"/>
        </w:rPr>
        <w:t>El-Hayah: Jurnal Biologi</w:t>
      </w:r>
      <w:r w:rsidRPr="00A33854">
        <w:rPr>
          <w:rFonts w:ascii="Calibri" w:hAnsi="Calibri" w:cs="Calibri"/>
          <w:noProof/>
          <w:kern w:val="0"/>
        </w:rPr>
        <w:t xml:space="preserve">, </w:t>
      </w:r>
      <w:r w:rsidRPr="00A33854">
        <w:rPr>
          <w:rFonts w:ascii="Calibri" w:hAnsi="Calibri" w:cs="Calibri"/>
          <w:i/>
          <w:iCs/>
          <w:noProof/>
          <w:kern w:val="0"/>
        </w:rPr>
        <w:t>10</w:t>
      </w:r>
      <w:r w:rsidRPr="00A33854">
        <w:rPr>
          <w:rFonts w:ascii="Calibri" w:hAnsi="Calibri" w:cs="Calibri"/>
          <w:noProof/>
          <w:kern w:val="0"/>
        </w:rPr>
        <w:t>(3), 152–166. https://doi.org/10.18860/elha.v10i3.36427</w:t>
      </w:r>
    </w:p>
    <w:p w14:paraId="6E9BC027"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Mulyanto, Gunawan, R., Zakaria, S., Iskandar, J., Noviyanti, A. R., &amp; Iskandar, B. S. (2024). Utilization of wild plants in medicinal foods for maternal postpartum recovery among the Kasepuhan in rural West Java, Indonesia. </w:t>
      </w:r>
      <w:r w:rsidRPr="00A33854">
        <w:rPr>
          <w:rFonts w:ascii="Calibri" w:hAnsi="Calibri" w:cs="Calibri"/>
          <w:i/>
          <w:iCs/>
          <w:noProof/>
          <w:kern w:val="0"/>
        </w:rPr>
        <w:t>Biodiversitas</w:t>
      </w:r>
      <w:r w:rsidRPr="00A33854">
        <w:rPr>
          <w:rFonts w:ascii="Calibri" w:hAnsi="Calibri" w:cs="Calibri"/>
          <w:noProof/>
          <w:kern w:val="0"/>
        </w:rPr>
        <w:t xml:space="preserve">, </w:t>
      </w:r>
      <w:r w:rsidRPr="00A33854">
        <w:rPr>
          <w:rFonts w:ascii="Calibri" w:hAnsi="Calibri" w:cs="Calibri"/>
          <w:i/>
          <w:iCs/>
          <w:noProof/>
          <w:kern w:val="0"/>
        </w:rPr>
        <w:t>25</w:t>
      </w:r>
      <w:r w:rsidRPr="00A33854">
        <w:rPr>
          <w:rFonts w:ascii="Calibri" w:hAnsi="Calibri" w:cs="Calibri"/>
          <w:noProof/>
          <w:kern w:val="0"/>
        </w:rPr>
        <w:t>(2), 465–473. https://doi.org/10.13057/biodiv/d250204</w:t>
      </w:r>
    </w:p>
    <w:p w14:paraId="68279A2B"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Muslichah, S., Azrianingsih, R., Indriyani, S., &amp; Arumingtyas, E. L. (2021). Ethnobotanical study of postnatal medicinal plants in the ethnic Madurese in Bangkalan Regency, East Java, Indonesia. </w:t>
      </w:r>
      <w:r w:rsidRPr="00A33854">
        <w:rPr>
          <w:rFonts w:ascii="Calibri" w:hAnsi="Calibri" w:cs="Calibri"/>
          <w:i/>
          <w:iCs/>
          <w:noProof/>
          <w:kern w:val="0"/>
        </w:rPr>
        <w:t>Indian Journal of Forensic Medicine &amp; Toxicology</w:t>
      </w:r>
      <w:r w:rsidRPr="00A33854">
        <w:rPr>
          <w:rFonts w:ascii="Calibri" w:hAnsi="Calibri" w:cs="Calibri"/>
          <w:noProof/>
          <w:kern w:val="0"/>
        </w:rPr>
        <w:t xml:space="preserve">, </w:t>
      </w:r>
      <w:r w:rsidRPr="00A33854">
        <w:rPr>
          <w:rFonts w:ascii="Calibri" w:hAnsi="Calibri" w:cs="Calibri"/>
          <w:i/>
          <w:iCs/>
          <w:noProof/>
          <w:kern w:val="0"/>
        </w:rPr>
        <w:t>15</w:t>
      </w:r>
      <w:r w:rsidRPr="00A33854">
        <w:rPr>
          <w:rFonts w:ascii="Calibri" w:hAnsi="Calibri" w:cs="Calibri"/>
          <w:noProof/>
          <w:kern w:val="0"/>
        </w:rPr>
        <w:t>(3), 4247–4255. https://doi.org/10.37506/ijfmt.v15i3.15960</w:t>
      </w:r>
    </w:p>
    <w:p w14:paraId="52524327"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Oktavia, D., Adnani, Q. E. S., Gumilang, L., Novianti, E., &amp; Sunardi. (2023). Plants used by Sundanese mothers for maternal care in a rural village in Bandung District, West Java, Indonesia. </w:t>
      </w:r>
      <w:r w:rsidRPr="00A33854">
        <w:rPr>
          <w:rFonts w:ascii="Calibri" w:hAnsi="Calibri" w:cs="Calibri"/>
          <w:i/>
          <w:iCs/>
          <w:noProof/>
          <w:kern w:val="0"/>
        </w:rPr>
        <w:t>Biodiversitas</w:t>
      </w:r>
      <w:r w:rsidRPr="00A33854">
        <w:rPr>
          <w:rFonts w:ascii="Calibri" w:hAnsi="Calibri" w:cs="Calibri"/>
          <w:noProof/>
          <w:kern w:val="0"/>
        </w:rPr>
        <w:t xml:space="preserve">, </w:t>
      </w:r>
      <w:r w:rsidRPr="00A33854">
        <w:rPr>
          <w:rFonts w:ascii="Calibri" w:hAnsi="Calibri" w:cs="Calibri"/>
          <w:i/>
          <w:iCs/>
          <w:noProof/>
          <w:kern w:val="0"/>
        </w:rPr>
        <w:t>24</w:t>
      </w:r>
      <w:r w:rsidRPr="00A33854">
        <w:rPr>
          <w:rFonts w:ascii="Calibri" w:hAnsi="Calibri" w:cs="Calibri"/>
          <w:noProof/>
          <w:kern w:val="0"/>
        </w:rPr>
        <w:t>(6), 3568–3573. https://doi.org/10.13057/biodiv/d240656</w:t>
      </w:r>
    </w:p>
    <w:p w14:paraId="38E71FB6"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Page, M. J., McKenzie, J. E., Bossuyt, P. M., Boutron, I., Hoffmann, T. C., Mulrow, C. D., Shamseer, L., Tetzlaff, J. M., Akl, E. A., Brennan, S. E., Chou, R., Glanville, J., Grimshaw, J. M., Hróbjartsson, A., Lalu, M. M., Li, T., Loder, E. W., Mayo-Wilson, E., McDonald, S., &amp; Moher, D. (2021). The PRISMA 2020 statement: An updated guideline for reporting systematic reviews. </w:t>
      </w:r>
      <w:r w:rsidRPr="00A33854">
        <w:rPr>
          <w:rFonts w:ascii="Calibri" w:hAnsi="Calibri" w:cs="Calibri"/>
          <w:i/>
          <w:iCs/>
          <w:noProof/>
          <w:kern w:val="0"/>
        </w:rPr>
        <w:t>BMJ</w:t>
      </w:r>
      <w:r w:rsidRPr="00A33854">
        <w:rPr>
          <w:rFonts w:ascii="Calibri" w:hAnsi="Calibri" w:cs="Calibri"/>
          <w:noProof/>
          <w:kern w:val="0"/>
        </w:rPr>
        <w:t xml:space="preserve">, </w:t>
      </w:r>
      <w:r w:rsidRPr="00A33854">
        <w:rPr>
          <w:rFonts w:ascii="Calibri" w:hAnsi="Calibri" w:cs="Calibri"/>
          <w:i/>
          <w:iCs/>
          <w:noProof/>
          <w:kern w:val="0"/>
        </w:rPr>
        <w:t>372</w:t>
      </w:r>
      <w:r w:rsidRPr="00A33854">
        <w:rPr>
          <w:rFonts w:ascii="Calibri" w:hAnsi="Calibri" w:cs="Calibri"/>
          <w:noProof/>
          <w:kern w:val="0"/>
        </w:rPr>
        <w:t>, n71. https://doi.org/10.1136/bmj.n71</w:t>
      </w:r>
    </w:p>
    <w:p w14:paraId="15B85C37"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Panjaitan, R. G. P., Pertiwi, K. A., Wahyuni, E. S., Titin, &amp; Fajri, H. (2026). Medicinal plants utilization by Madurese Tribe in Mekar Sari Village, Kubu Raya Regency, Indonesia. </w:t>
      </w:r>
      <w:r w:rsidRPr="00A33854">
        <w:rPr>
          <w:rFonts w:ascii="Calibri" w:hAnsi="Calibri" w:cs="Calibri"/>
          <w:i/>
          <w:iCs/>
          <w:noProof/>
          <w:kern w:val="0"/>
        </w:rPr>
        <w:t>SABRAO Journal of Breeding and Genetics</w:t>
      </w:r>
      <w:r w:rsidRPr="00A33854">
        <w:rPr>
          <w:rFonts w:ascii="Calibri" w:hAnsi="Calibri" w:cs="Calibri"/>
          <w:noProof/>
          <w:kern w:val="0"/>
        </w:rPr>
        <w:t xml:space="preserve">, </w:t>
      </w:r>
      <w:r w:rsidRPr="00A33854">
        <w:rPr>
          <w:rFonts w:ascii="Calibri" w:hAnsi="Calibri" w:cs="Calibri"/>
          <w:i/>
          <w:iCs/>
          <w:noProof/>
          <w:kern w:val="0"/>
        </w:rPr>
        <w:t>58</w:t>
      </w:r>
      <w:r w:rsidRPr="00A33854">
        <w:rPr>
          <w:rFonts w:ascii="Calibri" w:hAnsi="Calibri" w:cs="Calibri"/>
          <w:noProof/>
          <w:kern w:val="0"/>
        </w:rPr>
        <w:t>(2), 742–750. https://doi.org/10.54910/sabrao2026.58.2.24</w:t>
      </w:r>
    </w:p>
    <w:p w14:paraId="5CB66E50"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Panjaitan, R. G. P., Rosanti, M., Wahyuni, E. S., Afandi, &amp; Fitriawan, D. (2026). Postpartum medicinal plants of the Malay Tribe in Bentunai Village, Selakau Sub-District, Sambas District. </w:t>
      </w:r>
      <w:r w:rsidRPr="00A33854">
        <w:rPr>
          <w:rFonts w:ascii="Calibri" w:hAnsi="Calibri" w:cs="Calibri"/>
          <w:i/>
          <w:iCs/>
          <w:noProof/>
          <w:kern w:val="0"/>
        </w:rPr>
        <w:t>Current Traditional Medicine</w:t>
      </w:r>
      <w:r w:rsidRPr="00A33854">
        <w:rPr>
          <w:rFonts w:ascii="Calibri" w:hAnsi="Calibri" w:cs="Calibri"/>
          <w:noProof/>
          <w:kern w:val="0"/>
        </w:rPr>
        <w:t xml:space="preserve">, </w:t>
      </w:r>
      <w:r w:rsidRPr="00A33854">
        <w:rPr>
          <w:rFonts w:ascii="Calibri" w:hAnsi="Calibri" w:cs="Calibri"/>
          <w:i/>
          <w:iCs/>
          <w:noProof/>
          <w:kern w:val="0"/>
        </w:rPr>
        <w:t>12</w:t>
      </w:r>
      <w:r w:rsidRPr="00A33854">
        <w:rPr>
          <w:rFonts w:ascii="Calibri" w:hAnsi="Calibri" w:cs="Calibri"/>
          <w:noProof/>
          <w:kern w:val="0"/>
        </w:rPr>
        <w:t>, e22150838333430. https://doi.org/10.2174/0122150838333430250220043549</w:t>
      </w:r>
    </w:p>
    <w:p w14:paraId="5DB2E613"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Panjaitan, R. G. P., Sandra, K. M., Wahyuni, E. S., Karmadi, R. M. D., Ningsih, K., Titin, Harsono, T., &amp; Ali, S. S. (2025). Ethnobotanical study of postpartum medicinal plants used by the Dayak Kalis in Nanga Danau, West Kalimantan, Indonesia. </w:t>
      </w:r>
      <w:r w:rsidRPr="00A33854">
        <w:rPr>
          <w:rFonts w:ascii="Calibri" w:hAnsi="Calibri" w:cs="Calibri"/>
          <w:i/>
          <w:iCs/>
          <w:noProof/>
          <w:kern w:val="0"/>
        </w:rPr>
        <w:t>Biodiversitas</w:t>
      </w:r>
      <w:r w:rsidRPr="00A33854">
        <w:rPr>
          <w:rFonts w:ascii="Calibri" w:hAnsi="Calibri" w:cs="Calibri"/>
          <w:noProof/>
          <w:kern w:val="0"/>
        </w:rPr>
        <w:t xml:space="preserve">, </w:t>
      </w:r>
      <w:r w:rsidRPr="00A33854">
        <w:rPr>
          <w:rFonts w:ascii="Calibri" w:hAnsi="Calibri" w:cs="Calibri"/>
          <w:i/>
          <w:iCs/>
          <w:noProof/>
          <w:kern w:val="0"/>
        </w:rPr>
        <w:t>26</w:t>
      </w:r>
      <w:r w:rsidRPr="00A33854">
        <w:rPr>
          <w:rFonts w:ascii="Calibri" w:hAnsi="Calibri" w:cs="Calibri"/>
          <w:noProof/>
          <w:kern w:val="0"/>
        </w:rPr>
        <w:t xml:space="preserve">(12), 5989–5999. </w:t>
      </w:r>
      <w:r w:rsidRPr="00A33854">
        <w:rPr>
          <w:rFonts w:ascii="Calibri" w:hAnsi="Calibri" w:cs="Calibri"/>
          <w:noProof/>
          <w:kern w:val="0"/>
        </w:rPr>
        <w:lastRenderedPageBreak/>
        <w:t>https://doi.org/10.13057/biodiv/d261203</w:t>
      </w:r>
    </w:p>
    <w:p w14:paraId="33316023"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Peli, Linda, R., &amp; Wardoyo, E. R. P. (2020). Pemanfaatan tumbuhan obat bagi ibu sebelum dan sesudah melahirkan pada masyarakat Suku Melayu di Desa Sekura Kabupaten Sambas. </w:t>
      </w:r>
      <w:r w:rsidRPr="00A33854">
        <w:rPr>
          <w:rFonts w:ascii="Calibri" w:hAnsi="Calibri" w:cs="Calibri"/>
          <w:i/>
          <w:iCs/>
          <w:noProof/>
          <w:kern w:val="0"/>
        </w:rPr>
        <w:t>Protobiont</w:t>
      </w:r>
      <w:r w:rsidRPr="00A33854">
        <w:rPr>
          <w:rFonts w:ascii="Calibri" w:hAnsi="Calibri" w:cs="Calibri"/>
          <w:noProof/>
          <w:kern w:val="0"/>
        </w:rPr>
        <w:t xml:space="preserve">, </w:t>
      </w:r>
      <w:r w:rsidRPr="00A33854">
        <w:rPr>
          <w:rFonts w:ascii="Calibri" w:hAnsi="Calibri" w:cs="Calibri"/>
          <w:i/>
          <w:iCs/>
          <w:noProof/>
          <w:kern w:val="0"/>
        </w:rPr>
        <w:t>9</w:t>
      </w:r>
      <w:r w:rsidRPr="00A33854">
        <w:rPr>
          <w:rFonts w:ascii="Calibri" w:hAnsi="Calibri" w:cs="Calibri"/>
          <w:noProof/>
          <w:kern w:val="0"/>
        </w:rPr>
        <w:t>(3), 236–245.</w:t>
      </w:r>
    </w:p>
    <w:p w14:paraId="0841F483"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Pibriani, P., Arlym, L. T., &amp; Widowati, R. (2025). Analysis of traditional care of postpartum mothers. </w:t>
      </w:r>
      <w:r w:rsidRPr="00A33854">
        <w:rPr>
          <w:rFonts w:ascii="Calibri" w:hAnsi="Calibri" w:cs="Calibri"/>
          <w:i/>
          <w:iCs/>
          <w:noProof/>
          <w:kern w:val="0"/>
        </w:rPr>
        <w:t>Indonesian Journal of Global Health Research</w:t>
      </w:r>
      <w:r w:rsidRPr="00A33854">
        <w:rPr>
          <w:rFonts w:ascii="Calibri" w:hAnsi="Calibri" w:cs="Calibri"/>
          <w:noProof/>
          <w:kern w:val="0"/>
        </w:rPr>
        <w:t xml:space="preserve">, </w:t>
      </w:r>
      <w:r w:rsidRPr="00A33854">
        <w:rPr>
          <w:rFonts w:ascii="Calibri" w:hAnsi="Calibri" w:cs="Calibri"/>
          <w:i/>
          <w:iCs/>
          <w:noProof/>
          <w:kern w:val="0"/>
        </w:rPr>
        <w:t>7</w:t>
      </w:r>
      <w:r w:rsidRPr="00A33854">
        <w:rPr>
          <w:rFonts w:ascii="Calibri" w:hAnsi="Calibri" w:cs="Calibri"/>
          <w:noProof/>
          <w:kern w:val="0"/>
        </w:rPr>
        <w:t>(6), 505–514. https://doi.org/10.37287/ijghr.v7i6.188</w:t>
      </w:r>
    </w:p>
    <w:p w14:paraId="654DF83D"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Pradita, S., Mariani, Y., Wardenaar, E., &amp; Yusro, F. (2021). Pemanfaatan tumbuhan obat oleh Suku Dayak Paus dan Melayu untuk perawatan ibu dan anak pasca persalinan di Desa Pengadang Kabupaten Sanggau Kalimantan Barat. </w:t>
      </w:r>
      <w:r w:rsidRPr="00A33854">
        <w:rPr>
          <w:rFonts w:ascii="Calibri" w:hAnsi="Calibri" w:cs="Calibri"/>
          <w:i/>
          <w:iCs/>
          <w:noProof/>
          <w:kern w:val="0"/>
        </w:rPr>
        <w:t>Biodidaktika: Jurnal Biologi Dan Pembelajarannya</w:t>
      </w:r>
      <w:r w:rsidRPr="00A33854">
        <w:rPr>
          <w:rFonts w:ascii="Calibri" w:hAnsi="Calibri" w:cs="Calibri"/>
          <w:noProof/>
          <w:kern w:val="0"/>
        </w:rPr>
        <w:t xml:space="preserve">, </w:t>
      </w:r>
      <w:r w:rsidRPr="00A33854">
        <w:rPr>
          <w:rFonts w:ascii="Calibri" w:hAnsi="Calibri" w:cs="Calibri"/>
          <w:i/>
          <w:iCs/>
          <w:noProof/>
          <w:kern w:val="0"/>
        </w:rPr>
        <w:t>16</w:t>
      </w:r>
      <w:r w:rsidRPr="00A33854">
        <w:rPr>
          <w:rFonts w:ascii="Calibri" w:hAnsi="Calibri" w:cs="Calibri"/>
          <w:noProof/>
          <w:kern w:val="0"/>
        </w:rPr>
        <w:t>(1), 93–110. https://doi.org/10.30870/biodidaktika.v16i1.10805</w:t>
      </w:r>
    </w:p>
    <w:p w14:paraId="7B393444"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Rahayu, M., Susiarti, S., &amp; Arimukti, S. D. (2019). Traditional knowledge on plants utilization in postpartum care: An ethnobotanical study in local community of Cimande, Bogor, West Java, Indonesia. </w:t>
      </w:r>
      <w:r w:rsidRPr="00A33854">
        <w:rPr>
          <w:rFonts w:ascii="Calibri" w:hAnsi="Calibri" w:cs="Calibri"/>
          <w:i/>
          <w:iCs/>
          <w:noProof/>
          <w:kern w:val="0"/>
        </w:rPr>
        <w:t>Journal of Tropical Biology and Conservation</w:t>
      </w:r>
      <w:r w:rsidRPr="00A33854">
        <w:rPr>
          <w:rFonts w:ascii="Calibri" w:hAnsi="Calibri" w:cs="Calibri"/>
          <w:noProof/>
          <w:kern w:val="0"/>
        </w:rPr>
        <w:t xml:space="preserve">, </w:t>
      </w:r>
      <w:r w:rsidRPr="00A33854">
        <w:rPr>
          <w:rFonts w:ascii="Calibri" w:hAnsi="Calibri" w:cs="Calibri"/>
          <w:i/>
          <w:iCs/>
          <w:noProof/>
          <w:kern w:val="0"/>
        </w:rPr>
        <w:t>16</w:t>
      </w:r>
      <w:r w:rsidRPr="00A33854">
        <w:rPr>
          <w:rFonts w:ascii="Calibri" w:hAnsi="Calibri" w:cs="Calibri"/>
          <w:noProof/>
          <w:kern w:val="0"/>
        </w:rPr>
        <w:t>, 307–322. https://doi.org/10.51200/jtbc.v16i.2045</w:t>
      </w:r>
    </w:p>
    <w:p w14:paraId="5C971B6C"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Rethlefsen, M. L., Kirtley, S., Waffenschmidt, S., Ayala, A. P., Moher, D., Page, M. J., Koffel, J. B., &amp; PRISMA-S Group. (2021). PRISMA-S: An extension to the PRISMA statement for reporting literature searches in systematic reviews. </w:t>
      </w:r>
      <w:r w:rsidRPr="00A33854">
        <w:rPr>
          <w:rFonts w:ascii="Calibri" w:hAnsi="Calibri" w:cs="Calibri"/>
          <w:i/>
          <w:iCs/>
          <w:noProof/>
          <w:kern w:val="0"/>
        </w:rPr>
        <w:t>Systematic Reviews</w:t>
      </w:r>
      <w:r w:rsidRPr="00A33854">
        <w:rPr>
          <w:rFonts w:ascii="Calibri" w:hAnsi="Calibri" w:cs="Calibri"/>
          <w:noProof/>
          <w:kern w:val="0"/>
        </w:rPr>
        <w:t xml:space="preserve">, </w:t>
      </w:r>
      <w:r w:rsidRPr="00A33854">
        <w:rPr>
          <w:rFonts w:ascii="Calibri" w:hAnsi="Calibri" w:cs="Calibri"/>
          <w:i/>
          <w:iCs/>
          <w:noProof/>
          <w:kern w:val="0"/>
        </w:rPr>
        <w:t>10</w:t>
      </w:r>
      <w:r w:rsidRPr="00A33854">
        <w:rPr>
          <w:rFonts w:ascii="Calibri" w:hAnsi="Calibri" w:cs="Calibri"/>
          <w:noProof/>
          <w:kern w:val="0"/>
        </w:rPr>
        <w:t>, 39. https://doi.org/10.1186/s13643-020-01542-z</w:t>
      </w:r>
    </w:p>
    <w:p w14:paraId="2C03EEDA"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Rubiah, Armi, Andalia, N., &amp; Ridhwan, M. (2024). Penggunaan tanaman obat tradisional oleh ibu-ibu pasca melahirkan di Kecamatan Pasie Raya Kabupaten Aceh Jaya. </w:t>
      </w:r>
      <w:r w:rsidRPr="00A33854">
        <w:rPr>
          <w:rFonts w:ascii="Calibri" w:hAnsi="Calibri" w:cs="Calibri"/>
          <w:i/>
          <w:iCs/>
          <w:noProof/>
          <w:kern w:val="0"/>
        </w:rPr>
        <w:t>Serambi Journal of Agricultural Technology</w:t>
      </w:r>
      <w:r w:rsidRPr="00A33854">
        <w:rPr>
          <w:rFonts w:ascii="Calibri" w:hAnsi="Calibri" w:cs="Calibri"/>
          <w:noProof/>
          <w:kern w:val="0"/>
        </w:rPr>
        <w:t xml:space="preserve">, </w:t>
      </w:r>
      <w:r w:rsidRPr="00A33854">
        <w:rPr>
          <w:rFonts w:ascii="Calibri" w:hAnsi="Calibri" w:cs="Calibri"/>
          <w:i/>
          <w:iCs/>
          <w:noProof/>
          <w:kern w:val="0"/>
        </w:rPr>
        <w:t>6</w:t>
      </w:r>
      <w:r w:rsidRPr="00A33854">
        <w:rPr>
          <w:rFonts w:ascii="Calibri" w:hAnsi="Calibri" w:cs="Calibri"/>
          <w:noProof/>
          <w:kern w:val="0"/>
        </w:rPr>
        <w:t>(2), 142–148. https://doi.org/10.32672/sjat.v6i2.8432</w:t>
      </w:r>
    </w:p>
    <w:p w14:paraId="2DEEFB43"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Ryan, R. A., Hepworth, A. D., Lyndon, A., &amp; Bihuniak, J. D. (2023). Use of galactagogues to increase milk production among breastfeeding mothers in the United States: A descriptive study. </w:t>
      </w:r>
      <w:r w:rsidRPr="00A33854">
        <w:rPr>
          <w:rFonts w:ascii="Calibri" w:hAnsi="Calibri" w:cs="Calibri"/>
          <w:i/>
          <w:iCs/>
          <w:noProof/>
          <w:kern w:val="0"/>
        </w:rPr>
        <w:t>Journal of the Academy of Nutrition and Dietetics</w:t>
      </w:r>
      <w:r w:rsidRPr="00A33854">
        <w:rPr>
          <w:rFonts w:ascii="Calibri" w:hAnsi="Calibri" w:cs="Calibri"/>
          <w:noProof/>
          <w:kern w:val="0"/>
        </w:rPr>
        <w:t xml:space="preserve">, </w:t>
      </w:r>
      <w:r w:rsidRPr="00A33854">
        <w:rPr>
          <w:rFonts w:ascii="Calibri" w:hAnsi="Calibri" w:cs="Calibri"/>
          <w:i/>
          <w:iCs/>
          <w:noProof/>
          <w:kern w:val="0"/>
        </w:rPr>
        <w:t>123</w:t>
      </w:r>
      <w:r w:rsidRPr="00A33854">
        <w:rPr>
          <w:rFonts w:ascii="Calibri" w:hAnsi="Calibri" w:cs="Calibri"/>
          <w:noProof/>
          <w:kern w:val="0"/>
        </w:rPr>
        <w:t>(9), 1329–1339. https://doi.org/10.1016/j.jand.2023.05.019</w:t>
      </w:r>
    </w:p>
    <w:p w14:paraId="4429F98E"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Saensouk, P., Saensouk, S., Boonma, T., Junsongduang, A., Rakarcha, S., Chanthavongsa, K., &amp; Jitpromma, T. (2025). Zingiberaceae in Roi Et Province, Thailand: Diversity, ethnobotany, horticultural value, and conservation status. </w:t>
      </w:r>
      <w:r w:rsidRPr="00A33854">
        <w:rPr>
          <w:rFonts w:ascii="Calibri" w:hAnsi="Calibri" w:cs="Calibri"/>
          <w:i/>
          <w:iCs/>
          <w:noProof/>
          <w:kern w:val="0"/>
        </w:rPr>
        <w:t>Horticulturae</w:t>
      </w:r>
      <w:r w:rsidRPr="00A33854">
        <w:rPr>
          <w:rFonts w:ascii="Calibri" w:hAnsi="Calibri" w:cs="Calibri"/>
          <w:noProof/>
          <w:kern w:val="0"/>
        </w:rPr>
        <w:t xml:space="preserve">, </w:t>
      </w:r>
      <w:r w:rsidRPr="00A33854">
        <w:rPr>
          <w:rFonts w:ascii="Calibri" w:hAnsi="Calibri" w:cs="Calibri"/>
          <w:i/>
          <w:iCs/>
          <w:noProof/>
          <w:kern w:val="0"/>
        </w:rPr>
        <w:t>11</w:t>
      </w:r>
      <w:r w:rsidRPr="00A33854">
        <w:rPr>
          <w:rFonts w:ascii="Calibri" w:hAnsi="Calibri" w:cs="Calibri"/>
          <w:noProof/>
          <w:kern w:val="0"/>
        </w:rPr>
        <w:t>(5), 527. https://doi.org/10.3390/horticulturae11050527</w:t>
      </w:r>
    </w:p>
    <w:p w14:paraId="1957899D"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Santoso, E. A., Jumari, &amp; Utami, S. (2019). Inventory of medicinal plants for pregnant and postpartum women in Dayak Tomun of the Lopus Village Lamandau Regency of Central Kalimantan. </w:t>
      </w:r>
      <w:r w:rsidRPr="00A33854">
        <w:rPr>
          <w:rFonts w:ascii="Calibri" w:hAnsi="Calibri" w:cs="Calibri"/>
          <w:i/>
          <w:iCs/>
          <w:noProof/>
          <w:kern w:val="0"/>
        </w:rPr>
        <w:t>Biosaintifika: Journal of Biology &amp; Biology Education</w:t>
      </w:r>
      <w:r w:rsidRPr="00A33854">
        <w:rPr>
          <w:rFonts w:ascii="Calibri" w:hAnsi="Calibri" w:cs="Calibri"/>
          <w:noProof/>
          <w:kern w:val="0"/>
        </w:rPr>
        <w:t xml:space="preserve">, </w:t>
      </w:r>
      <w:r w:rsidRPr="00A33854">
        <w:rPr>
          <w:rFonts w:ascii="Calibri" w:hAnsi="Calibri" w:cs="Calibri"/>
          <w:i/>
          <w:iCs/>
          <w:noProof/>
          <w:kern w:val="0"/>
        </w:rPr>
        <w:t>11</w:t>
      </w:r>
      <w:r w:rsidRPr="00A33854">
        <w:rPr>
          <w:rFonts w:ascii="Calibri" w:hAnsi="Calibri" w:cs="Calibri"/>
          <w:noProof/>
          <w:kern w:val="0"/>
        </w:rPr>
        <w:t>(1), 25–31. https://doi.org/10.15294/biosaintifika.v11i1.17917</w:t>
      </w:r>
    </w:p>
    <w:p w14:paraId="4E471B62"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Sayuti, N. A., &amp; Atikah. (2024). Effectiveness of oral herbal in postpartum and breastfeeding. </w:t>
      </w:r>
      <w:r w:rsidRPr="00A33854">
        <w:rPr>
          <w:rFonts w:ascii="Calibri" w:hAnsi="Calibri" w:cs="Calibri"/>
          <w:i/>
          <w:iCs/>
          <w:noProof/>
          <w:kern w:val="0"/>
        </w:rPr>
        <w:t>Interest: Jurnal Ilmu Kesehatan</w:t>
      </w:r>
      <w:r w:rsidRPr="00A33854">
        <w:rPr>
          <w:rFonts w:ascii="Calibri" w:hAnsi="Calibri" w:cs="Calibri"/>
          <w:noProof/>
          <w:kern w:val="0"/>
        </w:rPr>
        <w:t xml:space="preserve">, </w:t>
      </w:r>
      <w:r w:rsidRPr="00A33854">
        <w:rPr>
          <w:rFonts w:ascii="Calibri" w:hAnsi="Calibri" w:cs="Calibri"/>
          <w:i/>
          <w:iCs/>
          <w:noProof/>
          <w:kern w:val="0"/>
        </w:rPr>
        <w:t>13</w:t>
      </w:r>
      <w:r w:rsidRPr="00A33854">
        <w:rPr>
          <w:rFonts w:ascii="Calibri" w:hAnsi="Calibri" w:cs="Calibri"/>
          <w:noProof/>
          <w:kern w:val="0"/>
        </w:rPr>
        <w:t>(2), 129–149. https://doi.org/10.37341/interest.v13i2.585</w:t>
      </w:r>
    </w:p>
    <w:p w14:paraId="18F26628"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Siemens, W., Borenstein, M., Evrenoglou, T., Meerpohl, J. J., &amp; Schwarzer, G. (2025). Beyond prediction intervals in meta-analysis: Reporting the expected proportion of comparable studies with clinically relevant benefit or harm. </w:t>
      </w:r>
      <w:r w:rsidRPr="00A33854">
        <w:rPr>
          <w:rFonts w:ascii="Calibri" w:hAnsi="Calibri" w:cs="Calibri"/>
          <w:i/>
          <w:iCs/>
          <w:noProof/>
          <w:kern w:val="0"/>
        </w:rPr>
        <w:t>BMC Medical Research Methodology</w:t>
      </w:r>
      <w:r w:rsidRPr="00A33854">
        <w:rPr>
          <w:rFonts w:ascii="Calibri" w:hAnsi="Calibri" w:cs="Calibri"/>
          <w:noProof/>
          <w:kern w:val="0"/>
        </w:rPr>
        <w:t xml:space="preserve">, </w:t>
      </w:r>
      <w:r w:rsidRPr="00A33854">
        <w:rPr>
          <w:rFonts w:ascii="Calibri" w:hAnsi="Calibri" w:cs="Calibri"/>
          <w:i/>
          <w:iCs/>
          <w:noProof/>
          <w:kern w:val="0"/>
        </w:rPr>
        <w:t>25</w:t>
      </w:r>
      <w:r w:rsidRPr="00A33854">
        <w:rPr>
          <w:rFonts w:ascii="Calibri" w:hAnsi="Calibri" w:cs="Calibri"/>
          <w:noProof/>
          <w:kern w:val="0"/>
        </w:rPr>
        <w:t>, 275. https://doi.org/10.1186/s12874-025-02733-9</w:t>
      </w:r>
    </w:p>
    <w:p w14:paraId="2645C10F"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Silalahi, M., Khairiah, A., &amp; Nisyawati. (2020). Ethnomedicinal plants and practices related to pregnancy, childbirth, and postpartum healthcare of Minangkabau ethnic group, West Sumatra, Indonesia. </w:t>
      </w:r>
      <w:r w:rsidRPr="00A33854">
        <w:rPr>
          <w:rFonts w:ascii="Calibri" w:hAnsi="Calibri" w:cs="Calibri"/>
          <w:i/>
          <w:iCs/>
          <w:noProof/>
          <w:kern w:val="0"/>
        </w:rPr>
        <w:t>Biodiversitas</w:t>
      </w:r>
      <w:r w:rsidRPr="00A33854">
        <w:rPr>
          <w:rFonts w:ascii="Calibri" w:hAnsi="Calibri" w:cs="Calibri"/>
          <w:noProof/>
          <w:kern w:val="0"/>
        </w:rPr>
        <w:t xml:space="preserve">, </w:t>
      </w:r>
      <w:r w:rsidRPr="00A33854">
        <w:rPr>
          <w:rFonts w:ascii="Calibri" w:hAnsi="Calibri" w:cs="Calibri"/>
          <w:i/>
          <w:iCs/>
          <w:noProof/>
          <w:kern w:val="0"/>
        </w:rPr>
        <w:t>21</w:t>
      </w:r>
      <w:r w:rsidRPr="00A33854">
        <w:rPr>
          <w:rFonts w:ascii="Calibri" w:hAnsi="Calibri" w:cs="Calibri"/>
          <w:noProof/>
          <w:kern w:val="0"/>
        </w:rPr>
        <w:t>(10), 4597–4605. https://doi.org/10.13057/biodiv/d211018</w:t>
      </w:r>
    </w:p>
    <w:p w14:paraId="5D0C1C96"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Siregar, P. A., Ritonga, A. R., Suraya, R., Rezebri, M., Siregar, P. Y., Iqbal, M., Pratiwi, S., Apriliani, A., &amp; </w:t>
      </w:r>
      <w:r w:rsidRPr="00A33854">
        <w:rPr>
          <w:rFonts w:ascii="Calibri" w:hAnsi="Calibri" w:cs="Calibri"/>
          <w:noProof/>
          <w:kern w:val="0"/>
        </w:rPr>
        <w:lastRenderedPageBreak/>
        <w:t xml:space="preserve">Adinda, D. (2025). Integrating the Mararang postpartum tradition into biomedical care: An interdisciplinary study of health beliefs, communication, and maternal-infant outcomes. </w:t>
      </w:r>
      <w:r w:rsidRPr="00A33854">
        <w:rPr>
          <w:rFonts w:ascii="Calibri" w:hAnsi="Calibri" w:cs="Calibri"/>
          <w:i/>
          <w:iCs/>
          <w:noProof/>
          <w:kern w:val="0"/>
        </w:rPr>
        <w:t>Media Publikasi Promosi Kesehatan Indonesia</w:t>
      </w:r>
      <w:r w:rsidRPr="00A33854">
        <w:rPr>
          <w:rFonts w:ascii="Calibri" w:hAnsi="Calibri" w:cs="Calibri"/>
          <w:noProof/>
          <w:kern w:val="0"/>
        </w:rPr>
        <w:t xml:space="preserve">, </w:t>
      </w:r>
      <w:r w:rsidRPr="00A33854">
        <w:rPr>
          <w:rFonts w:ascii="Calibri" w:hAnsi="Calibri" w:cs="Calibri"/>
          <w:i/>
          <w:iCs/>
          <w:noProof/>
          <w:kern w:val="0"/>
        </w:rPr>
        <w:t>8</w:t>
      </w:r>
      <w:r w:rsidRPr="00A33854">
        <w:rPr>
          <w:rFonts w:ascii="Calibri" w:hAnsi="Calibri" w:cs="Calibri"/>
          <w:noProof/>
          <w:kern w:val="0"/>
        </w:rPr>
        <w:t>(12), 1564–1575. https://doi.org/10.56338/mppki.v8i12.8407</w:t>
      </w:r>
    </w:p>
    <w:p w14:paraId="34B192EA"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Susandarini, R., Khasanah, U., &amp; Rosalia, N. (2021). Ethnobotanical study of plants used as food and for maternal health care by the Malay communities in Kampar Kiri Hulu, Riau, Indonesia. </w:t>
      </w:r>
      <w:r w:rsidRPr="00A33854">
        <w:rPr>
          <w:rFonts w:ascii="Calibri" w:hAnsi="Calibri" w:cs="Calibri"/>
          <w:i/>
          <w:iCs/>
          <w:noProof/>
          <w:kern w:val="0"/>
        </w:rPr>
        <w:t>Biodiversitas</w:t>
      </w:r>
      <w:r w:rsidRPr="00A33854">
        <w:rPr>
          <w:rFonts w:ascii="Calibri" w:hAnsi="Calibri" w:cs="Calibri"/>
          <w:noProof/>
          <w:kern w:val="0"/>
        </w:rPr>
        <w:t xml:space="preserve">, </w:t>
      </w:r>
      <w:r w:rsidRPr="00A33854">
        <w:rPr>
          <w:rFonts w:ascii="Calibri" w:hAnsi="Calibri" w:cs="Calibri"/>
          <w:i/>
          <w:iCs/>
          <w:noProof/>
          <w:kern w:val="0"/>
        </w:rPr>
        <w:t>22</w:t>
      </w:r>
      <w:r w:rsidRPr="00A33854">
        <w:rPr>
          <w:rFonts w:ascii="Calibri" w:hAnsi="Calibri" w:cs="Calibri"/>
          <w:noProof/>
          <w:kern w:val="0"/>
        </w:rPr>
        <w:t>(6), 3111–3120. https://doi.org/10.13057/biodiv/d220613</w:t>
      </w:r>
    </w:p>
    <w:p w14:paraId="1B5DEE7B"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UNESCO. (2023). </w:t>
      </w:r>
      <w:r w:rsidRPr="00A33854">
        <w:rPr>
          <w:rFonts w:ascii="Calibri" w:hAnsi="Calibri" w:cs="Calibri"/>
          <w:i/>
          <w:iCs/>
          <w:noProof/>
          <w:kern w:val="0"/>
        </w:rPr>
        <w:t>Jamu Wellness Culture</w:t>
      </w:r>
      <w:r w:rsidRPr="00A33854">
        <w:rPr>
          <w:rFonts w:ascii="Calibri" w:hAnsi="Calibri" w:cs="Calibri"/>
          <w:noProof/>
          <w:kern w:val="0"/>
        </w:rPr>
        <w:t>. https://ich.unesco.org/en/RL/jamu-wellness-culture-01972</w:t>
      </w:r>
    </w:p>
    <w:p w14:paraId="7D92A57E"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Wang, H., Chen, Y., Wang, L., Liu, Q., Yang, S., &amp; Wang, C. (2023). Advancing herbal medicine: Enhancing product quality and safety through robust quality control practices. </w:t>
      </w:r>
      <w:r w:rsidRPr="00A33854">
        <w:rPr>
          <w:rFonts w:ascii="Calibri" w:hAnsi="Calibri" w:cs="Calibri"/>
          <w:i/>
          <w:iCs/>
          <w:noProof/>
          <w:kern w:val="0"/>
        </w:rPr>
        <w:t>Frontiers in Pharmacology</w:t>
      </w:r>
      <w:r w:rsidRPr="00A33854">
        <w:rPr>
          <w:rFonts w:ascii="Calibri" w:hAnsi="Calibri" w:cs="Calibri"/>
          <w:noProof/>
          <w:kern w:val="0"/>
        </w:rPr>
        <w:t xml:space="preserve">, </w:t>
      </w:r>
      <w:r w:rsidRPr="00A33854">
        <w:rPr>
          <w:rFonts w:ascii="Calibri" w:hAnsi="Calibri" w:cs="Calibri"/>
          <w:i/>
          <w:iCs/>
          <w:noProof/>
          <w:kern w:val="0"/>
        </w:rPr>
        <w:t>14</w:t>
      </w:r>
      <w:r w:rsidRPr="00A33854">
        <w:rPr>
          <w:rFonts w:ascii="Calibri" w:hAnsi="Calibri" w:cs="Calibri"/>
          <w:noProof/>
          <w:kern w:val="0"/>
        </w:rPr>
        <w:t>, 1265178. https://doi.org/10.3389/fphar.2023.1265178</w:t>
      </w:r>
    </w:p>
    <w:p w14:paraId="7DE3D78B"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Wijaya, N. R., &amp; Dewi, T. F. (2020). Keanekaragaman spesies tumbuhan obat untuk perawatan sebelum dan sesudah persalinan pada beberapa suku di Maluku Utara. </w:t>
      </w:r>
      <w:r w:rsidRPr="00A33854">
        <w:rPr>
          <w:rFonts w:ascii="Calibri" w:hAnsi="Calibri" w:cs="Calibri"/>
          <w:i/>
          <w:iCs/>
          <w:noProof/>
          <w:kern w:val="0"/>
        </w:rPr>
        <w:t>Buletin Plasma Nutfah</w:t>
      </w:r>
      <w:r w:rsidRPr="00A33854">
        <w:rPr>
          <w:rFonts w:ascii="Calibri" w:hAnsi="Calibri" w:cs="Calibri"/>
          <w:noProof/>
          <w:kern w:val="0"/>
        </w:rPr>
        <w:t xml:space="preserve">, </w:t>
      </w:r>
      <w:r w:rsidRPr="00A33854">
        <w:rPr>
          <w:rFonts w:ascii="Calibri" w:hAnsi="Calibri" w:cs="Calibri"/>
          <w:i/>
          <w:iCs/>
          <w:noProof/>
          <w:kern w:val="0"/>
        </w:rPr>
        <w:t>26</w:t>
      </w:r>
      <w:r w:rsidRPr="00A33854">
        <w:rPr>
          <w:rFonts w:ascii="Calibri" w:hAnsi="Calibri" w:cs="Calibri"/>
          <w:noProof/>
          <w:kern w:val="0"/>
        </w:rPr>
        <w:t>(2), 145–156. https://doi.org/10.21082/blpn.v26n2.2020.p145-156</w:t>
      </w:r>
    </w:p>
    <w:p w14:paraId="28D0EA9B"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World Health Organization. (2022). </w:t>
      </w:r>
      <w:r w:rsidRPr="00A33854">
        <w:rPr>
          <w:rFonts w:ascii="Calibri" w:hAnsi="Calibri" w:cs="Calibri"/>
          <w:i/>
          <w:iCs/>
          <w:noProof/>
          <w:kern w:val="0"/>
        </w:rPr>
        <w:t>WHO Recommendations on Maternal and Newborn Care for a Positive Postnatal Experience</w:t>
      </w:r>
      <w:r w:rsidRPr="00A33854">
        <w:rPr>
          <w:rFonts w:ascii="Calibri" w:hAnsi="Calibri" w:cs="Calibri"/>
          <w:noProof/>
          <w:kern w:val="0"/>
        </w:rPr>
        <w:t>. World Health Organization. https://www.who.int/publications/i/item/9789240045989</w:t>
      </w:r>
    </w:p>
    <w:p w14:paraId="71C50091"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World Health Organization. (2025). </w:t>
      </w:r>
      <w:r w:rsidRPr="00A33854">
        <w:rPr>
          <w:rFonts w:ascii="Calibri" w:hAnsi="Calibri" w:cs="Calibri"/>
          <w:i/>
          <w:iCs/>
          <w:noProof/>
          <w:kern w:val="0"/>
        </w:rPr>
        <w:t>Global Traditional Medicine Strategy 2025--2034</w:t>
      </w:r>
      <w:r w:rsidRPr="00A33854">
        <w:rPr>
          <w:rFonts w:ascii="Calibri" w:hAnsi="Calibri" w:cs="Calibri"/>
          <w:noProof/>
          <w:kern w:val="0"/>
        </w:rPr>
        <w:t>.</w:t>
      </w:r>
    </w:p>
    <w:p w14:paraId="2DB3A6B9"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kern w:val="0"/>
        </w:rPr>
      </w:pPr>
      <w:r w:rsidRPr="00A33854">
        <w:rPr>
          <w:rFonts w:ascii="Calibri" w:hAnsi="Calibri" w:cs="Calibri"/>
          <w:noProof/>
          <w:kern w:val="0"/>
        </w:rPr>
        <w:t xml:space="preserve">Yustika, B., Nasution, J., &amp; Riyanto. (2022). Jenis tumbuhan obat yang dimanfaatkan untuk pasca melahirkan oleh etnis Melayu di Tanjung Pura Kabupaten Langkat, Sumatera Utara. </w:t>
      </w:r>
      <w:r w:rsidRPr="00A33854">
        <w:rPr>
          <w:rFonts w:ascii="Calibri" w:hAnsi="Calibri" w:cs="Calibri"/>
          <w:i/>
          <w:iCs/>
          <w:noProof/>
          <w:kern w:val="0"/>
        </w:rPr>
        <w:t>Jurnal Ilmiah Biologi UMA</w:t>
      </w:r>
      <w:r w:rsidRPr="00A33854">
        <w:rPr>
          <w:rFonts w:ascii="Calibri" w:hAnsi="Calibri" w:cs="Calibri"/>
          <w:noProof/>
          <w:kern w:val="0"/>
        </w:rPr>
        <w:t xml:space="preserve">, </w:t>
      </w:r>
      <w:r w:rsidRPr="00A33854">
        <w:rPr>
          <w:rFonts w:ascii="Calibri" w:hAnsi="Calibri" w:cs="Calibri"/>
          <w:i/>
          <w:iCs/>
          <w:noProof/>
          <w:kern w:val="0"/>
        </w:rPr>
        <w:t>4</w:t>
      </w:r>
      <w:r w:rsidRPr="00A33854">
        <w:rPr>
          <w:rFonts w:ascii="Calibri" w:hAnsi="Calibri" w:cs="Calibri"/>
          <w:noProof/>
          <w:kern w:val="0"/>
        </w:rPr>
        <w:t>(1), 8–17. https://doi.org/10.31289/jibioma.v1i1.1225</w:t>
      </w:r>
    </w:p>
    <w:p w14:paraId="600FDE59" w14:textId="77777777" w:rsidR="00A33854" w:rsidRPr="00A33854" w:rsidRDefault="00A33854" w:rsidP="00A33854">
      <w:pPr>
        <w:widowControl w:val="0"/>
        <w:autoSpaceDE w:val="0"/>
        <w:autoSpaceDN w:val="0"/>
        <w:adjustRightInd w:val="0"/>
        <w:spacing w:line="240" w:lineRule="auto"/>
        <w:ind w:left="480" w:hanging="480"/>
        <w:jc w:val="both"/>
        <w:rPr>
          <w:rFonts w:ascii="Calibri" w:hAnsi="Calibri" w:cs="Calibri"/>
          <w:noProof/>
        </w:rPr>
      </w:pPr>
      <w:r w:rsidRPr="00A33854">
        <w:rPr>
          <w:rFonts w:ascii="Calibri" w:hAnsi="Calibri" w:cs="Calibri"/>
          <w:noProof/>
          <w:kern w:val="0"/>
        </w:rPr>
        <w:t xml:space="preserve">Zumaidar, Saudah, Rasnovi, S., &amp; Harnelly, E. (2019). Tumbuhan sebagai obat tradisional pasca melahirkan oleh Suku Aceh di Kabupaten Pidie. </w:t>
      </w:r>
      <w:r w:rsidRPr="00A33854">
        <w:rPr>
          <w:rFonts w:ascii="Calibri" w:hAnsi="Calibri" w:cs="Calibri"/>
          <w:i/>
          <w:iCs/>
          <w:noProof/>
          <w:kern w:val="0"/>
        </w:rPr>
        <w:t>Al-Kauniyah: Jurnal Biologi</w:t>
      </w:r>
      <w:r w:rsidRPr="00A33854">
        <w:rPr>
          <w:rFonts w:ascii="Calibri" w:hAnsi="Calibri" w:cs="Calibri"/>
          <w:noProof/>
          <w:kern w:val="0"/>
        </w:rPr>
        <w:t xml:space="preserve">, </w:t>
      </w:r>
      <w:r w:rsidRPr="00A33854">
        <w:rPr>
          <w:rFonts w:ascii="Calibri" w:hAnsi="Calibri" w:cs="Calibri"/>
          <w:i/>
          <w:iCs/>
          <w:noProof/>
          <w:kern w:val="0"/>
        </w:rPr>
        <w:t>12</w:t>
      </w:r>
      <w:r w:rsidRPr="00A33854">
        <w:rPr>
          <w:rFonts w:ascii="Calibri" w:hAnsi="Calibri" w:cs="Calibri"/>
          <w:noProof/>
          <w:kern w:val="0"/>
        </w:rPr>
        <w:t>(2), 157–163. https://doi.org/10.15408/kauniyah.v12i2.9991</w:t>
      </w:r>
    </w:p>
    <w:p w14:paraId="1263499E" w14:textId="3476B989" w:rsidR="00A30FD9" w:rsidRDefault="00A33854" w:rsidP="00A33854">
      <w:pPr>
        <w:ind w:left="709" w:hanging="709"/>
        <w:jc w:val="both"/>
      </w:pPr>
      <w:r>
        <w:fldChar w:fldCharType="end"/>
      </w:r>
    </w:p>
    <w:sectPr w:rsidR="00A30F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E143A"/>
    <w:multiLevelType w:val="hybridMultilevel"/>
    <w:tmpl w:val="5EF8C0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6203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E09"/>
    <w:rsid w:val="000245B1"/>
    <w:rsid w:val="00042FDB"/>
    <w:rsid w:val="00044173"/>
    <w:rsid w:val="00052596"/>
    <w:rsid w:val="00060826"/>
    <w:rsid w:val="0008213A"/>
    <w:rsid w:val="000A4845"/>
    <w:rsid w:val="0014303A"/>
    <w:rsid w:val="0017281C"/>
    <w:rsid w:val="00174760"/>
    <w:rsid w:val="00193728"/>
    <w:rsid w:val="001B0001"/>
    <w:rsid w:val="001C50FB"/>
    <w:rsid w:val="001D7F3B"/>
    <w:rsid w:val="002209A5"/>
    <w:rsid w:val="0022760E"/>
    <w:rsid w:val="00265A1B"/>
    <w:rsid w:val="0027243F"/>
    <w:rsid w:val="00291059"/>
    <w:rsid w:val="002D5DA7"/>
    <w:rsid w:val="002D64BA"/>
    <w:rsid w:val="002E2E3C"/>
    <w:rsid w:val="002F26B6"/>
    <w:rsid w:val="002F3EC5"/>
    <w:rsid w:val="00357572"/>
    <w:rsid w:val="00372E26"/>
    <w:rsid w:val="003C4BD7"/>
    <w:rsid w:val="0043434C"/>
    <w:rsid w:val="004356CC"/>
    <w:rsid w:val="00451960"/>
    <w:rsid w:val="00466880"/>
    <w:rsid w:val="004B6A92"/>
    <w:rsid w:val="004F31F4"/>
    <w:rsid w:val="004F3B80"/>
    <w:rsid w:val="004F5138"/>
    <w:rsid w:val="00567F1A"/>
    <w:rsid w:val="005A3945"/>
    <w:rsid w:val="005E41A1"/>
    <w:rsid w:val="00621974"/>
    <w:rsid w:val="0067085F"/>
    <w:rsid w:val="006731A2"/>
    <w:rsid w:val="00681955"/>
    <w:rsid w:val="00696DAB"/>
    <w:rsid w:val="00723618"/>
    <w:rsid w:val="00725E09"/>
    <w:rsid w:val="007466F6"/>
    <w:rsid w:val="007622E2"/>
    <w:rsid w:val="00786D23"/>
    <w:rsid w:val="00786E5E"/>
    <w:rsid w:val="00794B79"/>
    <w:rsid w:val="007A01EA"/>
    <w:rsid w:val="007A0911"/>
    <w:rsid w:val="007B00C5"/>
    <w:rsid w:val="008023E8"/>
    <w:rsid w:val="008218C8"/>
    <w:rsid w:val="00863ED8"/>
    <w:rsid w:val="00871DD2"/>
    <w:rsid w:val="00897916"/>
    <w:rsid w:val="00950A81"/>
    <w:rsid w:val="00974981"/>
    <w:rsid w:val="009848E1"/>
    <w:rsid w:val="00991CE5"/>
    <w:rsid w:val="00994EB3"/>
    <w:rsid w:val="009A5CEA"/>
    <w:rsid w:val="009B2946"/>
    <w:rsid w:val="00A30FD9"/>
    <w:rsid w:val="00A33854"/>
    <w:rsid w:val="00A64F4B"/>
    <w:rsid w:val="00A97F19"/>
    <w:rsid w:val="00B072C3"/>
    <w:rsid w:val="00B13BC3"/>
    <w:rsid w:val="00B248DA"/>
    <w:rsid w:val="00B561CB"/>
    <w:rsid w:val="00BE2CCE"/>
    <w:rsid w:val="00BF49DC"/>
    <w:rsid w:val="00C17A6C"/>
    <w:rsid w:val="00C3346E"/>
    <w:rsid w:val="00C516E5"/>
    <w:rsid w:val="00C96791"/>
    <w:rsid w:val="00CA0B19"/>
    <w:rsid w:val="00CB2FB5"/>
    <w:rsid w:val="00CB5F4D"/>
    <w:rsid w:val="00CF6612"/>
    <w:rsid w:val="00D70D02"/>
    <w:rsid w:val="00DE20B0"/>
    <w:rsid w:val="00E2066C"/>
    <w:rsid w:val="00E23567"/>
    <w:rsid w:val="00E45F62"/>
    <w:rsid w:val="00E54943"/>
    <w:rsid w:val="00E54C71"/>
    <w:rsid w:val="00ED6A1B"/>
    <w:rsid w:val="00F10BC9"/>
    <w:rsid w:val="00F65DE1"/>
    <w:rsid w:val="00F860EE"/>
    <w:rsid w:val="00FA2D9C"/>
    <w:rsid w:val="00FA7A98"/>
    <w:rsid w:val="00FB31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32975"/>
  <w15:chartTrackingRefBased/>
  <w15:docId w15:val="{C8001952-F3AB-47F7-B916-904B4A7BF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A5CEA"/>
    <w:rPr>
      <w:color w:val="0563C1" w:themeColor="hyperlink"/>
      <w:u w:val="single"/>
    </w:rPr>
  </w:style>
  <w:style w:type="character" w:styleId="UnresolvedMention">
    <w:name w:val="Unresolved Mention"/>
    <w:basedOn w:val="DefaultParagraphFont"/>
    <w:uiPriority w:val="99"/>
    <w:semiHidden/>
    <w:unhideWhenUsed/>
    <w:rsid w:val="009A5CEA"/>
    <w:rPr>
      <w:color w:val="605E5C"/>
      <w:shd w:val="clear" w:color="auto" w:fill="E1DFDD"/>
    </w:rPr>
  </w:style>
  <w:style w:type="paragraph" w:styleId="ListParagraph">
    <w:name w:val="List Paragraph"/>
    <w:basedOn w:val="Normal"/>
    <w:uiPriority w:val="34"/>
    <w:qFormat/>
    <w:rsid w:val="00E54943"/>
    <w:pPr>
      <w:ind w:left="720"/>
      <w:contextualSpacing/>
    </w:pPr>
  </w:style>
  <w:style w:type="character" w:styleId="PlaceholderText">
    <w:name w:val="Placeholder Text"/>
    <w:basedOn w:val="DefaultParagraphFont"/>
    <w:uiPriority w:val="99"/>
    <w:semiHidden/>
    <w:rsid w:val="0029105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066223">
      <w:bodyDiv w:val="1"/>
      <w:marLeft w:val="0"/>
      <w:marRight w:val="0"/>
      <w:marTop w:val="0"/>
      <w:marBottom w:val="0"/>
      <w:divBdr>
        <w:top w:val="none" w:sz="0" w:space="0" w:color="auto"/>
        <w:left w:val="none" w:sz="0" w:space="0" w:color="auto"/>
        <w:bottom w:val="none" w:sz="0" w:space="0" w:color="auto"/>
        <w:right w:val="none" w:sz="0" w:space="0" w:color="auto"/>
      </w:divBdr>
    </w:div>
    <w:div w:id="124861198">
      <w:bodyDiv w:val="1"/>
      <w:marLeft w:val="0"/>
      <w:marRight w:val="0"/>
      <w:marTop w:val="0"/>
      <w:marBottom w:val="0"/>
      <w:divBdr>
        <w:top w:val="none" w:sz="0" w:space="0" w:color="auto"/>
        <w:left w:val="none" w:sz="0" w:space="0" w:color="auto"/>
        <w:bottom w:val="none" w:sz="0" w:space="0" w:color="auto"/>
        <w:right w:val="none" w:sz="0" w:space="0" w:color="auto"/>
      </w:divBdr>
      <w:divsChild>
        <w:div w:id="246110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718943">
      <w:bodyDiv w:val="1"/>
      <w:marLeft w:val="0"/>
      <w:marRight w:val="0"/>
      <w:marTop w:val="0"/>
      <w:marBottom w:val="0"/>
      <w:divBdr>
        <w:top w:val="none" w:sz="0" w:space="0" w:color="auto"/>
        <w:left w:val="none" w:sz="0" w:space="0" w:color="auto"/>
        <w:bottom w:val="none" w:sz="0" w:space="0" w:color="auto"/>
        <w:right w:val="none" w:sz="0" w:space="0" w:color="auto"/>
      </w:divBdr>
    </w:div>
    <w:div w:id="167984624">
      <w:bodyDiv w:val="1"/>
      <w:marLeft w:val="0"/>
      <w:marRight w:val="0"/>
      <w:marTop w:val="0"/>
      <w:marBottom w:val="0"/>
      <w:divBdr>
        <w:top w:val="none" w:sz="0" w:space="0" w:color="auto"/>
        <w:left w:val="none" w:sz="0" w:space="0" w:color="auto"/>
        <w:bottom w:val="none" w:sz="0" w:space="0" w:color="auto"/>
        <w:right w:val="none" w:sz="0" w:space="0" w:color="auto"/>
      </w:divBdr>
    </w:div>
    <w:div w:id="189103215">
      <w:bodyDiv w:val="1"/>
      <w:marLeft w:val="0"/>
      <w:marRight w:val="0"/>
      <w:marTop w:val="0"/>
      <w:marBottom w:val="0"/>
      <w:divBdr>
        <w:top w:val="none" w:sz="0" w:space="0" w:color="auto"/>
        <w:left w:val="none" w:sz="0" w:space="0" w:color="auto"/>
        <w:bottom w:val="none" w:sz="0" w:space="0" w:color="auto"/>
        <w:right w:val="none" w:sz="0" w:space="0" w:color="auto"/>
      </w:divBdr>
    </w:div>
    <w:div w:id="218900149">
      <w:bodyDiv w:val="1"/>
      <w:marLeft w:val="0"/>
      <w:marRight w:val="0"/>
      <w:marTop w:val="0"/>
      <w:marBottom w:val="0"/>
      <w:divBdr>
        <w:top w:val="none" w:sz="0" w:space="0" w:color="auto"/>
        <w:left w:val="none" w:sz="0" w:space="0" w:color="auto"/>
        <w:bottom w:val="none" w:sz="0" w:space="0" w:color="auto"/>
        <w:right w:val="none" w:sz="0" w:space="0" w:color="auto"/>
      </w:divBdr>
    </w:div>
    <w:div w:id="226721592">
      <w:bodyDiv w:val="1"/>
      <w:marLeft w:val="0"/>
      <w:marRight w:val="0"/>
      <w:marTop w:val="0"/>
      <w:marBottom w:val="0"/>
      <w:divBdr>
        <w:top w:val="none" w:sz="0" w:space="0" w:color="auto"/>
        <w:left w:val="none" w:sz="0" w:space="0" w:color="auto"/>
        <w:bottom w:val="none" w:sz="0" w:space="0" w:color="auto"/>
        <w:right w:val="none" w:sz="0" w:space="0" w:color="auto"/>
      </w:divBdr>
    </w:div>
    <w:div w:id="256643041">
      <w:bodyDiv w:val="1"/>
      <w:marLeft w:val="0"/>
      <w:marRight w:val="0"/>
      <w:marTop w:val="0"/>
      <w:marBottom w:val="0"/>
      <w:divBdr>
        <w:top w:val="none" w:sz="0" w:space="0" w:color="auto"/>
        <w:left w:val="none" w:sz="0" w:space="0" w:color="auto"/>
        <w:bottom w:val="none" w:sz="0" w:space="0" w:color="auto"/>
        <w:right w:val="none" w:sz="0" w:space="0" w:color="auto"/>
      </w:divBdr>
    </w:div>
    <w:div w:id="356127082">
      <w:bodyDiv w:val="1"/>
      <w:marLeft w:val="0"/>
      <w:marRight w:val="0"/>
      <w:marTop w:val="0"/>
      <w:marBottom w:val="0"/>
      <w:divBdr>
        <w:top w:val="none" w:sz="0" w:space="0" w:color="auto"/>
        <w:left w:val="none" w:sz="0" w:space="0" w:color="auto"/>
        <w:bottom w:val="none" w:sz="0" w:space="0" w:color="auto"/>
        <w:right w:val="none" w:sz="0" w:space="0" w:color="auto"/>
      </w:divBdr>
    </w:div>
    <w:div w:id="361126171">
      <w:bodyDiv w:val="1"/>
      <w:marLeft w:val="0"/>
      <w:marRight w:val="0"/>
      <w:marTop w:val="0"/>
      <w:marBottom w:val="0"/>
      <w:divBdr>
        <w:top w:val="none" w:sz="0" w:space="0" w:color="auto"/>
        <w:left w:val="none" w:sz="0" w:space="0" w:color="auto"/>
        <w:bottom w:val="none" w:sz="0" w:space="0" w:color="auto"/>
        <w:right w:val="none" w:sz="0" w:space="0" w:color="auto"/>
      </w:divBdr>
    </w:div>
    <w:div w:id="401877316">
      <w:bodyDiv w:val="1"/>
      <w:marLeft w:val="0"/>
      <w:marRight w:val="0"/>
      <w:marTop w:val="0"/>
      <w:marBottom w:val="0"/>
      <w:divBdr>
        <w:top w:val="none" w:sz="0" w:space="0" w:color="auto"/>
        <w:left w:val="none" w:sz="0" w:space="0" w:color="auto"/>
        <w:bottom w:val="none" w:sz="0" w:space="0" w:color="auto"/>
        <w:right w:val="none" w:sz="0" w:space="0" w:color="auto"/>
      </w:divBdr>
    </w:div>
    <w:div w:id="537091595">
      <w:bodyDiv w:val="1"/>
      <w:marLeft w:val="0"/>
      <w:marRight w:val="0"/>
      <w:marTop w:val="0"/>
      <w:marBottom w:val="0"/>
      <w:divBdr>
        <w:top w:val="none" w:sz="0" w:space="0" w:color="auto"/>
        <w:left w:val="none" w:sz="0" w:space="0" w:color="auto"/>
        <w:bottom w:val="none" w:sz="0" w:space="0" w:color="auto"/>
        <w:right w:val="none" w:sz="0" w:space="0" w:color="auto"/>
      </w:divBdr>
    </w:div>
    <w:div w:id="670177068">
      <w:bodyDiv w:val="1"/>
      <w:marLeft w:val="0"/>
      <w:marRight w:val="0"/>
      <w:marTop w:val="0"/>
      <w:marBottom w:val="0"/>
      <w:divBdr>
        <w:top w:val="none" w:sz="0" w:space="0" w:color="auto"/>
        <w:left w:val="none" w:sz="0" w:space="0" w:color="auto"/>
        <w:bottom w:val="none" w:sz="0" w:space="0" w:color="auto"/>
        <w:right w:val="none" w:sz="0" w:space="0" w:color="auto"/>
      </w:divBdr>
      <w:divsChild>
        <w:div w:id="117725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3145202">
      <w:bodyDiv w:val="1"/>
      <w:marLeft w:val="0"/>
      <w:marRight w:val="0"/>
      <w:marTop w:val="0"/>
      <w:marBottom w:val="0"/>
      <w:divBdr>
        <w:top w:val="none" w:sz="0" w:space="0" w:color="auto"/>
        <w:left w:val="none" w:sz="0" w:space="0" w:color="auto"/>
        <w:bottom w:val="none" w:sz="0" w:space="0" w:color="auto"/>
        <w:right w:val="none" w:sz="0" w:space="0" w:color="auto"/>
      </w:divBdr>
    </w:div>
    <w:div w:id="683239900">
      <w:bodyDiv w:val="1"/>
      <w:marLeft w:val="0"/>
      <w:marRight w:val="0"/>
      <w:marTop w:val="0"/>
      <w:marBottom w:val="0"/>
      <w:divBdr>
        <w:top w:val="none" w:sz="0" w:space="0" w:color="auto"/>
        <w:left w:val="none" w:sz="0" w:space="0" w:color="auto"/>
        <w:bottom w:val="none" w:sz="0" w:space="0" w:color="auto"/>
        <w:right w:val="none" w:sz="0" w:space="0" w:color="auto"/>
      </w:divBdr>
    </w:div>
    <w:div w:id="834077921">
      <w:bodyDiv w:val="1"/>
      <w:marLeft w:val="0"/>
      <w:marRight w:val="0"/>
      <w:marTop w:val="0"/>
      <w:marBottom w:val="0"/>
      <w:divBdr>
        <w:top w:val="none" w:sz="0" w:space="0" w:color="auto"/>
        <w:left w:val="none" w:sz="0" w:space="0" w:color="auto"/>
        <w:bottom w:val="none" w:sz="0" w:space="0" w:color="auto"/>
        <w:right w:val="none" w:sz="0" w:space="0" w:color="auto"/>
      </w:divBdr>
    </w:div>
    <w:div w:id="893850631">
      <w:bodyDiv w:val="1"/>
      <w:marLeft w:val="0"/>
      <w:marRight w:val="0"/>
      <w:marTop w:val="0"/>
      <w:marBottom w:val="0"/>
      <w:divBdr>
        <w:top w:val="none" w:sz="0" w:space="0" w:color="auto"/>
        <w:left w:val="none" w:sz="0" w:space="0" w:color="auto"/>
        <w:bottom w:val="none" w:sz="0" w:space="0" w:color="auto"/>
        <w:right w:val="none" w:sz="0" w:space="0" w:color="auto"/>
      </w:divBdr>
    </w:div>
    <w:div w:id="980844486">
      <w:bodyDiv w:val="1"/>
      <w:marLeft w:val="0"/>
      <w:marRight w:val="0"/>
      <w:marTop w:val="0"/>
      <w:marBottom w:val="0"/>
      <w:divBdr>
        <w:top w:val="none" w:sz="0" w:space="0" w:color="auto"/>
        <w:left w:val="none" w:sz="0" w:space="0" w:color="auto"/>
        <w:bottom w:val="none" w:sz="0" w:space="0" w:color="auto"/>
        <w:right w:val="none" w:sz="0" w:space="0" w:color="auto"/>
      </w:divBdr>
    </w:div>
    <w:div w:id="1050306808">
      <w:bodyDiv w:val="1"/>
      <w:marLeft w:val="0"/>
      <w:marRight w:val="0"/>
      <w:marTop w:val="0"/>
      <w:marBottom w:val="0"/>
      <w:divBdr>
        <w:top w:val="none" w:sz="0" w:space="0" w:color="auto"/>
        <w:left w:val="none" w:sz="0" w:space="0" w:color="auto"/>
        <w:bottom w:val="none" w:sz="0" w:space="0" w:color="auto"/>
        <w:right w:val="none" w:sz="0" w:space="0" w:color="auto"/>
      </w:divBdr>
    </w:div>
    <w:div w:id="1133406942">
      <w:bodyDiv w:val="1"/>
      <w:marLeft w:val="0"/>
      <w:marRight w:val="0"/>
      <w:marTop w:val="0"/>
      <w:marBottom w:val="0"/>
      <w:divBdr>
        <w:top w:val="none" w:sz="0" w:space="0" w:color="auto"/>
        <w:left w:val="none" w:sz="0" w:space="0" w:color="auto"/>
        <w:bottom w:val="none" w:sz="0" w:space="0" w:color="auto"/>
        <w:right w:val="none" w:sz="0" w:space="0" w:color="auto"/>
      </w:divBdr>
    </w:div>
    <w:div w:id="1248928320">
      <w:bodyDiv w:val="1"/>
      <w:marLeft w:val="0"/>
      <w:marRight w:val="0"/>
      <w:marTop w:val="0"/>
      <w:marBottom w:val="0"/>
      <w:divBdr>
        <w:top w:val="none" w:sz="0" w:space="0" w:color="auto"/>
        <w:left w:val="none" w:sz="0" w:space="0" w:color="auto"/>
        <w:bottom w:val="none" w:sz="0" w:space="0" w:color="auto"/>
        <w:right w:val="none" w:sz="0" w:space="0" w:color="auto"/>
      </w:divBdr>
    </w:div>
    <w:div w:id="1297250000">
      <w:bodyDiv w:val="1"/>
      <w:marLeft w:val="0"/>
      <w:marRight w:val="0"/>
      <w:marTop w:val="0"/>
      <w:marBottom w:val="0"/>
      <w:divBdr>
        <w:top w:val="none" w:sz="0" w:space="0" w:color="auto"/>
        <w:left w:val="none" w:sz="0" w:space="0" w:color="auto"/>
        <w:bottom w:val="none" w:sz="0" w:space="0" w:color="auto"/>
        <w:right w:val="none" w:sz="0" w:space="0" w:color="auto"/>
      </w:divBdr>
    </w:div>
    <w:div w:id="1308706978">
      <w:bodyDiv w:val="1"/>
      <w:marLeft w:val="0"/>
      <w:marRight w:val="0"/>
      <w:marTop w:val="0"/>
      <w:marBottom w:val="0"/>
      <w:divBdr>
        <w:top w:val="none" w:sz="0" w:space="0" w:color="auto"/>
        <w:left w:val="none" w:sz="0" w:space="0" w:color="auto"/>
        <w:bottom w:val="none" w:sz="0" w:space="0" w:color="auto"/>
        <w:right w:val="none" w:sz="0" w:space="0" w:color="auto"/>
      </w:divBdr>
    </w:div>
    <w:div w:id="1413425530">
      <w:bodyDiv w:val="1"/>
      <w:marLeft w:val="0"/>
      <w:marRight w:val="0"/>
      <w:marTop w:val="0"/>
      <w:marBottom w:val="0"/>
      <w:divBdr>
        <w:top w:val="none" w:sz="0" w:space="0" w:color="auto"/>
        <w:left w:val="none" w:sz="0" w:space="0" w:color="auto"/>
        <w:bottom w:val="none" w:sz="0" w:space="0" w:color="auto"/>
        <w:right w:val="none" w:sz="0" w:space="0" w:color="auto"/>
      </w:divBdr>
    </w:div>
    <w:div w:id="1417433766">
      <w:bodyDiv w:val="1"/>
      <w:marLeft w:val="0"/>
      <w:marRight w:val="0"/>
      <w:marTop w:val="0"/>
      <w:marBottom w:val="0"/>
      <w:divBdr>
        <w:top w:val="none" w:sz="0" w:space="0" w:color="auto"/>
        <w:left w:val="none" w:sz="0" w:space="0" w:color="auto"/>
        <w:bottom w:val="none" w:sz="0" w:space="0" w:color="auto"/>
        <w:right w:val="none" w:sz="0" w:space="0" w:color="auto"/>
      </w:divBdr>
    </w:div>
    <w:div w:id="1512719731">
      <w:bodyDiv w:val="1"/>
      <w:marLeft w:val="0"/>
      <w:marRight w:val="0"/>
      <w:marTop w:val="0"/>
      <w:marBottom w:val="0"/>
      <w:divBdr>
        <w:top w:val="none" w:sz="0" w:space="0" w:color="auto"/>
        <w:left w:val="none" w:sz="0" w:space="0" w:color="auto"/>
        <w:bottom w:val="none" w:sz="0" w:space="0" w:color="auto"/>
        <w:right w:val="none" w:sz="0" w:space="0" w:color="auto"/>
      </w:divBdr>
      <w:divsChild>
        <w:div w:id="1482238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8542911">
      <w:bodyDiv w:val="1"/>
      <w:marLeft w:val="0"/>
      <w:marRight w:val="0"/>
      <w:marTop w:val="0"/>
      <w:marBottom w:val="0"/>
      <w:divBdr>
        <w:top w:val="none" w:sz="0" w:space="0" w:color="auto"/>
        <w:left w:val="none" w:sz="0" w:space="0" w:color="auto"/>
        <w:bottom w:val="none" w:sz="0" w:space="0" w:color="auto"/>
        <w:right w:val="none" w:sz="0" w:space="0" w:color="auto"/>
      </w:divBdr>
    </w:div>
    <w:div w:id="1718969176">
      <w:bodyDiv w:val="1"/>
      <w:marLeft w:val="0"/>
      <w:marRight w:val="0"/>
      <w:marTop w:val="0"/>
      <w:marBottom w:val="0"/>
      <w:divBdr>
        <w:top w:val="none" w:sz="0" w:space="0" w:color="auto"/>
        <w:left w:val="none" w:sz="0" w:space="0" w:color="auto"/>
        <w:bottom w:val="none" w:sz="0" w:space="0" w:color="auto"/>
        <w:right w:val="none" w:sz="0" w:space="0" w:color="auto"/>
      </w:divBdr>
    </w:div>
    <w:div w:id="1757631749">
      <w:bodyDiv w:val="1"/>
      <w:marLeft w:val="0"/>
      <w:marRight w:val="0"/>
      <w:marTop w:val="0"/>
      <w:marBottom w:val="0"/>
      <w:divBdr>
        <w:top w:val="none" w:sz="0" w:space="0" w:color="auto"/>
        <w:left w:val="none" w:sz="0" w:space="0" w:color="auto"/>
        <w:bottom w:val="none" w:sz="0" w:space="0" w:color="auto"/>
        <w:right w:val="none" w:sz="0" w:space="0" w:color="auto"/>
      </w:divBdr>
    </w:div>
    <w:div w:id="1815290057">
      <w:bodyDiv w:val="1"/>
      <w:marLeft w:val="0"/>
      <w:marRight w:val="0"/>
      <w:marTop w:val="0"/>
      <w:marBottom w:val="0"/>
      <w:divBdr>
        <w:top w:val="none" w:sz="0" w:space="0" w:color="auto"/>
        <w:left w:val="none" w:sz="0" w:space="0" w:color="auto"/>
        <w:bottom w:val="none" w:sz="0" w:space="0" w:color="auto"/>
        <w:right w:val="none" w:sz="0" w:space="0" w:color="auto"/>
      </w:divBdr>
      <w:divsChild>
        <w:div w:id="921838507">
          <w:marLeft w:val="0"/>
          <w:marRight w:val="108"/>
          <w:marTop w:val="108"/>
          <w:marBottom w:val="108"/>
          <w:divBdr>
            <w:top w:val="none" w:sz="0" w:space="0" w:color="auto"/>
            <w:left w:val="none" w:sz="0" w:space="0" w:color="auto"/>
            <w:bottom w:val="none" w:sz="0" w:space="0" w:color="auto"/>
            <w:right w:val="none" w:sz="0" w:space="0" w:color="auto"/>
          </w:divBdr>
          <w:divsChild>
            <w:div w:id="1575893184">
              <w:marLeft w:val="0"/>
              <w:marRight w:val="0"/>
              <w:marTop w:val="0"/>
              <w:marBottom w:val="0"/>
              <w:divBdr>
                <w:top w:val="none" w:sz="0" w:space="0" w:color="auto"/>
                <w:left w:val="none" w:sz="0" w:space="0" w:color="auto"/>
                <w:bottom w:val="none" w:sz="0" w:space="0" w:color="auto"/>
                <w:right w:val="none" w:sz="0" w:space="0" w:color="auto"/>
              </w:divBdr>
              <w:divsChild>
                <w:div w:id="2082557516">
                  <w:marLeft w:val="0"/>
                  <w:marRight w:val="0"/>
                  <w:marTop w:val="0"/>
                  <w:marBottom w:val="0"/>
                  <w:divBdr>
                    <w:top w:val="none" w:sz="0" w:space="0" w:color="auto"/>
                    <w:left w:val="none" w:sz="0" w:space="0" w:color="auto"/>
                    <w:bottom w:val="none" w:sz="0" w:space="0" w:color="auto"/>
                    <w:right w:val="none" w:sz="0" w:space="0" w:color="auto"/>
                  </w:divBdr>
                </w:div>
                <w:div w:id="1263301293">
                  <w:marLeft w:val="0"/>
                  <w:marRight w:val="108"/>
                  <w:marTop w:val="18"/>
                  <w:marBottom w:val="108"/>
                  <w:divBdr>
                    <w:top w:val="none" w:sz="0" w:space="0" w:color="auto"/>
                    <w:left w:val="none" w:sz="0" w:space="0" w:color="auto"/>
                    <w:bottom w:val="none" w:sz="0" w:space="0" w:color="auto"/>
                    <w:right w:val="none" w:sz="0" w:space="0" w:color="auto"/>
                  </w:divBdr>
                  <w:divsChild>
                    <w:div w:id="1115252448">
                      <w:marLeft w:val="0"/>
                      <w:marRight w:val="0"/>
                      <w:marTop w:val="0"/>
                      <w:marBottom w:val="0"/>
                      <w:divBdr>
                        <w:top w:val="none" w:sz="0" w:space="0" w:color="auto"/>
                        <w:left w:val="none" w:sz="0" w:space="0" w:color="auto"/>
                        <w:bottom w:val="none" w:sz="0" w:space="0" w:color="auto"/>
                        <w:right w:val="none" w:sz="0" w:space="0" w:color="auto"/>
                      </w:divBdr>
                      <w:divsChild>
                        <w:div w:id="156580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028346">
                  <w:marLeft w:val="0"/>
                  <w:marRight w:val="108"/>
                  <w:marTop w:val="108"/>
                  <w:marBottom w:val="108"/>
                  <w:divBdr>
                    <w:top w:val="none" w:sz="0" w:space="0" w:color="auto"/>
                    <w:left w:val="none" w:sz="0" w:space="0" w:color="auto"/>
                    <w:bottom w:val="none" w:sz="0" w:space="0" w:color="auto"/>
                    <w:right w:val="none" w:sz="0" w:space="0" w:color="auto"/>
                  </w:divBdr>
                  <w:divsChild>
                    <w:div w:id="513303049">
                      <w:marLeft w:val="0"/>
                      <w:marRight w:val="0"/>
                      <w:marTop w:val="0"/>
                      <w:marBottom w:val="0"/>
                      <w:divBdr>
                        <w:top w:val="none" w:sz="0" w:space="0" w:color="auto"/>
                        <w:left w:val="none" w:sz="0" w:space="0" w:color="auto"/>
                        <w:bottom w:val="none" w:sz="0" w:space="0" w:color="auto"/>
                        <w:right w:val="none" w:sz="0" w:space="0" w:color="auto"/>
                      </w:divBdr>
                      <w:divsChild>
                        <w:div w:id="18417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417670">
      <w:bodyDiv w:val="1"/>
      <w:marLeft w:val="0"/>
      <w:marRight w:val="0"/>
      <w:marTop w:val="0"/>
      <w:marBottom w:val="0"/>
      <w:divBdr>
        <w:top w:val="none" w:sz="0" w:space="0" w:color="auto"/>
        <w:left w:val="none" w:sz="0" w:space="0" w:color="auto"/>
        <w:bottom w:val="none" w:sz="0" w:space="0" w:color="auto"/>
        <w:right w:val="none" w:sz="0" w:space="0" w:color="auto"/>
      </w:divBdr>
    </w:div>
    <w:div w:id="1900020977">
      <w:bodyDiv w:val="1"/>
      <w:marLeft w:val="0"/>
      <w:marRight w:val="0"/>
      <w:marTop w:val="0"/>
      <w:marBottom w:val="0"/>
      <w:divBdr>
        <w:top w:val="none" w:sz="0" w:space="0" w:color="auto"/>
        <w:left w:val="none" w:sz="0" w:space="0" w:color="auto"/>
        <w:bottom w:val="none" w:sz="0" w:space="0" w:color="auto"/>
        <w:right w:val="none" w:sz="0" w:space="0" w:color="auto"/>
      </w:divBdr>
      <w:divsChild>
        <w:div w:id="97410167">
          <w:marLeft w:val="0"/>
          <w:marRight w:val="108"/>
          <w:marTop w:val="108"/>
          <w:marBottom w:val="108"/>
          <w:divBdr>
            <w:top w:val="none" w:sz="0" w:space="0" w:color="auto"/>
            <w:left w:val="none" w:sz="0" w:space="0" w:color="auto"/>
            <w:bottom w:val="none" w:sz="0" w:space="0" w:color="auto"/>
            <w:right w:val="none" w:sz="0" w:space="0" w:color="auto"/>
          </w:divBdr>
          <w:divsChild>
            <w:div w:id="1862082195">
              <w:marLeft w:val="0"/>
              <w:marRight w:val="0"/>
              <w:marTop w:val="0"/>
              <w:marBottom w:val="0"/>
              <w:divBdr>
                <w:top w:val="none" w:sz="0" w:space="0" w:color="auto"/>
                <w:left w:val="none" w:sz="0" w:space="0" w:color="auto"/>
                <w:bottom w:val="none" w:sz="0" w:space="0" w:color="auto"/>
                <w:right w:val="none" w:sz="0" w:space="0" w:color="auto"/>
              </w:divBdr>
              <w:divsChild>
                <w:div w:id="38282558">
                  <w:marLeft w:val="0"/>
                  <w:marRight w:val="0"/>
                  <w:marTop w:val="0"/>
                  <w:marBottom w:val="0"/>
                  <w:divBdr>
                    <w:top w:val="none" w:sz="0" w:space="0" w:color="auto"/>
                    <w:left w:val="none" w:sz="0" w:space="0" w:color="auto"/>
                    <w:bottom w:val="none" w:sz="0" w:space="0" w:color="auto"/>
                    <w:right w:val="none" w:sz="0" w:space="0" w:color="auto"/>
                  </w:divBdr>
                </w:div>
                <w:div w:id="1295909323">
                  <w:marLeft w:val="0"/>
                  <w:marRight w:val="108"/>
                  <w:marTop w:val="18"/>
                  <w:marBottom w:val="108"/>
                  <w:divBdr>
                    <w:top w:val="none" w:sz="0" w:space="0" w:color="auto"/>
                    <w:left w:val="none" w:sz="0" w:space="0" w:color="auto"/>
                    <w:bottom w:val="none" w:sz="0" w:space="0" w:color="auto"/>
                    <w:right w:val="none" w:sz="0" w:space="0" w:color="auto"/>
                  </w:divBdr>
                  <w:divsChild>
                    <w:div w:id="10573201">
                      <w:marLeft w:val="0"/>
                      <w:marRight w:val="0"/>
                      <w:marTop w:val="0"/>
                      <w:marBottom w:val="0"/>
                      <w:divBdr>
                        <w:top w:val="none" w:sz="0" w:space="0" w:color="auto"/>
                        <w:left w:val="none" w:sz="0" w:space="0" w:color="auto"/>
                        <w:bottom w:val="none" w:sz="0" w:space="0" w:color="auto"/>
                        <w:right w:val="none" w:sz="0" w:space="0" w:color="auto"/>
                      </w:divBdr>
                      <w:divsChild>
                        <w:div w:id="136034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439829">
                  <w:marLeft w:val="0"/>
                  <w:marRight w:val="108"/>
                  <w:marTop w:val="108"/>
                  <w:marBottom w:val="108"/>
                  <w:divBdr>
                    <w:top w:val="none" w:sz="0" w:space="0" w:color="auto"/>
                    <w:left w:val="none" w:sz="0" w:space="0" w:color="auto"/>
                    <w:bottom w:val="none" w:sz="0" w:space="0" w:color="auto"/>
                    <w:right w:val="none" w:sz="0" w:space="0" w:color="auto"/>
                  </w:divBdr>
                  <w:divsChild>
                    <w:div w:id="912161911">
                      <w:marLeft w:val="0"/>
                      <w:marRight w:val="0"/>
                      <w:marTop w:val="0"/>
                      <w:marBottom w:val="0"/>
                      <w:divBdr>
                        <w:top w:val="none" w:sz="0" w:space="0" w:color="auto"/>
                        <w:left w:val="none" w:sz="0" w:space="0" w:color="auto"/>
                        <w:bottom w:val="none" w:sz="0" w:space="0" w:color="auto"/>
                        <w:right w:val="none" w:sz="0" w:space="0" w:color="auto"/>
                      </w:divBdr>
                      <w:divsChild>
                        <w:div w:id="115055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044487">
      <w:bodyDiv w:val="1"/>
      <w:marLeft w:val="0"/>
      <w:marRight w:val="0"/>
      <w:marTop w:val="0"/>
      <w:marBottom w:val="0"/>
      <w:divBdr>
        <w:top w:val="none" w:sz="0" w:space="0" w:color="auto"/>
        <w:left w:val="none" w:sz="0" w:space="0" w:color="auto"/>
        <w:bottom w:val="none" w:sz="0" w:space="0" w:color="auto"/>
        <w:right w:val="none" w:sz="0" w:space="0" w:color="auto"/>
      </w:divBdr>
    </w:div>
    <w:div w:id="1921450304">
      <w:bodyDiv w:val="1"/>
      <w:marLeft w:val="0"/>
      <w:marRight w:val="0"/>
      <w:marTop w:val="0"/>
      <w:marBottom w:val="0"/>
      <w:divBdr>
        <w:top w:val="none" w:sz="0" w:space="0" w:color="auto"/>
        <w:left w:val="none" w:sz="0" w:space="0" w:color="auto"/>
        <w:bottom w:val="none" w:sz="0" w:space="0" w:color="auto"/>
        <w:right w:val="none" w:sz="0" w:space="0" w:color="auto"/>
      </w:divBdr>
    </w:div>
    <w:div w:id="2003001537">
      <w:bodyDiv w:val="1"/>
      <w:marLeft w:val="0"/>
      <w:marRight w:val="0"/>
      <w:marTop w:val="0"/>
      <w:marBottom w:val="0"/>
      <w:divBdr>
        <w:top w:val="none" w:sz="0" w:space="0" w:color="auto"/>
        <w:left w:val="none" w:sz="0" w:space="0" w:color="auto"/>
        <w:bottom w:val="none" w:sz="0" w:space="0" w:color="auto"/>
        <w:right w:val="none" w:sz="0" w:space="0" w:color="auto"/>
      </w:divBdr>
    </w:div>
    <w:div w:id="2052342812">
      <w:bodyDiv w:val="1"/>
      <w:marLeft w:val="0"/>
      <w:marRight w:val="0"/>
      <w:marTop w:val="0"/>
      <w:marBottom w:val="0"/>
      <w:divBdr>
        <w:top w:val="none" w:sz="0" w:space="0" w:color="auto"/>
        <w:left w:val="none" w:sz="0" w:space="0" w:color="auto"/>
        <w:bottom w:val="none" w:sz="0" w:space="0" w:color="auto"/>
        <w:right w:val="none" w:sz="0" w:space="0" w:color="auto"/>
      </w:divBdr>
    </w:div>
    <w:div w:id="2052802378">
      <w:bodyDiv w:val="1"/>
      <w:marLeft w:val="0"/>
      <w:marRight w:val="0"/>
      <w:marTop w:val="0"/>
      <w:marBottom w:val="0"/>
      <w:divBdr>
        <w:top w:val="none" w:sz="0" w:space="0" w:color="auto"/>
        <w:left w:val="none" w:sz="0" w:space="0" w:color="auto"/>
        <w:bottom w:val="none" w:sz="0" w:space="0" w:color="auto"/>
        <w:right w:val="none" w:sz="0" w:space="0" w:color="auto"/>
      </w:divBdr>
    </w:div>
    <w:div w:id="2066833413">
      <w:bodyDiv w:val="1"/>
      <w:marLeft w:val="0"/>
      <w:marRight w:val="0"/>
      <w:marTop w:val="0"/>
      <w:marBottom w:val="0"/>
      <w:divBdr>
        <w:top w:val="none" w:sz="0" w:space="0" w:color="auto"/>
        <w:left w:val="none" w:sz="0" w:space="0" w:color="auto"/>
        <w:bottom w:val="none" w:sz="0" w:space="0" w:color="auto"/>
        <w:right w:val="none" w:sz="0" w:space="0" w:color="auto"/>
      </w:divBdr>
      <w:divsChild>
        <w:div w:id="8738116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4542953">
      <w:bodyDiv w:val="1"/>
      <w:marLeft w:val="0"/>
      <w:marRight w:val="0"/>
      <w:marTop w:val="0"/>
      <w:marBottom w:val="0"/>
      <w:divBdr>
        <w:top w:val="none" w:sz="0" w:space="0" w:color="auto"/>
        <w:left w:val="none" w:sz="0" w:space="0" w:color="auto"/>
        <w:bottom w:val="none" w:sz="0" w:space="0" w:color="auto"/>
        <w:right w:val="none" w:sz="0" w:space="0" w:color="auto"/>
      </w:divBdr>
    </w:div>
    <w:div w:id="2106265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532D1D6-D52C-44CC-9439-F95D5F92B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26342</Words>
  <Characters>150153</Characters>
  <Application>Microsoft Office Word</Application>
  <DocSecurity>0</DocSecurity>
  <Lines>1251</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 khairina putri</dc:creator>
  <cp:keywords/>
  <dc:description/>
  <cp:lastModifiedBy>ASUS</cp:lastModifiedBy>
  <cp:revision>2</cp:revision>
  <dcterms:created xsi:type="dcterms:W3CDTF">2026-07-28T09:27:00Z</dcterms:created>
  <dcterms:modified xsi:type="dcterms:W3CDTF">2026-07-28T09:27:00Z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http://www.zotero.org/styles/chicago-fullnote-bibliography</vt:lpwstr>
  </property>
  <property fmtid="{D5CDD505-2E9C-101B-9397-08002B2CF9AE}" pid="7" name="Mendeley Recent Style Name 2_1">
    <vt:lpwstr>Chicago Manual of Style 17th edition (full note)</vt:lpwstr>
  </property>
  <property fmtid="{D5CDD505-2E9C-101B-9397-08002B2CF9AE}" pid="8" name="Mendeley Recent Style Id 3_1">
    <vt:lpwstr>http://www.zotero.org/styles/chicago-notes-bibliography</vt:lpwstr>
  </property>
  <property fmtid="{D5CDD505-2E9C-101B-9397-08002B2CF9AE}" pid="9" name="Mendeley Recent Style Name 3_1">
    <vt:lpwstr>Chicago Manual of Style 18th edition (notes and bibliography)</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http://www.zotero.org/styles/institut-pertanian-bogor</vt:lpwstr>
  </property>
  <property fmtid="{D5CDD505-2E9C-101B-9397-08002B2CF9AE}" pid="13" name="Mendeley Recent Style Name 5_1">
    <vt:lpwstr>Institut Pertanian Bogor: Pedoman Penulisan Karya Ilmiah Edisi ke-3 (Bahasa Indonesia)</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4th edition (note with bibliography)</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http://www.zotero.org/styles/turabian-notes-bibliography</vt:lpwstr>
  </property>
  <property fmtid="{D5CDD505-2E9C-101B-9397-08002B2CF9AE}" pid="19" name="Mendeley Recent Style Name 8_1">
    <vt:lpwstr>Turabian 9th edition (notes and bibliography)</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Citation Style_1">
    <vt:lpwstr>http://www.zotero.org/styles/apa</vt:lpwstr>
  </property>
  <property fmtid="{D5CDD505-2E9C-101B-9397-08002B2CF9AE}" pid="23" name="Mendeley Document_1">
    <vt:lpwstr>True</vt:lpwstr>
  </property>
  <property fmtid="{D5CDD505-2E9C-101B-9397-08002B2CF9AE}" pid="24" name="Mendeley Unique User Id_1">
    <vt:lpwstr>3d8709cd-a97f-34f6-92d6-0e9aebb48ed3</vt:lpwstr>
  </property>
</Properties>
</file>