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3AE06" w14:textId="77777777" w:rsidR="00A703B5" w:rsidRDefault="00000000">
      <w:pPr>
        <w:spacing w:after="160"/>
        <w:jc w:val="center"/>
      </w:pPr>
      <w:r>
        <w:rPr>
          <w:b/>
        </w:rPr>
        <w:t>Salivary Amyloid-β, Tau, and Spatial Working Memory After Hyperbaric Oxygen Therapy in Experimental Periodontitis</w:t>
      </w:r>
    </w:p>
    <w:p w14:paraId="3C97FB1D" w14:textId="77777777" w:rsidR="00A703B5" w:rsidRDefault="00000000">
      <w:pPr>
        <w:spacing w:before="160" w:after="60"/>
      </w:pPr>
      <w:r>
        <w:rPr>
          <w:b/>
        </w:rPr>
        <w:t>ABSTRACT</w:t>
      </w:r>
    </w:p>
    <w:p w14:paraId="2D8966B2" w14:textId="77777777" w:rsidR="00A703B5" w:rsidRDefault="00000000">
      <w:pPr>
        <w:jc w:val="both"/>
      </w:pPr>
      <w:r>
        <w:rPr>
          <w:b/>
        </w:rPr>
        <w:t xml:space="preserve">Objectives: </w:t>
      </w:r>
      <w:r>
        <w:t>To evaluate salivary amyloid-β (Aβ), microtubule-associated protein tau (</w:t>
      </w:r>
      <w:proofErr w:type="spellStart"/>
      <w:r>
        <w:t>MAPTau</w:t>
      </w:r>
      <w:proofErr w:type="spellEnd"/>
      <w:r>
        <w:t>), and spatial working memory after hyperbaric oxygen therapy (HBOT) in rats with Porphyromonas gingivalis-induced periodontitis.</w:t>
      </w:r>
    </w:p>
    <w:p w14:paraId="0B35885E" w14:textId="77777777" w:rsidR="00A703B5" w:rsidRDefault="00000000">
      <w:pPr>
        <w:jc w:val="both"/>
      </w:pPr>
      <w:r>
        <w:rPr>
          <w:b/>
        </w:rPr>
        <w:t xml:space="preserve">Materials and Methods: </w:t>
      </w:r>
      <w:r>
        <w:t xml:space="preserve">Thirty-three male Sprague-Dawley rats were randomly allocated to a negative-control group, a positive-control group receiving P. gingivalis induction, or a treatment group receiving P. gingivalis induction followed by HBOT (n=11 per group). Periodontitis was induced for five weeks. HBOT was delivered at 2.0 atmospheres absolute with 100% oxygen, five sessions per week for four weeks. Spatial working memory was assessed using Y-maze spontaneous alternation. Salivary Aβ and </w:t>
      </w:r>
      <w:proofErr w:type="spellStart"/>
      <w:r>
        <w:t>MAPTau</w:t>
      </w:r>
      <w:proofErr w:type="spellEnd"/>
      <w:r>
        <w:t xml:space="preserve"> were measured by enzyme-linked immunosorbent assay. Group differences were analyzed using one-way analysis of variance.</w:t>
      </w:r>
    </w:p>
    <w:p w14:paraId="1FBD3F7D" w14:textId="77777777" w:rsidR="00A703B5" w:rsidRDefault="00000000">
      <w:pPr>
        <w:jc w:val="both"/>
      </w:pPr>
      <w:r>
        <w:rPr>
          <w:b/>
        </w:rPr>
        <w:t xml:space="preserve">Results: </w:t>
      </w:r>
      <w:proofErr w:type="gramStart"/>
      <w:r>
        <w:t>Overall</w:t>
      </w:r>
      <w:proofErr w:type="gramEnd"/>
      <w:r>
        <w:t xml:space="preserve"> between-group differences were significant for salivary Aβ, </w:t>
      </w:r>
      <w:proofErr w:type="spellStart"/>
      <w:r>
        <w:t>MAPTau</w:t>
      </w:r>
      <w:proofErr w:type="spellEnd"/>
      <w:r>
        <w:t xml:space="preserve">, and spatial working memory (all p&lt;0.001). Aβ levels were 46.13±5.21 </w:t>
      </w:r>
      <w:proofErr w:type="spellStart"/>
      <w:r>
        <w:t>pg</w:t>
      </w:r>
      <w:proofErr w:type="spellEnd"/>
      <w:r>
        <w:t xml:space="preserve">/mL in the negative-control group, 188.41±36.11 </w:t>
      </w:r>
      <w:proofErr w:type="spellStart"/>
      <w:r>
        <w:t>pg</w:t>
      </w:r>
      <w:proofErr w:type="spellEnd"/>
      <w:r>
        <w:t xml:space="preserve">/mL in the positive-control group, and 63.21±8.19 </w:t>
      </w:r>
      <w:proofErr w:type="spellStart"/>
      <w:r>
        <w:t>pg</w:t>
      </w:r>
      <w:proofErr w:type="spellEnd"/>
      <w:r>
        <w:t xml:space="preserve">/mL in the HBOT group. </w:t>
      </w:r>
      <w:proofErr w:type="spellStart"/>
      <w:r>
        <w:t>MAPTau</w:t>
      </w:r>
      <w:proofErr w:type="spellEnd"/>
      <w:r>
        <w:t xml:space="preserve"> values were 0.15±0.06, 0.52±0.23, and 0.26±0.08, respectively. Week 9 spatial working memory scores were 68.00±5.08%, 31.14±18.87%, and 52.09±14.03%, respectively.</w:t>
      </w:r>
    </w:p>
    <w:p w14:paraId="3A3960DF" w14:textId="77777777" w:rsidR="00A703B5" w:rsidRDefault="00000000">
      <w:pPr>
        <w:jc w:val="both"/>
      </w:pPr>
      <w:r>
        <w:rPr>
          <w:b/>
        </w:rPr>
        <w:t xml:space="preserve">Conclusions: </w:t>
      </w:r>
      <w:r>
        <w:t xml:space="preserve">Rats receiving HBOT after P. gingivalis induction showed salivary Aβ and </w:t>
      </w:r>
      <w:proofErr w:type="spellStart"/>
      <w:r>
        <w:t>MAPTau</w:t>
      </w:r>
      <w:proofErr w:type="spellEnd"/>
      <w:r>
        <w:t xml:space="preserve"> values closer to those of uninduced controls and better spatial working memory than untreated periodontitis rats. These findings support further investigation of HBOT and salivary biomarkers in the systemic consequences of periodontitis.</w:t>
      </w:r>
    </w:p>
    <w:p w14:paraId="46462945" w14:textId="77777777" w:rsidR="00A703B5" w:rsidRDefault="00000000">
      <w:pPr>
        <w:jc w:val="both"/>
      </w:pPr>
      <w:r>
        <w:rPr>
          <w:b/>
        </w:rPr>
        <w:t xml:space="preserve">Keywords: </w:t>
      </w:r>
      <w:r>
        <w:t xml:space="preserve">Periodontitis; Porphyromonas gingivalis; Hyperbaric Oxygenation; Amyloid </w:t>
      </w:r>
      <w:proofErr w:type="gramStart"/>
      <w:r>
        <w:t>beta</w:t>
      </w:r>
      <w:proofErr w:type="gramEnd"/>
      <w:r>
        <w:t>-Peptides; tau Proteins</w:t>
      </w:r>
    </w:p>
    <w:p w14:paraId="0CAA293E" w14:textId="77777777" w:rsidR="00A703B5" w:rsidRDefault="00000000">
      <w:pPr>
        <w:spacing w:before="160" w:after="60"/>
      </w:pPr>
      <w:r>
        <w:rPr>
          <w:b/>
        </w:rPr>
        <w:t>INTRODUCTION</w:t>
      </w:r>
    </w:p>
    <w:p w14:paraId="76FCD596" w14:textId="77777777" w:rsidR="00A703B5" w:rsidRDefault="00000000">
      <w:pPr>
        <w:ind w:firstLine="720"/>
        <w:jc w:val="both"/>
      </w:pPr>
      <w:r>
        <w:t xml:space="preserve">Periodontitis is a chronic inflammatory disease initiated by a </w:t>
      </w:r>
      <w:proofErr w:type="spellStart"/>
      <w:r>
        <w:t>dysbiotic</w:t>
      </w:r>
      <w:proofErr w:type="spellEnd"/>
      <w:r>
        <w:t xml:space="preserve"> subgingival biofilm and sustained by the host inflammatory response. Beyond periodontal tissue destruction, chronic exposure to periodontal pathogens may contribute to systemic inflammatory signaling. </w:t>
      </w:r>
      <w:r>
        <w:rPr>
          <w:i/>
        </w:rPr>
        <w:t>Porphyromonas gingivalis</w:t>
      </w:r>
      <w:r>
        <w:t xml:space="preserve"> has attracted particular interest because its lipopolysaccharide, </w:t>
      </w:r>
      <w:r>
        <w:lastRenderedPageBreak/>
        <w:t>gingipains, and other virulence factors can influence pathways outside the oral cavity, including pathways linked to neuronal function and cognitive change.</w:t>
      </w:r>
      <w:r>
        <w:rPr>
          <w:sz w:val="20"/>
          <w:vertAlign w:val="superscript"/>
        </w:rPr>
        <w:t>1-3</w:t>
      </w:r>
    </w:p>
    <w:p w14:paraId="5C9ABFD2" w14:textId="77777777" w:rsidR="00A703B5" w:rsidRDefault="00000000">
      <w:pPr>
        <w:ind w:firstLine="720"/>
        <w:jc w:val="both"/>
      </w:pPr>
      <w:r>
        <w:t>Amyloid-β (Aβ) and tau are central proteins in the biology of neurodegenerative disease, but their interpretation depends on the biological compartment in which they are measured.</w:t>
      </w:r>
      <w:r>
        <w:rPr>
          <w:sz w:val="20"/>
          <w:vertAlign w:val="superscript"/>
        </w:rPr>
        <w:t>4,5</w:t>
      </w:r>
      <w:r>
        <w:t xml:space="preserve"> Saliva has been investigated as a practical, minimally invasive source of Aβ- and tau-related biomarkers. Although salivary measurements cannot establish brain pathology, they may provide useful exploratory endpoints in studies examining systemic consequences of chronic oral inflammation.</w:t>
      </w:r>
      <w:r>
        <w:rPr>
          <w:sz w:val="20"/>
          <w:vertAlign w:val="superscript"/>
        </w:rPr>
        <w:t>6,7</w:t>
      </w:r>
    </w:p>
    <w:p w14:paraId="37BDBD85" w14:textId="77777777" w:rsidR="00A703B5" w:rsidRDefault="00000000">
      <w:pPr>
        <w:ind w:firstLine="720"/>
        <w:jc w:val="both"/>
      </w:pPr>
      <w:r>
        <w:t>Hyperbaric oxygen therapy (HBOT) exposes the body to 100% oxygen at pressures above atmospheric pressure. Experimental work suggests that HBOT can alter tissue oxygenation, redox signaling, inflammatory responses, and cellular recovery.</w:t>
      </w:r>
      <w:r>
        <w:rPr>
          <w:sz w:val="20"/>
          <w:vertAlign w:val="superscript"/>
        </w:rPr>
        <w:t>8,9</w:t>
      </w:r>
      <w:r>
        <w:t xml:space="preserve"> Studies in neurological models have also reported changes in amyloid burden, cognitive performance, and related pathways after HBOT, although the mechanisms and clinical relevance remain under investigation.</w:t>
      </w:r>
      <w:r>
        <w:rPr>
          <w:sz w:val="20"/>
          <w:vertAlign w:val="superscript"/>
        </w:rPr>
        <w:t>10-13</w:t>
      </w:r>
    </w:p>
    <w:p w14:paraId="051C762E" w14:textId="77777777" w:rsidR="00A703B5" w:rsidRDefault="00000000">
      <w:pPr>
        <w:ind w:firstLine="720"/>
        <w:jc w:val="both"/>
      </w:pPr>
      <w:r>
        <w:t>The interaction between periodontal inflammation, salivary Aβ and tau, cognitive performance, and HBOT has received little direct study. A dental experimental model offers a way to examine these outcomes while keeping the periodontal insult as the primary disease context. Therefore, this study evaluated salivary Aβ, microtubule-associated protein tau (</w:t>
      </w:r>
      <w:proofErr w:type="spellStart"/>
      <w:r>
        <w:t>MAPTau</w:t>
      </w:r>
      <w:proofErr w:type="spellEnd"/>
      <w:r>
        <w:t xml:space="preserve">), and spatial working memory after HBOT in rats with </w:t>
      </w:r>
      <w:r>
        <w:rPr>
          <w:i/>
        </w:rPr>
        <w:t>P. gingivalis</w:t>
      </w:r>
      <w:r>
        <w:t>-induced periodontitis.</w:t>
      </w:r>
    </w:p>
    <w:p w14:paraId="2FEE748A" w14:textId="77777777" w:rsidR="00A703B5" w:rsidRDefault="00000000">
      <w:pPr>
        <w:spacing w:before="160" w:after="60"/>
      </w:pPr>
      <w:r>
        <w:rPr>
          <w:b/>
        </w:rPr>
        <w:t>MATERIALS AND METHODS</w:t>
      </w:r>
    </w:p>
    <w:p w14:paraId="69F9A3F4" w14:textId="77777777" w:rsidR="00A703B5" w:rsidRDefault="00000000">
      <w:pPr>
        <w:spacing w:before="80"/>
      </w:pPr>
      <w:r>
        <w:rPr>
          <w:b/>
        </w:rPr>
        <w:t>Animal and Experimental Design</w:t>
      </w:r>
    </w:p>
    <w:p w14:paraId="2913AEF8" w14:textId="77777777" w:rsidR="00A703B5" w:rsidRDefault="00000000">
      <w:pPr>
        <w:ind w:firstLine="720"/>
        <w:jc w:val="both"/>
      </w:pPr>
      <w:r>
        <w:t xml:space="preserve">This randomized experimental study included 33 male Sprague-Dawley rats aged 10 weeks with an initial body weight of 150-180 g. The animals were randomly assigned to three groups (n=11 per group): a negative-control group (C-), which received no </w:t>
      </w:r>
      <w:r>
        <w:rPr>
          <w:i/>
        </w:rPr>
        <w:t>P. gingivalis</w:t>
      </w:r>
      <w:r>
        <w:t xml:space="preserve"> induction or HBOT; a positive-control group (C+), which received </w:t>
      </w:r>
      <w:r>
        <w:rPr>
          <w:i/>
        </w:rPr>
        <w:t>P. gingivalis</w:t>
      </w:r>
      <w:r>
        <w:t xml:space="preserve"> induction without HBOT; and a treatment group (T), which received </w:t>
      </w:r>
      <w:r>
        <w:rPr>
          <w:i/>
        </w:rPr>
        <w:t>P. gingivalis</w:t>
      </w:r>
      <w:r>
        <w:t xml:space="preserve"> induction followed by HBOT. Before the experiment, all animals underwent a one-week acclimatization period under controlled environmental conditions (18-26 °C, 30-70% humidity, 12:12-hour light-dark cycle) with ad libitum access to standard pellet feed and drinking water.</w:t>
      </w:r>
    </w:p>
    <w:p w14:paraId="732C2613" w14:textId="77777777" w:rsidR="00A703B5" w:rsidRDefault="00000000">
      <w:pPr>
        <w:ind w:firstLine="720"/>
        <w:jc w:val="both"/>
      </w:pPr>
      <w:r>
        <w:t xml:space="preserve">The animal protocol was approved by the Health Research Ethics Committee, Faculty of Dentistry, Universitas Hang Tuah, Surabaya, Indonesia (No. EC/101/KEPK-FKGUHT/X/2024; </w:t>
      </w:r>
      <w:r>
        <w:lastRenderedPageBreak/>
        <w:t>31 October 2024). All procedures were conducted under institutional standards for the care and use of laboratory animals.</w:t>
      </w:r>
    </w:p>
    <w:p w14:paraId="7FBD99C4" w14:textId="77777777" w:rsidR="00A703B5" w:rsidRDefault="00000000">
      <w:pPr>
        <w:spacing w:before="80"/>
      </w:pPr>
      <w:r>
        <w:rPr>
          <w:b/>
        </w:rPr>
        <w:t>Induction of Experimental Periodontitis</w:t>
      </w:r>
    </w:p>
    <w:p w14:paraId="27C0DF94" w14:textId="77777777" w:rsidR="00A703B5" w:rsidRDefault="00000000">
      <w:pPr>
        <w:ind w:firstLine="720"/>
        <w:jc w:val="both"/>
      </w:pPr>
      <w:r>
        <w:t xml:space="preserve">After acclimatization, rats in the C+ and T groups received a whole-cell suspension of P. gingivalis (ATCC 33277 PK/5). A 3 mL suspension containing 1×10⁹ colony-forming units/mL was applied to the subgingival sulcus of the posterior mandibular molar region bilaterally using a 5 mL </w:t>
      </w:r>
      <w:proofErr w:type="spellStart"/>
      <w:r>
        <w:t>microsyringe</w:t>
      </w:r>
      <w:proofErr w:type="spellEnd"/>
      <w:r>
        <w:t xml:space="preserve"> (Hamilton, </w:t>
      </w:r>
      <w:proofErr w:type="spellStart"/>
      <w:r>
        <w:t>Bonaduz</w:t>
      </w:r>
      <w:proofErr w:type="spellEnd"/>
      <w:r>
        <w:t>, Switzerland). The procedure was repeated every two days for five consecutive weeks.</w:t>
      </w:r>
    </w:p>
    <w:p w14:paraId="2D4DEF7B" w14:textId="77777777" w:rsidR="00A703B5" w:rsidRDefault="00000000">
      <w:pPr>
        <w:spacing w:before="80"/>
      </w:pPr>
      <w:r>
        <w:rPr>
          <w:b/>
        </w:rPr>
        <w:t>Hyperbaric Oxygen Therapy</w:t>
      </w:r>
    </w:p>
    <w:p w14:paraId="21E91CCC" w14:textId="77777777" w:rsidR="00A703B5" w:rsidRDefault="00000000">
      <w:pPr>
        <w:ind w:firstLine="720"/>
        <w:jc w:val="both"/>
      </w:pPr>
      <w:r>
        <w:t>The four-week intervention period began after the five-week induction phase. Rats in the T group received HBOT in a chamber pressurized to 2.0 atmospheres absolute with 100% medical oxygen. Each session consisted of gradual compression at 0.1 ATA/min, 60 minutes of oxygen exposure at 2.0 ATA divided into two 30-minute periods separated by a 5-minute interval, and decompression at 0.1 ATA/min. Treatment was administered five times per week for four weeks (20 sessions in total). Animals were fasted for 4-6 hours before each session and monitored throughout the procedure. The C- and C+ groups underwent routine handling but did not receive hyperbaric exposure.</w:t>
      </w:r>
    </w:p>
    <w:p w14:paraId="07029328" w14:textId="77777777" w:rsidR="00A703B5" w:rsidRDefault="00000000">
      <w:pPr>
        <w:spacing w:before="80"/>
      </w:pPr>
      <w:r>
        <w:rPr>
          <w:b/>
        </w:rPr>
        <w:t>Spatial Working Memory Assessment</w:t>
      </w:r>
    </w:p>
    <w:p w14:paraId="08D41F3B" w14:textId="77777777" w:rsidR="00A703B5" w:rsidRDefault="00000000">
      <w:pPr>
        <w:ind w:firstLine="720"/>
        <w:jc w:val="both"/>
      </w:pPr>
      <w:r>
        <w:t>Spatial working memory was assessed using the spontaneous alternation test in a Y-maze. Arm-entry sequences were recorded by video. Spontaneous alternation was defined as consecutive entry into all three arms without repetition. The percentage of spontaneous alternation was calculated as: [number of spontaneous alternations</w:t>
      </w:r>
      <w:proofErr w:type="gramStart"/>
      <w:r>
        <w:t>/(</w:t>
      </w:r>
      <w:proofErr w:type="gramEnd"/>
      <w:r>
        <w:t>total arm entries - 2</w:t>
      </w:r>
      <w:proofErr w:type="gramStart"/>
      <w:r>
        <w:t>)]×</w:t>
      </w:r>
      <w:proofErr w:type="gramEnd"/>
      <w:r>
        <w:t>100%. Assessments were performed at baseline (Week 0), after the induction period (Week 5), and after the HBOT period (Week 9).</w:t>
      </w:r>
    </w:p>
    <w:p w14:paraId="4CBEC8AA" w14:textId="77777777" w:rsidR="00A703B5" w:rsidRDefault="00000000">
      <w:pPr>
        <w:spacing w:before="80"/>
      </w:pPr>
      <w:r>
        <w:rPr>
          <w:b/>
        </w:rPr>
        <w:t>Saliva Collection and Biomarker Measurement</w:t>
      </w:r>
    </w:p>
    <w:p w14:paraId="4E24FE5E" w14:textId="77777777" w:rsidR="00A703B5" w:rsidRDefault="00000000">
      <w:pPr>
        <w:ind w:firstLine="720"/>
        <w:jc w:val="both"/>
      </w:pPr>
      <w:r>
        <w:t xml:space="preserve">Saliva collection followed the experimental schedule: samples were obtained after the induction phase in the C+ group and after the four-week HBOT period in the T group. Before collection, rats were anesthetized intraperitoneally with ketamine (80 mg/kg body weight) and xylazine (10 mg/kg body weight). Salivary secretion was stimulated with pilocarpine nitrate (5 mg/kg body weight, intraperitoneal; Sigma-Aldrich, St. Louis, MO, USA). Samples were </w:t>
      </w:r>
      <w:r>
        <w:lastRenderedPageBreak/>
        <w:t xml:space="preserve">collected into containers precoated with 2% sodium </w:t>
      </w:r>
      <w:proofErr w:type="spellStart"/>
      <w:r>
        <w:t>azide</w:t>
      </w:r>
      <w:proofErr w:type="spellEnd"/>
      <w:r>
        <w:t>, immediately placed on ice, and centrifuged at 600×g for 10 minutes at 4 °C. Aliquots were stored at -80 °C after addition of a protease inhibitor cocktail (Roche Diagnostics, Mannheim, Germany).</w:t>
      </w:r>
    </w:p>
    <w:p w14:paraId="7C3F4977" w14:textId="77777777" w:rsidR="00A703B5" w:rsidRDefault="00000000">
      <w:pPr>
        <w:ind w:firstLine="720"/>
        <w:jc w:val="both"/>
      </w:pPr>
      <w:r>
        <w:t xml:space="preserve">Salivary Aβ1-42 and </w:t>
      </w:r>
      <w:proofErr w:type="spellStart"/>
      <w:r>
        <w:t>MAPTau</w:t>
      </w:r>
      <w:proofErr w:type="spellEnd"/>
      <w:r>
        <w:t xml:space="preserve"> were measured using rat enzyme-linked immunosorbent assay kits (Rat Aβ1-42 ELISA Kit, 96T, and Rat </w:t>
      </w:r>
      <w:proofErr w:type="spellStart"/>
      <w:r>
        <w:t>MAPt</w:t>
      </w:r>
      <w:proofErr w:type="spellEnd"/>
      <w:r>
        <w:t xml:space="preserve"> ELISA Kit, 96T; Reed Biotech Ltd, Wuhan, China) according to the manufacturer's procedures. The Aβ1-42 kit uses a sandwich ELISA principle for rat biological samples.</w:t>
      </w:r>
    </w:p>
    <w:p w14:paraId="22F25AF6" w14:textId="77777777" w:rsidR="00A703B5" w:rsidRDefault="00000000">
      <w:pPr>
        <w:spacing w:before="80"/>
      </w:pPr>
      <w:r>
        <w:rPr>
          <w:b/>
        </w:rPr>
        <w:t>Statistical Analysis</w:t>
      </w:r>
    </w:p>
    <w:p w14:paraId="4698453E" w14:textId="77777777" w:rsidR="00A703B5" w:rsidRDefault="00000000">
      <w:pPr>
        <w:ind w:firstLine="720"/>
        <w:jc w:val="both"/>
      </w:pPr>
      <w:r>
        <w:t xml:space="preserve">Data are presented as </w:t>
      </w:r>
      <w:proofErr w:type="spellStart"/>
      <w:r>
        <w:t>mean±standard</w:t>
      </w:r>
      <w:proofErr w:type="spellEnd"/>
      <w:r>
        <w:t xml:space="preserve"> deviation. Distributional assumptions were evaluated using the Shapiro-Wilk test and homogeneity of variance using Levene's test. Overall differences among the three groups were assessed using one-way analysis of variance. A two-sided p value &lt;0.05 was considered statistically significant. Analyses were performed using SPSS Statistics for Windows, version 17.0 (SPSS Inc., Chicago, IL, USA). The available analysis was based on overall between-group comparisons; accordingly, the results are presented without pairwise inferential claims.</w:t>
      </w:r>
    </w:p>
    <w:p w14:paraId="5AA52600" w14:textId="77777777" w:rsidR="00A703B5" w:rsidRDefault="00000000">
      <w:pPr>
        <w:spacing w:before="160" w:after="60"/>
      </w:pPr>
      <w:r>
        <w:rPr>
          <w:b/>
        </w:rPr>
        <w:t>RESULTS</w:t>
      </w:r>
    </w:p>
    <w:p w14:paraId="0CAFBCF9" w14:textId="77777777" w:rsidR="00A703B5" w:rsidRDefault="00000000">
      <w:pPr>
        <w:ind w:firstLine="720"/>
        <w:jc w:val="both"/>
      </w:pPr>
      <w:r>
        <w:t xml:space="preserve">The group values for salivary Aβ, </w:t>
      </w:r>
      <w:proofErr w:type="spellStart"/>
      <w:r>
        <w:t>MAPTau</w:t>
      </w:r>
      <w:proofErr w:type="spellEnd"/>
      <w:r>
        <w:t xml:space="preserve">, and spatial working memory are summarized in Table 1. </w:t>
      </w:r>
      <w:proofErr w:type="gramStart"/>
      <w:r>
        <w:t>Overall</w:t>
      </w:r>
      <w:proofErr w:type="gramEnd"/>
      <w:r>
        <w:t xml:space="preserve"> between-group differences were statistically significant for all three outcomes (p&lt;0.001). The C+ group had the highest mean salivary Aβ and </w:t>
      </w:r>
      <w:proofErr w:type="spellStart"/>
      <w:r>
        <w:t>MAPTau</w:t>
      </w:r>
      <w:proofErr w:type="spellEnd"/>
      <w:r>
        <w:t xml:space="preserve"> values and the lowest spatial working memory score. The T group showed lower mean salivary Aβ and </w:t>
      </w:r>
      <w:proofErr w:type="spellStart"/>
      <w:r>
        <w:t>MAPTau</w:t>
      </w:r>
      <w:proofErr w:type="spellEnd"/>
      <w:r>
        <w:t xml:space="preserve"> values and a higher Week 9 spatial working memory score than the C+ group. The graphical distribution of the three outcomes is shown in Figure 1.</w:t>
      </w:r>
    </w:p>
    <w:p w14:paraId="4CF1504F" w14:textId="77777777" w:rsidR="00A703B5" w:rsidRDefault="00000000">
      <w:pPr>
        <w:ind w:firstLine="720"/>
        <w:jc w:val="both"/>
      </w:pPr>
      <w:r>
        <w:t xml:space="preserve">Mean salivary Aβ was 46.13±5.21 </w:t>
      </w:r>
      <w:proofErr w:type="spellStart"/>
      <w:r>
        <w:t>pg</w:t>
      </w:r>
      <w:proofErr w:type="spellEnd"/>
      <w:r>
        <w:t xml:space="preserve">/mL in C-, 188.41±36.11 </w:t>
      </w:r>
      <w:proofErr w:type="spellStart"/>
      <w:r>
        <w:t>pg</w:t>
      </w:r>
      <w:proofErr w:type="spellEnd"/>
      <w:r>
        <w:t xml:space="preserve">/mL in C+, and 63.21±8.19 </w:t>
      </w:r>
      <w:proofErr w:type="spellStart"/>
      <w:r>
        <w:t>pg</w:t>
      </w:r>
      <w:proofErr w:type="spellEnd"/>
      <w:r>
        <w:t xml:space="preserve">/mL in T. Mean </w:t>
      </w:r>
      <w:proofErr w:type="spellStart"/>
      <w:r>
        <w:t>MAPTau</w:t>
      </w:r>
      <w:proofErr w:type="spellEnd"/>
      <w:r>
        <w:t xml:space="preserve"> values were 0.15±0.06, 0.52±0.23, and 0.26±0.08, respectively. At Week 9, spontaneous alternation was 68.00±5.08% in C-, 31.14±18.87% in C+, and 52.09±14.03% in T.</w:t>
      </w:r>
    </w:p>
    <w:p w14:paraId="60A2B4D9" w14:textId="77777777" w:rsidR="00A703B5" w:rsidRDefault="00000000">
      <w:pPr>
        <w:spacing w:before="160" w:after="60"/>
      </w:pPr>
      <w:r>
        <w:rPr>
          <w:b/>
        </w:rPr>
        <w:t>DISCUSSION</w:t>
      </w:r>
    </w:p>
    <w:p w14:paraId="5D00D3FA" w14:textId="77777777" w:rsidR="00A703B5" w:rsidRDefault="00000000">
      <w:pPr>
        <w:ind w:firstLine="720"/>
        <w:jc w:val="both"/>
      </w:pPr>
      <w:r>
        <w:t xml:space="preserve">The principal finding of this study was that rats exposed to </w:t>
      </w:r>
      <w:r>
        <w:rPr>
          <w:i/>
        </w:rPr>
        <w:t>P. gingivalis</w:t>
      </w:r>
      <w:r>
        <w:t xml:space="preserve"> and subsequently treated with HBOT had salivary Aβ and </w:t>
      </w:r>
      <w:proofErr w:type="spellStart"/>
      <w:r>
        <w:t>MAPTau</w:t>
      </w:r>
      <w:proofErr w:type="spellEnd"/>
      <w:r>
        <w:t xml:space="preserve"> values that were lower than those observed in untreated periodontitis rats, while their spatial working memory score was higher. The overall </w:t>
      </w:r>
      <w:r>
        <w:lastRenderedPageBreak/>
        <w:t>group effects were statistically significant. These findings do not establish reversal of neurodegeneration; rather, they show that HBOT was associated with differences in exploratory salivary biomarkers and a behavioral outcome in an experimental periodontitis model.</w:t>
      </w:r>
    </w:p>
    <w:p w14:paraId="03D11449" w14:textId="77777777" w:rsidR="00A703B5" w:rsidRDefault="00000000">
      <w:pPr>
        <w:ind w:firstLine="720"/>
        <w:jc w:val="both"/>
      </w:pPr>
      <w:r>
        <w:t xml:space="preserve">The pattern observed in the C+ group is consistent with experimental evidence linking chronic exposure to </w:t>
      </w:r>
      <w:r>
        <w:rPr>
          <w:i/>
        </w:rPr>
        <w:t>P. gingivalis</w:t>
      </w:r>
      <w:r>
        <w:t xml:space="preserve"> or its virulence factors with inflammatory signaling, synaptic dysfunction, and cognitive changes.</w:t>
      </w:r>
      <w:r>
        <w:rPr>
          <w:sz w:val="20"/>
          <w:vertAlign w:val="superscript"/>
        </w:rPr>
        <w:t>3,14-18</w:t>
      </w:r>
      <w:r>
        <w:t xml:space="preserve"> Periodontitis can generate a sustained systemic inflammatory burden, and animal studies suggest that this may influence the central nervous system through several routes. The present study did not measure those pathways directly, but the increase in salivary Aβ and </w:t>
      </w:r>
      <w:proofErr w:type="spellStart"/>
      <w:r>
        <w:t>MAPTau</w:t>
      </w:r>
      <w:proofErr w:type="spellEnd"/>
      <w:r>
        <w:t xml:space="preserve"> alongside poorer Y-maze performance is compatible with that broader literature.</w:t>
      </w:r>
    </w:p>
    <w:p w14:paraId="0703EEAB" w14:textId="77777777" w:rsidR="00A703B5" w:rsidRDefault="00000000">
      <w:pPr>
        <w:ind w:firstLine="720"/>
        <w:jc w:val="both"/>
      </w:pPr>
      <w:r>
        <w:t>Aβ and tau require especially cautious interpretation in saliva. Their established roles in neurodegenerative disease are largely based on brain, cerebrospinal fluid, blood, and imaging studies.</w:t>
      </w:r>
      <w:r>
        <w:rPr>
          <w:sz w:val="20"/>
          <w:vertAlign w:val="superscript"/>
        </w:rPr>
        <w:t>4,5,19,20</w:t>
      </w:r>
      <w:r>
        <w:t xml:space="preserve"> Salivary Aβ and tau are being investigated because collection is simple and suitable for repeated measurements, but their diagnostic meaning remains less established.</w:t>
      </w:r>
      <w:r>
        <w:rPr>
          <w:sz w:val="20"/>
          <w:vertAlign w:val="superscript"/>
        </w:rPr>
        <w:t>6,7</w:t>
      </w:r>
      <w:r>
        <w:t xml:space="preserve"> For that reason, the current measurements are best regarded as exploratory systemic biomarkers rather than evidence of cerebral amyloid deposition or tau pathology.</w:t>
      </w:r>
    </w:p>
    <w:p w14:paraId="3CE7C7CD" w14:textId="77777777" w:rsidR="00A703B5" w:rsidRDefault="00000000">
      <w:pPr>
        <w:ind w:firstLine="720"/>
        <w:jc w:val="both"/>
      </w:pPr>
      <w:r>
        <w:t>HBOT may plausibly modify some of the biological conditions accompanying chronic inflammation. Increased oxygen availability can alter redox balance, tissue oxygenation, mitochondrial function, and inflammatory signaling.</w:t>
      </w:r>
      <w:r>
        <w:rPr>
          <w:sz w:val="20"/>
          <w:vertAlign w:val="superscript"/>
        </w:rPr>
        <w:t>8,9</w:t>
      </w:r>
      <w:r>
        <w:t xml:space="preserve"> In other experimental neurological models, HBOT has been associated with reduced amyloid burden, altered hypoxia-related signaling, enhanced cellular clearance pathways, and improved cognitive performance.</w:t>
      </w:r>
      <w:r>
        <w:rPr>
          <w:sz w:val="20"/>
          <w:vertAlign w:val="superscript"/>
        </w:rPr>
        <w:t>10-13,21,22</w:t>
      </w:r>
      <w:r>
        <w:t xml:space="preserve"> These studies provide biological context for the present findings, but they should not be taken as proof that the same mechanisms operated here because brain tissue, cytokines, oxidative stress markers, and protein-clearance pathways were not measured.</w:t>
      </w:r>
    </w:p>
    <w:p w14:paraId="22E8C75C" w14:textId="77777777" w:rsidR="00A703B5" w:rsidRDefault="00000000">
      <w:pPr>
        <w:ind w:firstLine="720"/>
        <w:jc w:val="both"/>
      </w:pPr>
      <w:r>
        <w:t xml:space="preserve">The Y-maze findings add a functional dimension to the biomarker results. Chronic periodontal infection has been associated with impaired hippocampus-dependent behavior in experimental models, including work involving </w:t>
      </w:r>
      <w:r>
        <w:rPr>
          <w:i/>
        </w:rPr>
        <w:t>P. gingivalis</w:t>
      </w:r>
      <w:r>
        <w:t>.</w:t>
      </w:r>
      <w:r>
        <w:rPr>
          <w:sz w:val="20"/>
          <w:vertAlign w:val="superscript"/>
        </w:rPr>
        <w:t>3,23</w:t>
      </w:r>
      <w:r>
        <w:t xml:space="preserve"> In the present study, the HBOT group showed better spontaneous alternation at Week 9 than the untreated periodontitis group, although performance remained below the mean observed in uninduced controls. This pattern is more consistent with partial functional improvement than with complete normalization.</w:t>
      </w:r>
    </w:p>
    <w:p w14:paraId="5734DDA0" w14:textId="77777777" w:rsidR="00A703B5" w:rsidRDefault="00000000">
      <w:pPr>
        <w:ind w:firstLine="720"/>
        <w:jc w:val="both"/>
      </w:pPr>
      <w:r>
        <w:lastRenderedPageBreak/>
        <w:t xml:space="preserve">Several limitations are important when interpreting the study. First, salivary Aβ and </w:t>
      </w:r>
      <w:proofErr w:type="spellStart"/>
      <w:r>
        <w:t>MAPTau</w:t>
      </w:r>
      <w:proofErr w:type="spellEnd"/>
      <w:r>
        <w:t xml:space="preserve"> do not provide direct evidence of brain pathology; no hippocampal histology, cerebral Aβ or tau deposition, neuronal injury, microglial activation, inflammatory markers, oxidative stress markers, or blood-brain barrier assessment was performed. Second, the design did not include sham hyperbaric-air or HBOT-only groups, so pressure-related, oxygen-related, and chamber-related effects cannot be separated. Third, salivary biomarker sampling was not synchronized across all experimental groups, which limits direct temporal comparison. Fourth, periodontal tissue destruction was not reported as an outcome in this manuscript. Finally, the analysis reports overall group differences without pairwise effect estimates or confidence intervals. Future studies should address these points and include direct periodontal and brain-based measurements.</w:t>
      </w:r>
    </w:p>
    <w:p w14:paraId="22272EB9" w14:textId="77777777" w:rsidR="00A703B5" w:rsidRDefault="00000000">
      <w:pPr>
        <w:ind w:firstLine="720"/>
        <w:jc w:val="both"/>
      </w:pPr>
      <w:r>
        <w:t>Despite these limitations, the study has practical relevance to periodontal research because it examines a systemic consequence of experimental periodontitis while retaining oral infection as the initiating condition. The combination of salivary biomarkers and a behavioral endpoint may be useful for generating hypotheses about oral-systemic interactions and for designing more mechanistically complete studies of adjunctive HBOT.</w:t>
      </w:r>
    </w:p>
    <w:p w14:paraId="543842C0" w14:textId="77777777" w:rsidR="00A703B5" w:rsidRDefault="00000000">
      <w:pPr>
        <w:spacing w:before="160" w:after="60"/>
      </w:pPr>
      <w:r>
        <w:rPr>
          <w:b/>
        </w:rPr>
        <w:t>CONCLUSIONS</w:t>
      </w:r>
    </w:p>
    <w:p w14:paraId="0D65ADE6" w14:textId="77777777" w:rsidR="00A703B5" w:rsidRDefault="00000000">
      <w:pPr>
        <w:ind w:firstLine="720"/>
        <w:jc w:val="both"/>
      </w:pPr>
      <w:r>
        <w:t xml:space="preserve">In rats with </w:t>
      </w:r>
      <w:r>
        <w:rPr>
          <w:i/>
        </w:rPr>
        <w:t>P. gingivalis</w:t>
      </w:r>
      <w:r>
        <w:t xml:space="preserve">-induced periodontitis, HBOT was associated with lower salivary Aβ and </w:t>
      </w:r>
      <w:proofErr w:type="spellStart"/>
      <w:r>
        <w:t>MAPTau</w:t>
      </w:r>
      <w:proofErr w:type="spellEnd"/>
      <w:r>
        <w:t xml:space="preserve"> values and better spatial working memory than observed in untreated periodontitis rats. The findings support further investigation of HBOT as an adjunctive intervention in experimental periodontitis and of saliva as a source of exploratory biomarkers. Direct periodontal and brain-based outcomes are needed before conclusions can be made about neurodegenerative pathology or its reversal.</w:t>
      </w:r>
    </w:p>
    <w:p w14:paraId="10CD047C" w14:textId="77777777" w:rsidR="00A703B5" w:rsidRDefault="00000000">
      <w:pPr>
        <w:spacing w:before="160" w:after="60"/>
      </w:pPr>
      <w:r>
        <w:rPr>
          <w:b/>
        </w:rPr>
        <w:t>ACKNOWLEDGEMENTS</w:t>
      </w:r>
    </w:p>
    <w:p w14:paraId="2431B7CE" w14:textId="77777777" w:rsidR="00A703B5" w:rsidRDefault="00000000">
      <w:pPr>
        <w:jc w:val="both"/>
      </w:pPr>
      <w:r>
        <w:t>The authors thank the laboratory staff who assisted with animal handling, hyperbaric oxygen procedures, saliva preparation, and biomarker analysis.</w:t>
      </w:r>
    </w:p>
    <w:p w14:paraId="22651A80" w14:textId="77777777" w:rsidR="00A703B5" w:rsidRDefault="00000000">
      <w:pPr>
        <w:spacing w:before="160" w:after="60"/>
      </w:pPr>
      <w:r>
        <w:rPr>
          <w:b/>
        </w:rPr>
        <w:t>FUNDING</w:t>
      </w:r>
    </w:p>
    <w:p w14:paraId="1BB670FA" w14:textId="77777777" w:rsidR="00A703B5" w:rsidRDefault="00000000">
      <w:pPr>
        <w:jc w:val="both"/>
      </w:pPr>
      <w:r>
        <w:t>The authors received no specific funding for this study.</w:t>
      </w:r>
    </w:p>
    <w:p w14:paraId="4118DD71" w14:textId="77777777" w:rsidR="00BF2471" w:rsidRDefault="00BF2471">
      <w:pPr>
        <w:spacing w:before="160" w:after="60"/>
        <w:rPr>
          <w:b/>
        </w:rPr>
      </w:pPr>
    </w:p>
    <w:p w14:paraId="71F421D9" w14:textId="77777777" w:rsidR="00A703B5" w:rsidRDefault="00000000">
      <w:pPr>
        <w:spacing w:before="160" w:after="60"/>
      </w:pPr>
      <w:r>
        <w:rPr>
          <w:b/>
        </w:rPr>
        <w:lastRenderedPageBreak/>
        <w:t>CONFLICTS OF INTEREST</w:t>
      </w:r>
    </w:p>
    <w:p w14:paraId="3DC36DF4" w14:textId="77777777" w:rsidR="00A703B5" w:rsidRDefault="00000000">
      <w:pPr>
        <w:jc w:val="both"/>
      </w:pPr>
      <w:r>
        <w:t>The authors declare no conflicts of interest.</w:t>
      </w:r>
    </w:p>
    <w:p w14:paraId="0D5E07AE" w14:textId="77777777" w:rsidR="00A703B5" w:rsidRDefault="00000000">
      <w:r>
        <w:br/>
      </w:r>
    </w:p>
    <w:p w14:paraId="6B59501C" w14:textId="77777777" w:rsidR="00A703B5" w:rsidRDefault="00000000">
      <w:pPr>
        <w:spacing w:before="160" w:after="60"/>
      </w:pPr>
      <w:r>
        <w:rPr>
          <w:b/>
        </w:rPr>
        <w:t>REFERENCES</w:t>
      </w:r>
    </w:p>
    <w:p w14:paraId="5C634153" w14:textId="77777777" w:rsidR="00BF2471" w:rsidRDefault="00000000" w:rsidP="00BF2471">
      <w:pPr>
        <w:pStyle w:val="ListParagraph"/>
        <w:numPr>
          <w:ilvl w:val="0"/>
          <w:numId w:val="10"/>
        </w:numPr>
        <w:spacing w:line="480" w:lineRule="auto"/>
        <w:ind w:left="426" w:hanging="426"/>
        <w:jc w:val="both"/>
      </w:pPr>
      <w:r>
        <w:t xml:space="preserve">Liu S, Butler CA, Ayton S, Reynolds EC, </w:t>
      </w:r>
      <w:proofErr w:type="spellStart"/>
      <w:r>
        <w:t>Dashper</w:t>
      </w:r>
      <w:proofErr w:type="spellEnd"/>
      <w:r>
        <w:t xml:space="preserve"> SG. Porphyromonas gingivalis and the pathogenesis of Alzheimer's disease. Crit Rev </w:t>
      </w:r>
      <w:proofErr w:type="spellStart"/>
      <w:r>
        <w:t>Microbiol</w:t>
      </w:r>
      <w:proofErr w:type="spellEnd"/>
      <w:r>
        <w:t xml:space="preserve"> </w:t>
      </w:r>
      <w:proofErr w:type="gramStart"/>
      <w:r>
        <w:t>2024;50:127</w:t>
      </w:r>
      <w:proofErr w:type="gramEnd"/>
      <w:r>
        <w:t>-137.</w:t>
      </w:r>
    </w:p>
    <w:p w14:paraId="66CDF06E" w14:textId="77777777" w:rsidR="00BF2471" w:rsidRDefault="00000000" w:rsidP="00BF2471">
      <w:pPr>
        <w:pStyle w:val="ListParagraph"/>
        <w:numPr>
          <w:ilvl w:val="0"/>
          <w:numId w:val="10"/>
        </w:numPr>
        <w:spacing w:line="480" w:lineRule="auto"/>
        <w:ind w:left="426" w:hanging="426"/>
        <w:jc w:val="both"/>
      </w:pPr>
      <w:r>
        <w:t xml:space="preserve">Huang Z, Hao M, Shi N, Wang X, Yuan L, Yuan H, et al. Porphyromonas gingivalis: a potential trigger of neurodegenerative disease. Front Immunol </w:t>
      </w:r>
      <w:proofErr w:type="gramStart"/>
      <w:r>
        <w:t>2025;16:1482033</w:t>
      </w:r>
      <w:proofErr w:type="gramEnd"/>
      <w:r>
        <w:t>.</w:t>
      </w:r>
    </w:p>
    <w:p w14:paraId="058D9FA7" w14:textId="77777777" w:rsidR="00BF2471" w:rsidRDefault="00000000" w:rsidP="00BF2471">
      <w:pPr>
        <w:pStyle w:val="ListParagraph"/>
        <w:numPr>
          <w:ilvl w:val="0"/>
          <w:numId w:val="10"/>
        </w:numPr>
        <w:spacing w:line="480" w:lineRule="auto"/>
        <w:ind w:left="426" w:hanging="426"/>
        <w:jc w:val="both"/>
      </w:pPr>
      <w:r>
        <w:t xml:space="preserve">Jin R, Ning X, Liu X, Zhao Y, Ye G. Porphyromonas gingivalis-induced periodontitis could contribute to cognitive impairment in Sprague-Dawley rats via the P38 MAPK signaling pathway. Front Cell </w:t>
      </w:r>
      <w:proofErr w:type="spellStart"/>
      <w:r>
        <w:t>Neurosci</w:t>
      </w:r>
      <w:proofErr w:type="spellEnd"/>
      <w:r>
        <w:t xml:space="preserve"> </w:t>
      </w:r>
      <w:proofErr w:type="gramStart"/>
      <w:r>
        <w:t>2023;17:1141339</w:t>
      </w:r>
      <w:proofErr w:type="gramEnd"/>
      <w:r>
        <w:t>.</w:t>
      </w:r>
    </w:p>
    <w:p w14:paraId="25328E87" w14:textId="77777777" w:rsidR="00BF2471" w:rsidRDefault="00000000" w:rsidP="00BF2471">
      <w:pPr>
        <w:pStyle w:val="ListParagraph"/>
        <w:numPr>
          <w:ilvl w:val="0"/>
          <w:numId w:val="10"/>
        </w:numPr>
        <w:spacing w:line="480" w:lineRule="auto"/>
        <w:ind w:left="426" w:hanging="426"/>
        <w:jc w:val="both"/>
      </w:pPr>
      <w:r>
        <w:t xml:space="preserve">Hampel H, Hardy J, </w:t>
      </w:r>
      <w:proofErr w:type="spellStart"/>
      <w:r>
        <w:t>Blennow</w:t>
      </w:r>
      <w:proofErr w:type="spellEnd"/>
      <w:r>
        <w:t xml:space="preserve"> K, Chen C, Perry G, Kim SH, et al. The amyloid-β pathway in Alzheimer's disease. Mol Psychiatry </w:t>
      </w:r>
      <w:proofErr w:type="gramStart"/>
      <w:r>
        <w:t>2021;26:5481</w:t>
      </w:r>
      <w:proofErr w:type="gramEnd"/>
      <w:r>
        <w:t>-5503.</w:t>
      </w:r>
    </w:p>
    <w:p w14:paraId="1F92A81D" w14:textId="77777777" w:rsidR="00BF2471" w:rsidRDefault="00000000" w:rsidP="00BF2471">
      <w:pPr>
        <w:pStyle w:val="ListParagraph"/>
        <w:numPr>
          <w:ilvl w:val="0"/>
          <w:numId w:val="10"/>
        </w:numPr>
        <w:spacing w:line="480" w:lineRule="auto"/>
        <w:ind w:left="426" w:hanging="426"/>
        <w:jc w:val="both"/>
      </w:pPr>
      <w:r>
        <w:t xml:space="preserve">Kent SA, Spires-Jones TL, Durrant CS. The physiological roles of tau and Aβ: implications for Alzheimer's disease pathology and therapeutics. Acta </w:t>
      </w:r>
      <w:proofErr w:type="spellStart"/>
      <w:r>
        <w:t>Neuropathol</w:t>
      </w:r>
      <w:proofErr w:type="spellEnd"/>
      <w:r>
        <w:t xml:space="preserve"> </w:t>
      </w:r>
      <w:proofErr w:type="gramStart"/>
      <w:r>
        <w:t>2020;140:417</w:t>
      </w:r>
      <w:proofErr w:type="gramEnd"/>
      <w:r>
        <w:t>-447.</w:t>
      </w:r>
    </w:p>
    <w:p w14:paraId="5848168F" w14:textId="77777777" w:rsidR="00BF2471" w:rsidRDefault="00000000" w:rsidP="00BF2471">
      <w:pPr>
        <w:pStyle w:val="ListParagraph"/>
        <w:numPr>
          <w:ilvl w:val="0"/>
          <w:numId w:val="10"/>
        </w:numPr>
        <w:spacing w:line="480" w:lineRule="auto"/>
        <w:ind w:left="426" w:hanging="426"/>
        <w:jc w:val="both"/>
      </w:pPr>
      <w:r>
        <w:t xml:space="preserve">Pawlik P, </w:t>
      </w:r>
      <w:proofErr w:type="spellStart"/>
      <w:r>
        <w:t>Blochowiak</w:t>
      </w:r>
      <w:proofErr w:type="spellEnd"/>
      <w:r>
        <w:t xml:space="preserve"> K. The role of salivary biomarkers in the early diagnosis of Alzheimer's disease and Parkinson's disease. Diagnostics (Basel) </w:t>
      </w:r>
      <w:proofErr w:type="gramStart"/>
      <w:r>
        <w:t>2021;11:371</w:t>
      </w:r>
      <w:proofErr w:type="gramEnd"/>
      <w:r>
        <w:t>.</w:t>
      </w:r>
    </w:p>
    <w:p w14:paraId="6096445D" w14:textId="77777777" w:rsidR="00BF2471" w:rsidRDefault="00000000" w:rsidP="00BF2471">
      <w:pPr>
        <w:pStyle w:val="ListParagraph"/>
        <w:numPr>
          <w:ilvl w:val="0"/>
          <w:numId w:val="10"/>
        </w:numPr>
        <w:spacing w:line="480" w:lineRule="auto"/>
        <w:ind w:left="426" w:hanging="426"/>
        <w:jc w:val="both"/>
      </w:pPr>
      <w:r>
        <w:t xml:space="preserve">Ashraf M, Sheikh I, Ashraf M. Salivary biomarkers in Alzheimer's. Br Dent J </w:t>
      </w:r>
      <w:proofErr w:type="gramStart"/>
      <w:r>
        <w:t>2025;239:231</w:t>
      </w:r>
      <w:proofErr w:type="gramEnd"/>
      <w:r>
        <w:t>-232.</w:t>
      </w:r>
    </w:p>
    <w:p w14:paraId="7FC98A82" w14:textId="77777777" w:rsidR="00BF2471" w:rsidRDefault="00000000" w:rsidP="00BF2471">
      <w:pPr>
        <w:pStyle w:val="ListParagraph"/>
        <w:numPr>
          <w:ilvl w:val="0"/>
          <w:numId w:val="10"/>
        </w:numPr>
        <w:spacing w:line="480" w:lineRule="auto"/>
        <w:ind w:left="426" w:hanging="426"/>
        <w:jc w:val="both"/>
      </w:pPr>
      <w:r>
        <w:t xml:space="preserve">De Wolde SD, </w:t>
      </w:r>
      <w:proofErr w:type="spellStart"/>
      <w:r>
        <w:t>Hulskes</w:t>
      </w:r>
      <w:proofErr w:type="spellEnd"/>
      <w:r>
        <w:t xml:space="preserve"> RH, </w:t>
      </w:r>
      <w:proofErr w:type="spellStart"/>
      <w:r>
        <w:t>Weenink</w:t>
      </w:r>
      <w:proofErr w:type="spellEnd"/>
      <w:r>
        <w:t xml:space="preserve"> RP, Hollmann MW, Van Hulst RA. The effects of hyperbaric oxygenation on oxidative stress, inflammation and angiogenesis. Biomolecules </w:t>
      </w:r>
      <w:proofErr w:type="gramStart"/>
      <w:r>
        <w:t>2021;11:1210</w:t>
      </w:r>
      <w:proofErr w:type="gramEnd"/>
      <w:r>
        <w:t>.</w:t>
      </w:r>
    </w:p>
    <w:p w14:paraId="71D39E8D" w14:textId="77777777" w:rsidR="00BF2471" w:rsidRDefault="00000000" w:rsidP="00BF2471">
      <w:pPr>
        <w:pStyle w:val="ListParagraph"/>
        <w:numPr>
          <w:ilvl w:val="0"/>
          <w:numId w:val="10"/>
        </w:numPr>
        <w:spacing w:line="480" w:lineRule="auto"/>
        <w:ind w:left="426" w:hanging="426"/>
        <w:jc w:val="both"/>
      </w:pPr>
      <w:r>
        <w:lastRenderedPageBreak/>
        <w:t xml:space="preserve">Ortega MA, Fraile-Martinez O, Garcia-Montero C, Callejon-Pelaez E, Saez MA, Alvarez-Mon MA, et al. A general overview on the hyperbaric oxygen therapy: applications, mechanisms and translational opportunities. Medicina (Kaunas) </w:t>
      </w:r>
      <w:proofErr w:type="gramStart"/>
      <w:r>
        <w:t>2021;57:864</w:t>
      </w:r>
      <w:proofErr w:type="gramEnd"/>
      <w:r>
        <w:t>.</w:t>
      </w:r>
    </w:p>
    <w:p w14:paraId="5E7674D7" w14:textId="77777777" w:rsidR="00BF2471" w:rsidRDefault="00000000" w:rsidP="00BF2471">
      <w:pPr>
        <w:pStyle w:val="ListParagraph"/>
        <w:numPr>
          <w:ilvl w:val="0"/>
          <w:numId w:val="10"/>
        </w:numPr>
        <w:spacing w:line="480" w:lineRule="auto"/>
        <w:ind w:left="426" w:hanging="426"/>
        <w:jc w:val="both"/>
      </w:pPr>
      <w:r>
        <w:t xml:space="preserve">Shapira R, </w:t>
      </w:r>
      <w:proofErr w:type="spellStart"/>
      <w:r>
        <w:t>Gdalyahu</w:t>
      </w:r>
      <w:proofErr w:type="spellEnd"/>
      <w:r>
        <w:t xml:space="preserve"> A, Gottfried I, Sasson E, </w:t>
      </w:r>
      <w:proofErr w:type="spellStart"/>
      <w:r>
        <w:t>Hadanny</w:t>
      </w:r>
      <w:proofErr w:type="spellEnd"/>
      <w:r>
        <w:t xml:space="preserve"> A, Efrati S, et al. Hyperbaric oxygen therapy alleviates vascular dysfunction and amyloid burden in an Alzheimer's disease mouse model and in elderly patients. Aging (Albany NY) </w:t>
      </w:r>
      <w:proofErr w:type="gramStart"/>
      <w:r>
        <w:t>2021;13:20935</w:t>
      </w:r>
      <w:proofErr w:type="gramEnd"/>
      <w:r>
        <w:t>-20961.</w:t>
      </w:r>
    </w:p>
    <w:p w14:paraId="016D526C" w14:textId="77777777" w:rsidR="00BF2471" w:rsidRDefault="00000000" w:rsidP="00BF2471">
      <w:pPr>
        <w:pStyle w:val="ListParagraph"/>
        <w:numPr>
          <w:ilvl w:val="0"/>
          <w:numId w:val="10"/>
        </w:numPr>
        <w:spacing w:line="480" w:lineRule="auto"/>
        <w:ind w:left="426" w:hanging="426"/>
        <w:jc w:val="both"/>
      </w:pPr>
      <w:r>
        <w:t xml:space="preserve">Yang C, Liu G, Zeng X, Xiang Y, Chen X, Le W. Therapeutic effects of long-term HBOT on Alzheimer's disease </w:t>
      </w:r>
      <w:proofErr w:type="spellStart"/>
      <w:r>
        <w:t>neuropathologies</w:t>
      </w:r>
      <w:proofErr w:type="spellEnd"/>
      <w:r>
        <w:t xml:space="preserve"> and cognitive impairment in </w:t>
      </w:r>
      <w:proofErr w:type="spellStart"/>
      <w:r>
        <w:t>APPswe</w:t>
      </w:r>
      <w:proofErr w:type="spellEnd"/>
      <w:r>
        <w:t xml:space="preserve">/PS1dE9 mice. Redox Biol </w:t>
      </w:r>
      <w:proofErr w:type="gramStart"/>
      <w:r>
        <w:t>2024;70:103006</w:t>
      </w:r>
      <w:proofErr w:type="gramEnd"/>
      <w:r>
        <w:t>.</w:t>
      </w:r>
    </w:p>
    <w:p w14:paraId="59FFA571" w14:textId="77777777" w:rsidR="00BF2471" w:rsidRDefault="00000000" w:rsidP="00BF2471">
      <w:pPr>
        <w:pStyle w:val="ListParagraph"/>
        <w:numPr>
          <w:ilvl w:val="0"/>
          <w:numId w:val="10"/>
        </w:numPr>
        <w:spacing w:line="480" w:lineRule="auto"/>
        <w:ind w:left="426" w:hanging="426"/>
        <w:jc w:val="both"/>
      </w:pPr>
      <w:r>
        <w:t xml:space="preserve">Fan QQ, Chen YM, Fu YS, Li XS, Zeng J, Bian SZ, et al. Enhancement of cognitive function in mice with Alzheimer's disease through hyperbaric oxygen-induced activation of cellular autophagy. Front Aging </w:t>
      </w:r>
      <w:proofErr w:type="spellStart"/>
      <w:r>
        <w:t>Neurosci</w:t>
      </w:r>
      <w:proofErr w:type="spellEnd"/>
      <w:r>
        <w:t xml:space="preserve"> </w:t>
      </w:r>
      <w:proofErr w:type="gramStart"/>
      <w:r>
        <w:t>2024;16:1418081</w:t>
      </w:r>
      <w:proofErr w:type="gramEnd"/>
      <w:r>
        <w:t>.</w:t>
      </w:r>
    </w:p>
    <w:p w14:paraId="3F7AC056" w14:textId="77777777" w:rsidR="00BF2471" w:rsidRDefault="00000000" w:rsidP="00BF2471">
      <w:pPr>
        <w:pStyle w:val="ListParagraph"/>
        <w:numPr>
          <w:ilvl w:val="0"/>
          <w:numId w:val="10"/>
        </w:numPr>
        <w:spacing w:line="480" w:lineRule="auto"/>
        <w:ind w:left="426" w:hanging="426"/>
        <w:jc w:val="both"/>
      </w:pPr>
      <w:r>
        <w:t xml:space="preserve">Harch PG, </w:t>
      </w:r>
      <w:proofErr w:type="spellStart"/>
      <w:r>
        <w:t>Kriedt</w:t>
      </w:r>
      <w:proofErr w:type="spellEnd"/>
      <w:r>
        <w:t xml:space="preserve"> C, Van Meter KW, Sutherland RJ. Hyperbaric oxygen therapy improves spatial learning and memory in a rat model of chronic traumatic brain injury. Brain Res </w:t>
      </w:r>
      <w:proofErr w:type="gramStart"/>
      <w:r>
        <w:t>2007;1174:120</w:t>
      </w:r>
      <w:proofErr w:type="gramEnd"/>
      <w:r>
        <w:t>-129.</w:t>
      </w:r>
    </w:p>
    <w:p w14:paraId="633171D7" w14:textId="77777777" w:rsidR="00BF2471" w:rsidRDefault="00000000" w:rsidP="00BF2471">
      <w:pPr>
        <w:pStyle w:val="ListParagraph"/>
        <w:numPr>
          <w:ilvl w:val="0"/>
          <w:numId w:val="10"/>
        </w:numPr>
        <w:spacing w:line="480" w:lineRule="auto"/>
        <w:ind w:left="426" w:hanging="426"/>
        <w:jc w:val="both"/>
      </w:pPr>
      <w:r>
        <w:t xml:space="preserve">Gui S, Zeng F, Wu Z, Nonaka S, Sano T, Ni J, et al. Lipopolysaccharides from Porphyromonas gingivalis indirectly induce neuronal GSK3β-dependent synaptic defects and cause cognitive decline in a low-amyloid-β-concentration environment in Alzheimer's disease. J </w:t>
      </w:r>
      <w:proofErr w:type="spellStart"/>
      <w:r>
        <w:t>Alzheimers</w:t>
      </w:r>
      <w:proofErr w:type="spellEnd"/>
      <w:r>
        <w:t xml:space="preserve"> Dis </w:t>
      </w:r>
      <w:proofErr w:type="gramStart"/>
      <w:r>
        <w:t>2025;105:302</w:t>
      </w:r>
      <w:proofErr w:type="gramEnd"/>
      <w:r>
        <w:t>-316.</w:t>
      </w:r>
    </w:p>
    <w:p w14:paraId="7AE933B2" w14:textId="77777777" w:rsidR="00BF2471" w:rsidRDefault="00000000" w:rsidP="00BF2471">
      <w:pPr>
        <w:pStyle w:val="ListParagraph"/>
        <w:numPr>
          <w:ilvl w:val="0"/>
          <w:numId w:val="10"/>
        </w:numPr>
        <w:spacing w:line="480" w:lineRule="auto"/>
        <w:ind w:left="426" w:hanging="426"/>
        <w:jc w:val="both"/>
      </w:pPr>
      <w:proofErr w:type="spellStart"/>
      <w:r>
        <w:t>Aravindraja</w:t>
      </w:r>
      <w:proofErr w:type="spellEnd"/>
      <w:r>
        <w:t xml:space="preserve"> C, Sakthivel R, Liu X, Goodwin M, Veena P, </w:t>
      </w:r>
      <w:proofErr w:type="spellStart"/>
      <w:r>
        <w:t>Godovikova</w:t>
      </w:r>
      <w:proofErr w:type="spellEnd"/>
      <w:r>
        <w:t xml:space="preserve"> V, et al. Intracerebral but not peripheral infection of live Porphyromonas gingivalis exacerbates Alzheimer's disease-like amyloid pathology in APP-TgCRND8 mice. Int J Mol Sci </w:t>
      </w:r>
      <w:proofErr w:type="gramStart"/>
      <w:r>
        <w:t>2022;23:3328</w:t>
      </w:r>
      <w:proofErr w:type="gramEnd"/>
      <w:r>
        <w:t>.</w:t>
      </w:r>
    </w:p>
    <w:p w14:paraId="5F7137C3" w14:textId="77777777" w:rsidR="00BF2471" w:rsidRDefault="00000000" w:rsidP="00BF2471">
      <w:pPr>
        <w:pStyle w:val="ListParagraph"/>
        <w:numPr>
          <w:ilvl w:val="0"/>
          <w:numId w:val="10"/>
        </w:numPr>
        <w:spacing w:line="480" w:lineRule="auto"/>
        <w:ind w:left="426" w:hanging="426"/>
        <w:jc w:val="both"/>
      </w:pPr>
      <w:proofErr w:type="spellStart"/>
      <w:r>
        <w:lastRenderedPageBreak/>
        <w:t>Haditsch</w:t>
      </w:r>
      <w:proofErr w:type="spellEnd"/>
      <w:r>
        <w:t xml:space="preserve"> U, Roth T, Rodriguez L, Hancock S, Cecere T, Nguyen M, et al. Alzheimer's disease-like neurodegeneration in Porphyromonas gingivalis infected neurons with persistent expression of active gingipains. J </w:t>
      </w:r>
      <w:proofErr w:type="spellStart"/>
      <w:r>
        <w:t>Alzheimers</w:t>
      </w:r>
      <w:proofErr w:type="spellEnd"/>
      <w:r>
        <w:t xml:space="preserve"> Dis </w:t>
      </w:r>
      <w:proofErr w:type="gramStart"/>
      <w:r>
        <w:t>2020;75:1361</w:t>
      </w:r>
      <w:proofErr w:type="gramEnd"/>
      <w:r>
        <w:t>-1376.</w:t>
      </w:r>
    </w:p>
    <w:p w14:paraId="157516AC" w14:textId="77777777" w:rsidR="00BF2471" w:rsidRDefault="00000000" w:rsidP="00BF2471">
      <w:pPr>
        <w:pStyle w:val="ListParagraph"/>
        <w:numPr>
          <w:ilvl w:val="0"/>
          <w:numId w:val="10"/>
        </w:numPr>
        <w:spacing w:line="480" w:lineRule="auto"/>
        <w:ind w:left="426" w:hanging="426"/>
        <w:jc w:val="both"/>
      </w:pPr>
      <w:r>
        <w:t xml:space="preserve">Kong L, Li J, Gao L, Zhao Y, Chen W, Wang X, et al. Periodontitis-induced neuroinflammation triggers IFITM3-Aβ axis to cause Alzheimer's disease-like pathology and cognitive decline. </w:t>
      </w:r>
      <w:proofErr w:type="spellStart"/>
      <w:r>
        <w:t>Alzheimers</w:t>
      </w:r>
      <w:proofErr w:type="spellEnd"/>
      <w:r>
        <w:t xml:space="preserve"> Res Ther </w:t>
      </w:r>
      <w:proofErr w:type="gramStart"/>
      <w:r>
        <w:t>2025;17:166</w:t>
      </w:r>
      <w:proofErr w:type="gramEnd"/>
      <w:r>
        <w:t>.</w:t>
      </w:r>
    </w:p>
    <w:p w14:paraId="47F38E5D" w14:textId="77777777" w:rsidR="00BF2471" w:rsidRDefault="00000000" w:rsidP="00BF2471">
      <w:pPr>
        <w:pStyle w:val="ListParagraph"/>
        <w:numPr>
          <w:ilvl w:val="0"/>
          <w:numId w:val="10"/>
        </w:numPr>
        <w:spacing w:line="480" w:lineRule="auto"/>
        <w:ind w:left="426" w:hanging="426"/>
        <w:jc w:val="both"/>
      </w:pPr>
      <w:r>
        <w:t xml:space="preserve">Jiang Y, Xu L, Zhao X, Shen H, Qiu C, He Z, et al. Porphyromonas gingivalis-induced periodontitis promotes neuroinflammation and neuronal loss associated with dysfunction of the brain barrier. Front Cell Infect </w:t>
      </w:r>
      <w:proofErr w:type="spellStart"/>
      <w:r>
        <w:t>Microbiol</w:t>
      </w:r>
      <w:proofErr w:type="spellEnd"/>
      <w:r>
        <w:t xml:space="preserve"> </w:t>
      </w:r>
      <w:proofErr w:type="gramStart"/>
      <w:r>
        <w:t>2025;15:1559182</w:t>
      </w:r>
      <w:proofErr w:type="gramEnd"/>
      <w:r>
        <w:t>.</w:t>
      </w:r>
    </w:p>
    <w:p w14:paraId="65A9635E" w14:textId="77777777" w:rsidR="00BF2471" w:rsidRDefault="00000000" w:rsidP="00BF2471">
      <w:pPr>
        <w:pStyle w:val="ListParagraph"/>
        <w:numPr>
          <w:ilvl w:val="0"/>
          <w:numId w:val="10"/>
        </w:numPr>
        <w:spacing w:line="480" w:lineRule="auto"/>
        <w:ind w:left="426" w:hanging="426"/>
        <w:jc w:val="both"/>
      </w:pPr>
      <w:r>
        <w:t xml:space="preserve">Chen Y, Yu Y. Tau and neuroinflammation in Alzheimer's disease: interplay mechanisms and clinical translation. J Neuroinflammation </w:t>
      </w:r>
      <w:proofErr w:type="gramStart"/>
      <w:r>
        <w:t>2023;20:165</w:t>
      </w:r>
      <w:proofErr w:type="gramEnd"/>
      <w:r>
        <w:t>.</w:t>
      </w:r>
    </w:p>
    <w:p w14:paraId="2E560855" w14:textId="77777777" w:rsidR="00BF2471" w:rsidRDefault="00000000" w:rsidP="00BF2471">
      <w:pPr>
        <w:pStyle w:val="ListParagraph"/>
        <w:numPr>
          <w:ilvl w:val="0"/>
          <w:numId w:val="10"/>
        </w:numPr>
        <w:spacing w:line="480" w:lineRule="auto"/>
        <w:ind w:left="426" w:hanging="426"/>
        <w:jc w:val="both"/>
      </w:pPr>
      <w:r>
        <w:t xml:space="preserve">Zhang X, Wang J, Zhang Z, Ye K. Tau in neurodegenerative diseases: molecular mechanisms, biomarkers, and therapeutic strategies. </w:t>
      </w:r>
      <w:proofErr w:type="spellStart"/>
      <w:r>
        <w:t>Transl</w:t>
      </w:r>
      <w:proofErr w:type="spellEnd"/>
      <w:r>
        <w:t xml:space="preserve"> </w:t>
      </w:r>
      <w:proofErr w:type="spellStart"/>
      <w:r>
        <w:t>Neurodegener</w:t>
      </w:r>
      <w:proofErr w:type="spellEnd"/>
      <w:r>
        <w:t xml:space="preserve"> </w:t>
      </w:r>
      <w:proofErr w:type="gramStart"/>
      <w:r>
        <w:t>2024;13:42</w:t>
      </w:r>
      <w:proofErr w:type="gramEnd"/>
      <w:r>
        <w:t>.</w:t>
      </w:r>
    </w:p>
    <w:p w14:paraId="358A7008" w14:textId="77777777" w:rsidR="00BF2471" w:rsidRDefault="00000000" w:rsidP="00BF2471">
      <w:pPr>
        <w:pStyle w:val="ListParagraph"/>
        <w:numPr>
          <w:ilvl w:val="0"/>
          <w:numId w:val="10"/>
        </w:numPr>
        <w:spacing w:line="480" w:lineRule="auto"/>
        <w:ind w:left="426" w:hanging="426"/>
        <w:jc w:val="both"/>
      </w:pPr>
      <w:r>
        <w:t xml:space="preserve">Tao B, Gong W, Xu C, Ma Z, Mei J, Chen M. The relationship between hypoxia and Alzheimer's disease: an updated review. Front Aging </w:t>
      </w:r>
      <w:proofErr w:type="spellStart"/>
      <w:r>
        <w:t>Neurosci</w:t>
      </w:r>
      <w:proofErr w:type="spellEnd"/>
      <w:r>
        <w:t xml:space="preserve"> </w:t>
      </w:r>
      <w:proofErr w:type="gramStart"/>
      <w:r>
        <w:t>2024;16:1402774</w:t>
      </w:r>
      <w:proofErr w:type="gramEnd"/>
      <w:r>
        <w:t>.</w:t>
      </w:r>
    </w:p>
    <w:p w14:paraId="1AF8C3DE" w14:textId="77777777" w:rsidR="00BF2471" w:rsidRDefault="00000000" w:rsidP="00BF2471">
      <w:pPr>
        <w:pStyle w:val="ListParagraph"/>
        <w:numPr>
          <w:ilvl w:val="0"/>
          <w:numId w:val="10"/>
        </w:numPr>
        <w:spacing w:line="480" w:lineRule="auto"/>
        <w:ind w:left="426" w:hanging="426"/>
        <w:jc w:val="both"/>
      </w:pPr>
      <w:r>
        <w:t xml:space="preserve">Wang Y, Ni P, Zhuang D, Zhou P, Zhu F, Yin D, et al. Early hyperbaric oxygen therapy through regulating the HIF-1α signaling pathway attenuates neuroinflammation and behavioral deficits in a mouse model of sepsis-associated encephalopathy. J </w:t>
      </w:r>
      <w:proofErr w:type="spellStart"/>
      <w:r>
        <w:t>Neuroimmunol</w:t>
      </w:r>
      <w:proofErr w:type="spellEnd"/>
      <w:r>
        <w:t xml:space="preserve"> </w:t>
      </w:r>
      <w:proofErr w:type="gramStart"/>
      <w:r>
        <w:t>2024;391:578367</w:t>
      </w:r>
      <w:proofErr w:type="gramEnd"/>
      <w:r>
        <w:t>.</w:t>
      </w:r>
    </w:p>
    <w:p w14:paraId="547ED0C6" w14:textId="77777777" w:rsidR="00BF2471" w:rsidRDefault="00000000" w:rsidP="00BF2471">
      <w:pPr>
        <w:pStyle w:val="ListParagraph"/>
        <w:numPr>
          <w:ilvl w:val="0"/>
          <w:numId w:val="10"/>
        </w:numPr>
        <w:spacing w:line="480" w:lineRule="auto"/>
        <w:ind w:left="426" w:hanging="426"/>
        <w:jc w:val="both"/>
      </w:pPr>
      <w:r>
        <w:t xml:space="preserve">Chuang WC, Yang CN, Wang HW, Lin SK, Yu CC, </w:t>
      </w:r>
      <w:proofErr w:type="spellStart"/>
      <w:r>
        <w:t>Syu</w:t>
      </w:r>
      <w:proofErr w:type="spellEnd"/>
      <w:r>
        <w:t xml:space="preserve"> JH, et al. The mechanisms of Porphyromonas gingivalis-derived outer membrane vesicles-induced neurotoxicity and microglia activation. J Dent Sci </w:t>
      </w:r>
      <w:proofErr w:type="gramStart"/>
      <w:r>
        <w:t>2024;19:1434</w:t>
      </w:r>
      <w:proofErr w:type="gramEnd"/>
      <w:r>
        <w:t>-1442.</w:t>
      </w:r>
    </w:p>
    <w:p w14:paraId="201C0D74" w14:textId="77777777" w:rsidR="00BF2471" w:rsidRDefault="00000000" w:rsidP="00BF2471">
      <w:pPr>
        <w:pStyle w:val="ListParagraph"/>
        <w:numPr>
          <w:ilvl w:val="0"/>
          <w:numId w:val="10"/>
        </w:numPr>
        <w:spacing w:line="480" w:lineRule="auto"/>
        <w:ind w:left="426" w:hanging="426"/>
        <w:jc w:val="both"/>
      </w:pPr>
      <w:proofErr w:type="spellStart"/>
      <w:r>
        <w:t>Tenchov</w:t>
      </w:r>
      <w:proofErr w:type="spellEnd"/>
      <w:r>
        <w:t xml:space="preserve"> R, Sasso JM, Zhou QA. Alzheimer's disease: exploring the landscape of cognitive decline. ACS Chem </w:t>
      </w:r>
      <w:proofErr w:type="spellStart"/>
      <w:r>
        <w:t>Neurosci</w:t>
      </w:r>
      <w:proofErr w:type="spellEnd"/>
      <w:r>
        <w:t xml:space="preserve"> </w:t>
      </w:r>
      <w:proofErr w:type="gramStart"/>
      <w:r>
        <w:t>2024;15:3800</w:t>
      </w:r>
      <w:proofErr w:type="gramEnd"/>
      <w:r>
        <w:t>-3827.</w:t>
      </w:r>
    </w:p>
    <w:p w14:paraId="6F3CE697" w14:textId="77777777" w:rsidR="00A703B5" w:rsidRDefault="00000000" w:rsidP="00BF2471">
      <w:pPr>
        <w:pStyle w:val="ListParagraph"/>
        <w:numPr>
          <w:ilvl w:val="0"/>
          <w:numId w:val="10"/>
        </w:numPr>
        <w:spacing w:line="480" w:lineRule="auto"/>
        <w:ind w:left="426" w:hanging="426"/>
        <w:jc w:val="both"/>
      </w:pPr>
      <w:r>
        <w:lastRenderedPageBreak/>
        <w:t xml:space="preserve">Mensah-Kane P, </w:t>
      </w:r>
      <w:proofErr w:type="spellStart"/>
      <w:r>
        <w:t>Sumien</w:t>
      </w:r>
      <w:proofErr w:type="spellEnd"/>
      <w:r>
        <w:t xml:space="preserve"> N. The potential of hyperbaric oxygen as a therapy for neurodegenerative diseases. </w:t>
      </w:r>
      <w:proofErr w:type="spellStart"/>
      <w:r>
        <w:t>Geroscience</w:t>
      </w:r>
      <w:proofErr w:type="spellEnd"/>
      <w:r>
        <w:t xml:space="preserve"> </w:t>
      </w:r>
      <w:proofErr w:type="gramStart"/>
      <w:r>
        <w:t>2023;45:747</w:t>
      </w:r>
      <w:proofErr w:type="gramEnd"/>
      <w:r>
        <w:t>-756.</w:t>
      </w:r>
    </w:p>
    <w:p w14:paraId="0E672BB0" w14:textId="77777777" w:rsidR="00A703B5" w:rsidRDefault="00000000">
      <w:pPr>
        <w:pageBreakBefore/>
        <w:spacing w:before="160" w:after="60"/>
      </w:pPr>
      <w:r>
        <w:rPr>
          <w:b/>
        </w:rPr>
        <w:lastRenderedPageBreak/>
        <w:t>TABLE 1</w:t>
      </w:r>
    </w:p>
    <w:p w14:paraId="2703CA18" w14:textId="77777777" w:rsidR="00A703B5" w:rsidRDefault="00000000">
      <w:pPr>
        <w:jc w:val="both"/>
      </w:pPr>
      <w:r>
        <w:t xml:space="preserve">Table 1. Salivary amyloid-β, </w:t>
      </w:r>
      <w:proofErr w:type="spellStart"/>
      <w:r>
        <w:t>MAPTau</w:t>
      </w:r>
      <w:proofErr w:type="spellEnd"/>
      <w:r>
        <w:t xml:space="preserve">, and spatial working memory across experimental groups. Values are </w:t>
      </w:r>
      <w:proofErr w:type="spellStart"/>
      <w:r>
        <w:t>mean±standard</w:t>
      </w:r>
      <w:proofErr w:type="spellEnd"/>
      <w:r>
        <w:t xml:space="preserve"> deviation. The </w:t>
      </w:r>
      <w:r w:rsidRPr="005D45EF">
        <w:rPr>
          <w:i/>
          <w:iCs/>
        </w:rPr>
        <w:t>p</w:t>
      </w:r>
      <w:r>
        <w:t xml:space="preserve"> value represents the overall between-group comparison by one-way analysis of variance. Salivary biomarker samples were collected according to the group-specific schedule described in Materials and Methods; spatial working memory values are Week 9 scores.</w:t>
      </w:r>
    </w:p>
    <w:tbl>
      <w:tblPr>
        <w:tblStyle w:val="TableGrid"/>
        <w:tblW w:w="0" w:type="auto"/>
        <w:jc w:val="center"/>
        <w:tblLayout w:type="fixed"/>
        <w:tblLook w:val="04A0" w:firstRow="1" w:lastRow="0" w:firstColumn="1" w:lastColumn="0" w:noHBand="0" w:noVBand="1"/>
      </w:tblPr>
      <w:tblGrid>
        <w:gridCol w:w="2342"/>
        <w:gridCol w:w="2093"/>
        <w:gridCol w:w="1958"/>
        <w:gridCol w:w="1656"/>
        <w:gridCol w:w="936"/>
      </w:tblGrid>
      <w:tr w:rsidR="00EA3E18" w14:paraId="148E018F" w14:textId="77777777" w:rsidTr="005D45EF">
        <w:trPr>
          <w:jc w:val="center"/>
        </w:trPr>
        <w:tc>
          <w:tcPr>
            <w:tcW w:w="2342" w:type="dxa"/>
            <w:shd w:val="clear" w:color="auto" w:fill="E7E6E6"/>
            <w:tcMar>
              <w:top w:w="80" w:type="dxa"/>
              <w:left w:w="90" w:type="dxa"/>
              <w:bottom w:w="80" w:type="dxa"/>
              <w:right w:w="90" w:type="dxa"/>
            </w:tcMar>
            <w:vAlign w:val="center"/>
          </w:tcPr>
          <w:p w14:paraId="576CB550" w14:textId="77777777" w:rsidR="00EA3E18" w:rsidRDefault="00000000">
            <w:pPr>
              <w:spacing w:before="40" w:after="40" w:line="240" w:lineRule="auto"/>
            </w:pPr>
            <w:r>
              <w:rPr>
                <w:b/>
                <w:sz w:val="20"/>
              </w:rPr>
              <w:t>Variable</w:t>
            </w:r>
          </w:p>
        </w:tc>
        <w:tc>
          <w:tcPr>
            <w:tcW w:w="2093" w:type="dxa"/>
            <w:shd w:val="clear" w:color="auto" w:fill="E7E6E6"/>
            <w:tcMar>
              <w:top w:w="80" w:type="dxa"/>
              <w:left w:w="90" w:type="dxa"/>
              <w:bottom w:w="80" w:type="dxa"/>
              <w:right w:w="90" w:type="dxa"/>
            </w:tcMar>
            <w:vAlign w:val="center"/>
          </w:tcPr>
          <w:p w14:paraId="0074998E" w14:textId="77777777" w:rsidR="00EA3E18" w:rsidRDefault="00000000">
            <w:pPr>
              <w:spacing w:before="40" w:after="40" w:line="240" w:lineRule="auto"/>
              <w:jc w:val="center"/>
            </w:pPr>
            <w:r>
              <w:rPr>
                <w:b/>
                <w:sz w:val="20"/>
              </w:rPr>
              <w:t>Negative control (C-)</w:t>
            </w:r>
          </w:p>
        </w:tc>
        <w:tc>
          <w:tcPr>
            <w:tcW w:w="1958" w:type="dxa"/>
            <w:shd w:val="clear" w:color="auto" w:fill="E7E6E6"/>
            <w:tcMar>
              <w:top w:w="80" w:type="dxa"/>
              <w:left w:w="90" w:type="dxa"/>
              <w:bottom w:w="80" w:type="dxa"/>
              <w:right w:w="90" w:type="dxa"/>
            </w:tcMar>
            <w:vAlign w:val="center"/>
          </w:tcPr>
          <w:p w14:paraId="143387BF" w14:textId="77777777" w:rsidR="00EA3E18" w:rsidRDefault="00000000">
            <w:pPr>
              <w:spacing w:before="40" w:after="40" w:line="240" w:lineRule="auto"/>
              <w:jc w:val="center"/>
            </w:pPr>
            <w:r>
              <w:rPr>
                <w:b/>
                <w:sz w:val="20"/>
              </w:rPr>
              <w:t>Positive control (C+)</w:t>
            </w:r>
          </w:p>
        </w:tc>
        <w:tc>
          <w:tcPr>
            <w:tcW w:w="1656" w:type="dxa"/>
            <w:shd w:val="clear" w:color="auto" w:fill="E7E6E6"/>
            <w:tcMar>
              <w:top w:w="80" w:type="dxa"/>
              <w:left w:w="90" w:type="dxa"/>
              <w:bottom w:w="80" w:type="dxa"/>
              <w:right w:w="90" w:type="dxa"/>
            </w:tcMar>
            <w:vAlign w:val="center"/>
          </w:tcPr>
          <w:p w14:paraId="17EB75D8" w14:textId="77777777" w:rsidR="00EA3E18" w:rsidRDefault="00000000">
            <w:pPr>
              <w:spacing w:before="40" w:after="40" w:line="240" w:lineRule="auto"/>
              <w:jc w:val="center"/>
            </w:pPr>
            <w:r>
              <w:rPr>
                <w:b/>
                <w:sz w:val="20"/>
              </w:rPr>
              <w:t>HBOT group (T)</w:t>
            </w:r>
          </w:p>
        </w:tc>
        <w:tc>
          <w:tcPr>
            <w:tcW w:w="936" w:type="dxa"/>
            <w:shd w:val="clear" w:color="auto" w:fill="E7E6E6"/>
            <w:tcMar>
              <w:top w:w="80" w:type="dxa"/>
              <w:left w:w="90" w:type="dxa"/>
              <w:bottom w:w="80" w:type="dxa"/>
              <w:right w:w="90" w:type="dxa"/>
            </w:tcMar>
            <w:vAlign w:val="center"/>
          </w:tcPr>
          <w:p w14:paraId="3F149B13" w14:textId="77777777" w:rsidR="00EA3E18" w:rsidRDefault="00000000">
            <w:pPr>
              <w:spacing w:before="40" w:after="40" w:line="240" w:lineRule="auto"/>
              <w:jc w:val="center"/>
            </w:pPr>
            <w:r w:rsidRPr="005D45EF">
              <w:rPr>
                <w:b/>
                <w:i/>
                <w:iCs/>
                <w:sz w:val="20"/>
              </w:rPr>
              <w:t>p</w:t>
            </w:r>
            <w:r>
              <w:rPr>
                <w:b/>
                <w:sz w:val="20"/>
              </w:rPr>
              <w:t xml:space="preserve"> value</w:t>
            </w:r>
          </w:p>
        </w:tc>
      </w:tr>
      <w:tr w:rsidR="00EA3E18" w14:paraId="4F53B4BD" w14:textId="77777777" w:rsidTr="005D45EF">
        <w:trPr>
          <w:jc w:val="center"/>
        </w:trPr>
        <w:tc>
          <w:tcPr>
            <w:tcW w:w="2342" w:type="dxa"/>
            <w:tcMar>
              <w:top w:w="80" w:type="dxa"/>
              <w:left w:w="90" w:type="dxa"/>
              <w:bottom w:w="80" w:type="dxa"/>
              <w:right w:w="90" w:type="dxa"/>
            </w:tcMar>
            <w:vAlign w:val="center"/>
          </w:tcPr>
          <w:p w14:paraId="26DE780F" w14:textId="77777777" w:rsidR="00EA3E18" w:rsidRDefault="00000000">
            <w:pPr>
              <w:spacing w:before="40" w:after="40" w:line="240" w:lineRule="auto"/>
            </w:pPr>
            <w:r>
              <w:rPr>
                <w:sz w:val="20"/>
              </w:rPr>
              <w:t>Amyloid-β (</w:t>
            </w:r>
            <w:proofErr w:type="spellStart"/>
            <w:r>
              <w:rPr>
                <w:sz w:val="20"/>
              </w:rPr>
              <w:t>pg</w:t>
            </w:r>
            <w:proofErr w:type="spellEnd"/>
            <w:r>
              <w:rPr>
                <w:sz w:val="20"/>
              </w:rPr>
              <w:t>/mL)</w:t>
            </w:r>
          </w:p>
        </w:tc>
        <w:tc>
          <w:tcPr>
            <w:tcW w:w="2093" w:type="dxa"/>
            <w:tcMar>
              <w:top w:w="80" w:type="dxa"/>
              <w:left w:w="90" w:type="dxa"/>
              <w:bottom w:w="80" w:type="dxa"/>
              <w:right w:w="90" w:type="dxa"/>
            </w:tcMar>
            <w:vAlign w:val="center"/>
          </w:tcPr>
          <w:p w14:paraId="3FB09843" w14:textId="77777777" w:rsidR="00EA3E18" w:rsidRDefault="00000000">
            <w:pPr>
              <w:spacing w:before="40" w:after="40" w:line="240" w:lineRule="auto"/>
              <w:jc w:val="center"/>
            </w:pPr>
            <w:r>
              <w:rPr>
                <w:sz w:val="20"/>
              </w:rPr>
              <w:t>46.13±5.21</w:t>
            </w:r>
          </w:p>
        </w:tc>
        <w:tc>
          <w:tcPr>
            <w:tcW w:w="1958" w:type="dxa"/>
            <w:tcMar>
              <w:top w:w="80" w:type="dxa"/>
              <w:left w:w="90" w:type="dxa"/>
              <w:bottom w:w="80" w:type="dxa"/>
              <w:right w:w="90" w:type="dxa"/>
            </w:tcMar>
            <w:vAlign w:val="center"/>
          </w:tcPr>
          <w:p w14:paraId="74CE20BF" w14:textId="77777777" w:rsidR="00EA3E18" w:rsidRDefault="00000000">
            <w:pPr>
              <w:spacing w:before="40" w:after="40" w:line="240" w:lineRule="auto"/>
              <w:jc w:val="center"/>
            </w:pPr>
            <w:r>
              <w:rPr>
                <w:sz w:val="20"/>
              </w:rPr>
              <w:t>188.41±36.11</w:t>
            </w:r>
          </w:p>
        </w:tc>
        <w:tc>
          <w:tcPr>
            <w:tcW w:w="1656" w:type="dxa"/>
            <w:tcMar>
              <w:top w:w="80" w:type="dxa"/>
              <w:left w:w="90" w:type="dxa"/>
              <w:bottom w:w="80" w:type="dxa"/>
              <w:right w:w="90" w:type="dxa"/>
            </w:tcMar>
            <w:vAlign w:val="center"/>
          </w:tcPr>
          <w:p w14:paraId="22CB3A7F" w14:textId="77777777" w:rsidR="00EA3E18" w:rsidRDefault="00000000">
            <w:pPr>
              <w:spacing w:before="40" w:after="40" w:line="240" w:lineRule="auto"/>
              <w:jc w:val="center"/>
            </w:pPr>
            <w:r>
              <w:rPr>
                <w:sz w:val="20"/>
              </w:rPr>
              <w:t>63.21±8.19</w:t>
            </w:r>
          </w:p>
        </w:tc>
        <w:tc>
          <w:tcPr>
            <w:tcW w:w="936" w:type="dxa"/>
            <w:tcMar>
              <w:top w:w="80" w:type="dxa"/>
              <w:left w:w="90" w:type="dxa"/>
              <w:bottom w:w="80" w:type="dxa"/>
              <w:right w:w="90" w:type="dxa"/>
            </w:tcMar>
            <w:vAlign w:val="center"/>
          </w:tcPr>
          <w:p w14:paraId="698FDE65" w14:textId="77777777" w:rsidR="00EA3E18" w:rsidRDefault="00000000">
            <w:pPr>
              <w:spacing w:before="40" w:after="40" w:line="240" w:lineRule="auto"/>
              <w:jc w:val="center"/>
            </w:pPr>
            <w:r>
              <w:rPr>
                <w:sz w:val="20"/>
              </w:rPr>
              <w:t>&lt;0.001</w:t>
            </w:r>
          </w:p>
        </w:tc>
      </w:tr>
      <w:tr w:rsidR="00EA3E18" w14:paraId="72AD36F3" w14:textId="77777777" w:rsidTr="005D45EF">
        <w:trPr>
          <w:jc w:val="center"/>
        </w:trPr>
        <w:tc>
          <w:tcPr>
            <w:tcW w:w="2342" w:type="dxa"/>
            <w:tcMar>
              <w:top w:w="80" w:type="dxa"/>
              <w:left w:w="90" w:type="dxa"/>
              <w:bottom w:w="80" w:type="dxa"/>
              <w:right w:w="90" w:type="dxa"/>
            </w:tcMar>
            <w:vAlign w:val="center"/>
          </w:tcPr>
          <w:p w14:paraId="59498DA7" w14:textId="77777777" w:rsidR="00EA3E18" w:rsidRDefault="00000000">
            <w:pPr>
              <w:spacing w:before="40" w:after="40" w:line="240" w:lineRule="auto"/>
            </w:pPr>
            <w:proofErr w:type="spellStart"/>
            <w:r>
              <w:rPr>
                <w:sz w:val="20"/>
              </w:rPr>
              <w:t>MAPTau</w:t>
            </w:r>
            <w:proofErr w:type="spellEnd"/>
          </w:p>
        </w:tc>
        <w:tc>
          <w:tcPr>
            <w:tcW w:w="2093" w:type="dxa"/>
            <w:tcMar>
              <w:top w:w="80" w:type="dxa"/>
              <w:left w:w="90" w:type="dxa"/>
              <w:bottom w:w="80" w:type="dxa"/>
              <w:right w:w="90" w:type="dxa"/>
            </w:tcMar>
            <w:vAlign w:val="center"/>
          </w:tcPr>
          <w:p w14:paraId="75CC1515" w14:textId="77777777" w:rsidR="00EA3E18" w:rsidRDefault="00000000">
            <w:pPr>
              <w:spacing w:before="40" w:after="40" w:line="240" w:lineRule="auto"/>
              <w:jc w:val="center"/>
            </w:pPr>
            <w:r>
              <w:rPr>
                <w:sz w:val="20"/>
              </w:rPr>
              <w:t>0.15±0.06</w:t>
            </w:r>
          </w:p>
        </w:tc>
        <w:tc>
          <w:tcPr>
            <w:tcW w:w="1958" w:type="dxa"/>
            <w:tcMar>
              <w:top w:w="80" w:type="dxa"/>
              <w:left w:w="90" w:type="dxa"/>
              <w:bottom w:w="80" w:type="dxa"/>
              <w:right w:w="90" w:type="dxa"/>
            </w:tcMar>
            <w:vAlign w:val="center"/>
          </w:tcPr>
          <w:p w14:paraId="3151C988" w14:textId="77777777" w:rsidR="00EA3E18" w:rsidRDefault="00000000">
            <w:pPr>
              <w:spacing w:before="40" w:after="40" w:line="240" w:lineRule="auto"/>
              <w:jc w:val="center"/>
            </w:pPr>
            <w:r>
              <w:rPr>
                <w:sz w:val="20"/>
              </w:rPr>
              <w:t>0.52±0.23</w:t>
            </w:r>
          </w:p>
        </w:tc>
        <w:tc>
          <w:tcPr>
            <w:tcW w:w="1656" w:type="dxa"/>
            <w:tcMar>
              <w:top w:w="80" w:type="dxa"/>
              <w:left w:w="90" w:type="dxa"/>
              <w:bottom w:w="80" w:type="dxa"/>
              <w:right w:w="90" w:type="dxa"/>
            </w:tcMar>
            <w:vAlign w:val="center"/>
          </w:tcPr>
          <w:p w14:paraId="29AD2679" w14:textId="77777777" w:rsidR="00EA3E18" w:rsidRDefault="00000000">
            <w:pPr>
              <w:spacing w:before="40" w:after="40" w:line="240" w:lineRule="auto"/>
              <w:jc w:val="center"/>
            </w:pPr>
            <w:r>
              <w:rPr>
                <w:sz w:val="20"/>
              </w:rPr>
              <w:t>0.26±0.08</w:t>
            </w:r>
          </w:p>
        </w:tc>
        <w:tc>
          <w:tcPr>
            <w:tcW w:w="936" w:type="dxa"/>
            <w:tcMar>
              <w:top w:w="80" w:type="dxa"/>
              <w:left w:w="90" w:type="dxa"/>
              <w:bottom w:w="80" w:type="dxa"/>
              <w:right w:w="90" w:type="dxa"/>
            </w:tcMar>
            <w:vAlign w:val="center"/>
          </w:tcPr>
          <w:p w14:paraId="72A9AF0B" w14:textId="77777777" w:rsidR="00EA3E18" w:rsidRDefault="00000000">
            <w:pPr>
              <w:spacing w:before="40" w:after="40" w:line="240" w:lineRule="auto"/>
              <w:jc w:val="center"/>
            </w:pPr>
            <w:r>
              <w:rPr>
                <w:sz w:val="20"/>
              </w:rPr>
              <w:t>&lt;0.001</w:t>
            </w:r>
          </w:p>
        </w:tc>
      </w:tr>
      <w:tr w:rsidR="00EA3E18" w14:paraId="62104C3D" w14:textId="77777777" w:rsidTr="005D45EF">
        <w:trPr>
          <w:jc w:val="center"/>
        </w:trPr>
        <w:tc>
          <w:tcPr>
            <w:tcW w:w="2342" w:type="dxa"/>
            <w:tcMar>
              <w:top w:w="80" w:type="dxa"/>
              <w:left w:w="90" w:type="dxa"/>
              <w:bottom w:w="80" w:type="dxa"/>
              <w:right w:w="90" w:type="dxa"/>
            </w:tcMar>
            <w:vAlign w:val="center"/>
          </w:tcPr>
          <w:p w14:paraId="7A21EF27" w14:textId="77777777" w:rsidR="00EA3E18" w:rsidRDefault="00000000">
            <w:pPr>
              <w:spacing w:before="40" w:after="40" w:line="240" w:lineRule="auto"/>
            </w:pPr>
            <w:r>
              <w:rPr>
                <w:sz w:val="20"/>
              </w:rPr>
              <w:t>Spatial working memory (%)</w:t>
            </w:r>
          </w:p>
        </w:tc>
        <w:tc>
          <w:tcPr>
            <w:tcW w:w="2093" w:type="dxa"/>
            <w:tcMar>
              <w:top w:w="80" w:type="dxa"/>
              <w:left w:w="90" w:type="dxa"/>
              <w:bottom w:w="80" w:type="dxa"/>
              <w:right w:w="90" w:type="dxa"/>
            </w:tcMar>
            <w:vAlign w:val="center"/>
          </w:tcPr>
          <w:p w14:paraId="02E09426" w14:textId="77777777" w:rsidR="00EA3E18" w:rsidRDefault="00000000">
            <w:pPr>
              <w:spacing w:before="40" w:after="40" w:line="240" w:lineRule="auto"/>
              <w:jc w:val="center"/>
            </w:pPr>
            <w:r>
              <w:rPr>
                <w:sz w:val="20"/>
              </w:rPr>
              <w:t>68.00±5.08</w:t>
            </w:r>
          </w:p>
        </w:tc>
        <w:tc>
          <w:tcPr>
            <w:tcW w:w="1958" w:type="dxa"/>
            <w:tcMar>
              <w:top w:w="80" w:type="dxa"/>
              <w:left w:w="90" w:type="dxa"/>
              <w:bottom w:w="80" w:type="dxa"/>
              <w:right w:w="90" w:type="dxa"/>
            </w:tcMar>
            <w:vAlign w:val="center"/>
          </w:tcPr>
          <w:p w14:paraId="7CA01559" w14:textId="77777777" w:rsidR="00EA3E18" w:rsidRDefault="00000000">
            <w:pPr>
              <w:spacing w:before="40" w:after="40" w:line="240" w:lineRule="auto"/>
              <w:jc w:val="center"/>
            </w:pPr>
            <w:r>
              <w:rPr>
                <w:sz w:val="20"/>
              </w:rPr>
              <w:t>31.14±18.87</w:t>
            </w:r>
          </w:p>
        </w:tc>
        <w:tc>
          <w:tcPr>
            <w:tcW w:w="1656" w:type="dxa"/>
            <w:tcMar>
              <w:top w:w="80" w:type="dxa"/>
              <w:left w:w="90" w:type="dxa"/>
              <w:bottom w:w="80" w:type="dxa"/>
              <w:right w:w="90" w:type="dxa"/>
            </w:tcMar>
            <w:vAlign w:val="center"/>
          </w:tcPr>
          <w:p w14:paraId="245FE33C" w14:textId="77777777" w:rsidR="00EA3E18" w:rsidRDefault="00000000">
            <w:pPr>
              <w:spacing w:before="40" w:after="40" w:line="240" w:lineRule="auto"/>
              <w:jc w:val="center"/>
            </w:pPr>
            <w:r>
              <w:rPr>
                <w:sz w:val="20"/>
              </w:rPr>
              <w:t>52.09±14.03</w:t>
            </w:r>
          </w:p>
        </w:tc>
        <w:tc>
          <w:tcPr>
            <w:tcW w:w="936" w:type="dxa"/>
            <w:tcMar>
              <w:top w:w="80" w:type="dxa"/>
              <w:left w:w="90" w:type="dxa"/>
              <w:bottom w:w="80" w:type="dxa"/>
              <w:right w:w="90" w:type="dxa"/>
            </w:tcMar>
            <w:vAlign w:val="center"/>
          </w:tcPr>
          <w:p w14:paraId="0D9D2E92" w14:textId="77777777" w:rsidR="00EA3E18" w:rsidRDefault="00000000">
            <w:pPr>
              <w:spacing w:before="40" w:after="40" w:line="240" w:lineRule="auto"/>
              <w:jc w:val="center"/>
            </w:pPr>
            <w:r>
              <w:rPr>
                <w:sz w:val="20"/>
              </w:rPr>
              <w:t>&lt;0.001</w:t>
            </w:r>
          </w:p>
        </w:tc>
      </w:tr>
    </w:tbl>
    <w:p w14:paraId="264998A7" w14:textId="77777777" w:rsidR="00EA3E18" w:rsidRDefault="00000000">
      <w:pPr>
        <w:spacing w:before="100"/>
      </w:pPr>
      <w:r>
        <w:rPr>
          <w:sz w:val="18"/>
        </w:rPr>
        <w:t xml:space="preserve">Abbreviations: C−, negative control; C+, positive control; T, hyperbaric oxygen therapy group; </w:t>
      </w:r>
      <w:proofErr w:type="spellStart"/>
      <w:r>
        <w:rPr>
          <w:sz w:val="18"/>
        </w:rPr>
        <w:t>MAPTau</w:t>
      </w:r>
      <w:proofErr w:type="spellEnd"/>
      <w:r>
        <w:rPr>
          <w:sz w:val="18"/>
        </w:rPr>
        <w:t>, microtubule-associated protein tau.</w:t>
      </w:r>
    </w:p>
    <w:p w14:paraId="707205FF" w14:textId="77777777" w:rsidR="00A703B5" w:rsidRDefault="00000000">
      <w:pPr>
        <w:pageBreakBefore/>
        <w:spacing w:before="160" w:after="60"/>
      </w:pPr>
      <w:r>
        <w:rPr>
          <w:b/>
        </w:rPr>
        <w:lastRenderedPageBreak/>
        <w:t>FIGURE LEGEND</w:t>
      </w:r>
    </w:p>
    <w:p w14:paraId="615D04D7" w14:textId="77777777" w:rsidR="00A703B5" w:rsidRDefault="00000000">
      <w:pPr>
        <w:jc w:val="both"/>
      </w:pPr>
      <w:r>
        <w:t xml:space="preserve">Figure 1. Group distribution of salivary amyloid-β, </w:t>
      </w:r>
      <w:proofErr w:type="spellStart"/>
      <w:r>
        <w:t>MAPTau</w:t>
      </w:r>
      <w:proofErr w:type="spellEnd"/>
      <w:r>
        <w:t xml:space="preserve">, and Week 9 spatial working memory. C-, negative control; C+, positive control with Porphyromonas gingivalis induction; T, Porphyromonas gingivalis induction followed by hyperbaric oxygen therapy; Aβ, amyloid-β; </w:t>
      </w:r>
      <w:proofErr w:type="spellStart"/>
      <w:r>
        <w:t>MAPTau</w:t>
      </w:r>
      <w:proofErr w:type="spellEnd"/>
      <w:r>
        <w:t>, microtubule-associated protein tau.</w:t>
      </w:r>
    </w:p>
    <w:sectPr w:rsidR="00A703B5" w:rsidSect="00034616">
      <w:head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E54F9" w14:textId="77777777" w:rsidR="002700B7" w:rsidRDefault="002700B7">
      <w:pPr>
        <w:spacing w:line="240" w:lineRule="auto"/>
      </w:pPr>
      <w:r>
        <w:separator/>
      </w:r>
    </w:p>
  </w:endnote>
  <w:endnote w:type="continuationSeparator" w:id="0">
    <w:p w14:paraId="06EA6651" w14:textId="77777777" w:rsidR="002700B7" w:rsidRDefault="002700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437AF" w14:textId="77777777" w:rsidR="002700B7" w:rsidRDefault="002700B7">
      <w:pPr>
        <w:spacing w:line="240" w:lineRule="auto"/>
      </w:pPr>
      <w:r>
        <w:separator/>
      </w:r>
    </w:p>
  </w:footnote>
  <w:footnote w:type="continuationSeparator" w:id="0">
    <w:p w14:paraId="1B12DDF6" w14:textId="77777777" w:rsidR="002700B7" w:rsidRDefault="002700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1BA7" w14:textId="77777777" w:rsidR="00A703B5" w:rsidRDefault="00000000">
    <w:pPr>
      <w:pStyle w:val="Header"/>
      <w:jc w:val="right"/>
    </w:pPr>
    <w:r>
      <w:fldChar w:fldCharType="begin"/>
    </w:r>
    <w:r>
      <w:instrText xml:space="preserve"> PAGE </w:instrText>
    </w:r>
    <w:r>
      <w:fldChar w:fldCharType="separate"/>
    </w:r>
    <w:r w:rsidR="00BF247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C3D94"/>
    <w:multiLevelType w:val="hybridMultilevel"/>
    <w:tmpl w:val="117C08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28423713">
    <w:abstractNumId w:val="8"/>
  </w:num>
  <w:num w:numId="2" w16cid:durableId="1048379814">
    <w:abstractNumId w:val="6"/>
  </w:num>
  <w:num w:numId="3" w16cid:durableId="1483348966">
    <w:abstractNumId w:val="5"/>
  </w:num>
  <w:num w:numId="4" w16cid:durableId="1279529325">
    <w:abstractNumId w:val="4"/>
  </w:num>
  <w:num w:numId="5" w16cid:durableId="1835488378">
    <w:abstractNumId w:val="7"/>
  </w:num>
  <w:num w:numId="6" w16cid:durableId="172303084">
    <w:abstractNumId w:val="3"/>
  </w:num>
  <w:num w:numId="7" w16cid:durableId="2003048156">
    <w:abstractNumId w:val="2"/>
  </w:num>
  <w:num w:numId="8" w16cid:durableId="808474195">
    <w:abstractNumId w:val="1"/>
  </w:num>
  <w:num w:numId="9" w16cid:durableId="894245159">
    <w:abstractNumId w:val="0"/>
  </w:num>
  <w:num w:numId="10" w16cid:durableId="20844476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0B7"/>
    <w:rsid w:val="0029639D"/>
    <w:rsid w:val="00326F90"/>
    <w:rsid w:val="005D45EF"/>
    <w:rsid w:val="00847D76"/>
    <w:rsid w:val="00A703B5"/>
    <w:rsid w:val="00AA1D8D"/>
    <w:rsid w:val="00B47730"/>
    <w:rsid w:val="00BF2471"/>
    <w:rsid w:val="00C4648A"/>
    <w:rsid w:val="00CB0664"/>
    <w:rsid w:val="00E765D7"/>
    <w:rsid w:val="00EA3E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E12CD"/>
  <w14:defaultImageDpi w14:val="300"/>
  <w15:docId w15:val="{8245C336-8321-4E9E-BC62-2EA9908B8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2981</Words>
  <Characters>16995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Salivary Amyloid-β, Tau, and Spatial Working Memory After Hyperbaric Oxygen Therapy in Experimental Periodontitis</dc:title>
  <dc:subject/>
  <dc:creator/>
  <cp:keywords/>
  <dc:description/>
  <cp:lastModifiedBy>PT ANOA MANDIRI SEJAHTERA</cp:lastModifiedBy>
  <cp:revision>3</cp:revision>
  <dcterms:created xsi:type="dcterms:W3CDTF">2013-12-23T23:15:00Z</dcterms:created>
  <dcterms:modified xsi:type="dcterms:W3CDTF">2026-10-19T07:57:00Z</dcterms:modified>
  <cp:category/>
</cp:coreProperties>
</file>