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Times New Roman" w:hAnsi="Times New Roman" w:eastAsia="Times New Roman"/>
          <w:b/>
          <w:sz w:val="24"/>
        </w:rPr>
        <w:t>Table 1. Salivary amyloid-β, MAPTau, and spatial working memory across experimental groups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7E6E6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Variable</w:t>
            </w:r>
          </w:p>
        </w:tc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7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Negative control (C-)</w:t>
            </w:r>
          </w:p>
        </w:tc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7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Positive control (C+)</w:t>
            </w:r>
          </w:p>
        </w:tc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7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HBOT group (T)</w:t>
            </w:r>
          </w:p>
        </w:tc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7E6E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 value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Amyloid-β (pg/mL)</w:t>
            </w:r>
          </w:p>
        </w:tc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46.13±5.21</w:t>
            </w:r>
          </w:p>
        </w:tc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188.41±36.11</w:t>
            </w:r>
          </w:p>
        </w:tc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63.21±8.19</w:t>
            </w:r>
          </w:p>
        </w:tc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&lt;0.001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MAPTau</w:t>
            </w:r>
          </w:p>
        </w:tc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0.15±0.06</w:t>
            </w:r>
          </w:p>
        </w:tc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0.52±0.23</w:t>
            </w:r>
          </w:p>
        </w:tc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0.26±0.08</w:t>
            </w:r>
          </w:p>
        </w:tc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&lt;0.001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Spatial working memory (%)</w:t>
            </w:r>
          </w:p>
        </w:tc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68.00±5.08</w:t>
            </w:r>
          </w:p>
        </w:tc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31.14±18.87</w:t>
            </w:r>
          </w:p>
        </w:tc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52.09±14.03</w:t>
            </w:r>
          </w:p>
        </w:tc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&lt;0.001</w:t>
            </w:r>
          </w:p>
        </w:tc>
      </w:tr>
    </w:tbl>
    <w:p>
      <w:pPr>
        <w:spacing w:before="120" w:line="276" w:lineRule="auto"/>
      </w:pPr>
      <w:r>
        <w:rPr>
          <w:rFonts w:ascii="Times New Roman" w:hAnsi="Times New Roman" w:eastAsia="Times New Roman"/>
          <w:sz w:val="20"/>
        </w:rPr>
        <w:t>Values are mean±standard deviation. MAPTau, microtubule-associated protein tau; HBOT, hyperbaric oxygen therapy. The p value represents the overall between-group comparison by one-way analysis of variance. Salivary biomarker samples were collected according to the group-specific schedule described in Materials and Methods; spatial working memory values are Week 9 scores.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