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STROBE checklist for the case control study</w:t>
      </w:r>
    </w:p>
    <w:p>
      <w:r>
        <w:rPr>
          <w:b/>
        </w:rPr>
        <w:t xml:space="preserve">Manuscript: </w:t>
      </w:r>
      <w:r>
        <w:t>Population-specific distribution of transcription factor 7-like 2 rs12255372 in Indonesian adults with and without Type 2 diabetes</w:t>
      </w:r>
    </w:p>
    <w:p>
      <w:r>
        <w:t>This completed checklist maps all 22 STROBE items and their subitems to the current manuscript. Reporting elements are abridged; notes distinguish reported information, incomplete reporting and items that do not apply.</w:t>
      </w:r>
    </w:p>
    <w:p>
      <w:r>
        <w:t>Page references follow the current 16-page manuscript, including title material, references, tables and the figure legend. They may change after further editing. An asterisk indicates information to present separately for cases and controls.</w:t>
      </w:r>
    </w:p>
    <w:tbl>
      <w:tblPr>
        <w:tblW w:type="auto" w:w="0"/>
        <w:jc w:val="center"/>
        <w:tblLayout w:type="fixed"/>
        <w:tblLook w:firstColumn="1" w:firstRow="1" w:lastColumn="0" w:lastRow="0" w:noHBand="0" w:noVBand="1" w:val="04A0"/>
      </w:tblPr>
      <w:tblGrid>
        <w:gridCol w:w="2232"/>
        <w:gridCol w:w="1728"/>
        <w:gridCol w:w="5976"/>
      </w:tblGrid>
      <w:tr>
        <w:trPr>
          <w:tblHeader/>
        </w:trPr>
        <w:tc>
          <w:tcPr>
            <w:tcW w:type="dxa" w:w="2232"/>
            <w:shd w:fill="E7E6E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STROBE item and element</w:t>
            </w:r>
          </w:p>
        </w:tc>
        <w:tc>
          <w:tcPr>
            <w:tcW w:type="dxa" w:w="1728"/>
            <w:shd w:fill="E7E6E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Manuscript location</w:t>
            </w:r>
          </w:p>
        </w:tc>
        <w:tc>
          <w:tcPr>
            <w:tcW w:type="dxa" w:w="5976"/>
            <w:shd w:fill="E7E6E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Reported information and notes</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1a  Design in title or abstract</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 3</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The Abstract identifies the study as case-control.</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1b  Balanced abstract</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 3</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Aims, methods, results and conclusions are presented, including sample composition, effect estimates and the need for larger studies.</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2  Scientific rationale</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3–4</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The Introduction explains population differences in genetic associations and the limited Indonesian evidence for rs12255372.</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3  Objectives and hypotheses</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 4</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Objectives reported. The study examines rs12255372 distribution and associations with Type 2 diabetes, C-peptide and HOMA-IR. No explicitly prespecified hypothesis is stated.</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4  Study design</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4–5</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An observational case-control design is described early in Methods. The Type 1 diabetes group is a descriptive metabolic comparison group.</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5  Setting and relevant dates</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4–5</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Recruitment and blood collection occurred in Samarinda during July–December 2025; laboratory examinations were performed at HUM-RC, Hasanuddin University, Makassar. Recruitment facilities are referred to as those specified in the protocol.</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6a  Eligibility, selection and rationale</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4–5</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Partially reported. Age, consent, exclusions, diagnostic basis and protocol-based recruitment are described. Cases have Type 2 diabetes and controls have no diabetes history with non-diabetic fasting glucose. The specific recruitment technique and a detailed rationale for case/control selection are not stated.</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6b  Matching criteria and ratio</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 9</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Not applicable. The Discussion states that cases and controls were not matched for age or sex.</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7  Variables and diagnostic criteria</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5–7</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with limited diagnostic detail. Genotype, diabetes status, biochemical outcomes and adjustment variables are described. Type 2 diabetes diagnosis refers to ADA 2025 criteria; a numerical fasting-glucose threshold for control eligibility is not specified.</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8*  Data sources and measurement comparability</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5–6</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Fasting blood collection, biochemical instruments, HOMA-IR calculation, DNA extraction, PCR and Sanger sequencing are described as common study procedures. All 181 amplified samples underwent sequencing.</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9  Bias mitigation</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5–7, 9</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Partially reported. Shared measurement procedures and adjustment for age, BMI and sex are described. Residual confounding and recruitment from one region are discussed; further specific measures against selection or information bias are not reported.</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10  Study size basis</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4–5</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The study size reflects all eligible participants recruited during the study period with required study data: 181 enrolled. An a priori power or sample-size calculation is not reported.</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11  Quantitative variable handling</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6–7</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Continuous data use means with SDs or medians with IQRs, according to distribution. Age and BMI enter logistic regression as continuous variables; genotype and sex coding are specified. No categorisation of continuous variables is reported.</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12a  Statistical methods and confounding</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6–7</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ANOVA, Kruskal-Wallis, Fisher’s exact, Mann-Whitney and Hardy-Weinberg testing are described. Logistic regression adjusts genotype association for age, BMI and sex; ORs and 95% CIs are reported.</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12b  Subgroup and interaction methods</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 6</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Partially reported. Exploratory genotype-phenotype comparisons use the Mann-Whitney U test. Formal subgroup or interaction modelling is not reported.</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12c  Missing-data handling</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5–6</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handling. Participants lacking information required for a particular analysis are excluded from that analysis. Per-variable missing counts and exact numbers for every outcome-specific analysis are not reported; see items 13a and 14b.</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12d  Matching in analysis</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6–7, 9</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Not applicable. Cases and controls were unmatched; the analysis uses multivariable adjustment rather than matched analysis.</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12e  Sensitivity-analysis methods</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Not reported</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No sensitivity-analysis methods are reported in the manuscript.</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13a*  Participant numbers at each stage</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4–7; Tables 1–2, pp. 12–13</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Partially reported. Enrolment is 111 Type 2 diabetes cases, 60 controls and 10 Type 1 diabetes participants. Table 2 reports genotypes for all cases and controls. Screening/exclusion counts and exact numbers for all outcome-specific analyses are not provided.</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13b*  Reasons for non-participation</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Not reported</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Eligibility exclusions are listed in Methods, but actual reasons or counts for non-participation at recruitment stages are not reported.</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13c*  Participant flow diagram</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Not included</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No participant flow diagram is included. Figure 1 contains representative sequencing chromatograms. The checklist recommends considering a flow diagram.</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14a*  Characteristics, exposures and confounders</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 7; Table 1, p. 12</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Clinical and biochemical characteristics are tabulated separately for Type 2 diabetes cases, controls and the descriptive Type 1 diabetes group, including age, sex, BMI and metabolic measurements.</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14b*  Missing counts per variable</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Not reported; related text pp. 5–6, 12, 14</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Not reported. Available-data analysis is described, and table headings identify enrolled/genotype group sizes. Missing counts for each variable are not provided separately for cases and controls.</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15*  Exposure categories or summaries</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 7; Table 2, p. 13</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Genotype and allele frequencies are presented separately for cases and controls: GT in 4/111 cases and 2/60 controls; no TT genotype detected.</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16a  Crude and adjusted estimates with precision</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7–9; Tables 2 and 4, pp. 13, 15</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Crude genotype OR and adjusted ORs with 95% CIs are provided. The model includes age, BMI and sex; the Discussion explains adjustment in relation to group imbalance.</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16b  Continuous category boundaries</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Not applicable</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No analyses based on categorised continuous variables are reported. Genotype and sex coding are stated in Statistical analysis.</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16c  Relative to absolute risk</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Not applicable</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This case-control study reports odds ratios. Absolute risks over a defined follow-up period are not reported.</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17  Additional analyses</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7–8; Table 3, p. 14</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for exploratory analyses. C-peptide and HOMA-IR are compared by genotype within the genotyped cohort, including the Type 1 diabetes descriptive group. Interaction and sensitivity-analysis results are not reported.</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18  Key findings against objectives</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8–9</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The Discussion summarises the rare T allele and the absence of detectable associations with Type 2 diabetes, C-peptide and HOMA-IR.</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19  Limitations and bias impact</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8–9</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limitations. These include rare minor alleles, imprecise estimates, one variant, modest size, one region, unmatched groups, inclusion of Type 1 diabetes in exploratory analyses and absent ancestry markers. Potential effects are discussed qualitatively; bias direction and magnitude are not quantified.</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20  Cautious overall interpretation</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pp. 8–9</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Findings are interpreted against other populations and biological evidence. The manuscript distinguishes non-significant results from equivalence and treats clinical associations and exploratory comparisons cautiously.</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21  Generalisability</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 9</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Reported. Recruitment from one Indonesian region and modest sample size limit wider generalisability; larger multicentre studies with broader representation are proposed.</w:t>
            </w:r>
          </w:p>
        </w:tc>
      </w:tr>
      <w:tr>
        <w:trPr>
          <w:cantSplit/>
        </w:trPr>
        <w:tc>
          <w:tcPr>
            <w:tcW w:type="dxa" w:w="2232"/>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b/>
                <w:sz w:val="20"/>
              </w:rPr>
              <w:t>22  Funding and funder role</w:t>
            </w:r>
          </w:p>
        </w:tc>
        <w:tc>
          <w:tcPr>
            <w:tcW w:type="dxa" w:w="1728"/>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 2</w:t>
            </w:r>
          </w:p>
        </w:tc>
        <w:tc>
          <w:tcPr>
            <w:tcW w:type="dxa" w:w="5976"/>
            <w:vAlign w:val="center"/>
            <w:tcMar>
              <w:top w:w="95" w:type="dxa"/>
              <w:bottom w:w="95" w:type="dxa"/>
              <w:left w:w="100" w:type="dxa"/>
              <w:right w:w="100" w:type="dxa"/>
            </w:tcMar>
            <w:tcBorders>
              <w:top w:val="single" w:sz="4" w:color="D9D9D9"/>
              <w:left w:val="single" w:sz="4" w:color="D9D9D9"/>
              <w:bottom w:val="single" w:sz="4" w:color="D9D9D9"/>
              <w:right w:val="single" w:sz="4" w:color="D9D9D9"/>
            </w:tcBorders>
          </w:tcPr>
          <w:p>
            <w:pPr>
              <w:keepNext w:val="0"/>
              <w:spacing w:after="0" w:line="240" w:lineRule="auto"/>
            </w:pPr>
            <w:r>
              <w:rPr>
                <w:sz w:val="20"/>
              </w:rPr>
              <w:t>Partially reported. Acknowledgements identify the Pendidikan GratisPol Generasi Emas Scholarship Program of the Government of East Kalimantan Province. The funder’s role in study design, conduct, analysis and publication is not specified.</w:t>
            </w:r>
          </w:p>
        </w:tc>
      </w:tr>
    </w:tbl>
    <w:p>
      <w:pPr>
        <w:spacing w:before="200"/>
      </w:pPr>
      <w:r>
        <w:rPr>
          <w:b/>
        </w:rPr>
        <w:t xml:space="preserve">Source: </w:t>
      </w:r>
      <w:r>
        <w:t>STROBE Initiative, case-control checklist, https://www.strobe-statement.org/checklists/. Reporting elements abridged and manuscript-specific notes added.</w:t>
      </w:r>
    </w:p>
    <w:p>
      <w:r>
        <w:t>Reference: von Elm E, Altman DG, Egger M, et al. The STROBE Statement. PLoS Med. 2007;4:e296. https://doi.org/10.1371/journal.pmed.0040296.</w:t>
      </w:r>
    </w:p>
    <w:sectPr w:rsidR="00FC693F" w:rsidRPr="0006063C" w:rsidSect="00034616">
      <w:footerReference w:type="default" r:id="rId9"/>
      <w:pgSz w:w="12240" w:h="15840"/>
      <w:pgMar w:top="936" w:right="1152" w:bottom="936" w:left="1152"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STROBE case control checklist for TCF7L2 rs12255372 study</dc:title>
  <dc:subject>Completed reporting checklist with manuscript page references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