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610C8" w14:textId="77777777" w:rsidR="000D65B8" w:rsidRDefault="00000000">
      <w:pPr>
        <w:pStyle w:val="Title"/>
      </w:pPr>
      <w:r>
        <w:rPr>
          <w:b w:val="0"/>
        </w:rPr>
        <w:t>A Systematic Review with Narrative Synthesis of Factors Associated with Quality of Life in People with Schizophrenia</w:t>
      </w:r>
    </w:p>
    <w:p w14:paraId="793EBE11" w14:textId="77777777" w:rsidR="000D65B8" w:rsidRDefault="00000000">
      <w:pPr>
        <w:pStyle w:val="Heading1"/>
      </w:pPr>
      <w:r>
        <w:t>Abstract</w:t>
      </w:r>
    </w:p>
    <w:p w14:paraId="770E844A" w14:textId="77777777" w:rsidR="000D65B8" w:rsidRDefault="00000000" w:rsidP="00556560">
      <w:pPr>
        <w:jc w:val="both"/>
      </w:pPr>
      <w:r>
        <w:t>Schizophrenia affects psychological, social, occupational, and independent functioning, making quality of life an important outcome alongside symptom control. This review examined demographic, social, and family factors associated with quality of life in people with schizophrenia using the documented original review and an updated narrative interpretation. The revised review scope comprised English-language, full-text publications from 2020–2026, drawing on PubMed, ScienceDirect, Google, and supplementary narrative evidence. The documented selection flow comprised 32,698 identified records, 389 relevant full-text records, 35 eligible articles, and 16 final entries. The narrative synthesis discusses 11 unique core evidence sources; the source documentation attributes the difference to articles appearing across more than one factor domain. Age and age at onset, sex, marital status, education, employment, income, and social or family support were examined. Earlier onset, older age in some cohorts, unemployment, financial constraints, and low social support were repeatedly associated with poorer quality of life. Negative symptoms, depression, anxiety, cognitive impairment, and treatment effects were also important. Associations with sex and marital status varied by context. Education appeared to operate partly through employment opportunities, health literacy, access to resources, and engagement with rehabilitation. Interpretation was limited by heterogeneous instruments and designs, single-reviewer screening and extraction, retrospective appraisal, and the absence of prospective protocol registration. These findings support integrating symptom management, vocational rehabilitation, family support, economic access, and standardised monitoring of quality of life. No new meta-analysis was performed.</w:t>
      </w:r>
    </w:p>
    <w:p w14:paraId="02F5FD4D" w14:textId="77777777" w:rsidR="000D65B8" w:rsidRDefault="00000000" w:rsidP="00556560">
      <w:pPr>
        <w:jc w:val="both"/>
      </w:pPr>
      <w:r>
        <w:rPr>
          <w:b/>
        </w:rPr>
        <w:t xml:space="preserve">Keywords </w:t>
      </w:r>
      <w:r>
        <w:t>schizophrenia; quality of life; sociodemographic factors; employment; family support; systematic review</w:t>
      </w:r>
    </w:p>
    <w:p w14:paraId="32033489" w14:textId="77777777" w:rsidR="000D65B8" w:rsidRDefault="00000000">
      <w:r>
        <w:br w:type="page"/>
      </w:r>
    </w:p>
    <w:p w14:paraId="40034323" w14:textId="77777777" w:rsidR="000D65B8" w:rsidRDefault="00000000">
      <w:pPr>
        <w:pStyle w:val="Heading1"/>
      </w:pPr>
      <w:r>
        <w:lastRenderedPageBreak/>
        <w:t>1 Introduction</w:t>
      </w:r>
    </w:p>
    <w:p w14:paraId="58337E9D" w14:textId="77777777" w:rsidR="000D65B8" w:rsidRDefault="00000000" w:rsidP="00556560">
      <w:pPr>
        <w:jc w:val="both"/>
      </w:pPr>
      <w:r>
        <w:t>Schizophrenia often follows a prolonged course and affects thinking, emotional regulation, relationships, employment, and daily functioning. Treatment success therefore needs to be assessed beyond reductions in hallucinations or delusions. In recovery-oriented care, quality of life is an important outcome alongside symptom remission because it reflects how people perceive their physical and psychological health, social relationships, environment, independence, and sense of meaning. A global meta-analysis reported impaired quality of life across several domains, with variation related to patient characteristics and service contexts (Hoseinipalangi et al., 2022). A more recent longitudinal meta-analysis found that subjective quality of life and personal recovery in schizophrenia-spectrum disorders may improve over time, although average changes were small and recovery trajectories were heterogeneous (de Winter et al., 2025).</w:t>
      </w:r>
    </w:p>
    <w:p w14:paraId="4A8D3243" w14:textId="77777777" w:rsidR="000D65B8" w:rsidRDefault="00000000" w:rsidP="00556560">
      <w:pPr>
        <w:jc w:val="both"/>
      </w:pPr>
      <w:r>
        <w:t>People with apparently similar symptom severity may have very different experiences of daily life. Family support, meaningful employment, sufficient income, and access to rehabilitation may support social functioning, whereas isolation and financial constraints may undermine it. A cohort study in primary mental health care in China showed that quality of life changed over time in association with age, age at onset, employment, marital status, insomnia, depressive and negative symptoms, insight into treatment, and treatment characteristics (He et al., 2022). Another cohort study indicated that subjective quality of life was dynamic and that older age at onset was associated with a greater likelihood of improvement (Migliorini et al., 2024).</w:t>
      </w:r>
    </w:p>
    <w:p w14:paraId="25CE1D64" w14:textId="77777777" w:rsidR="000D65B8" w:rsidRDefault="00000000" w:rsidP="00556560">
      <w:pPr>
        <w:jc w:val="both"/>
      </w:pPr>
      <w:r>
        <w:t>Measurement also affects how quality-of-life findings are interpreted. WHOQOL-BREF assesses physical health, psychological health, social relationships, and the environment, whereas the Schizophrenia Quality of Life Scale (SQLS) emphasises psychosocial experiences, motivation and energy, and symptoms and side effects. A recent psychometric review showed that instrument selection can influence interpretation and that findings cannot always be compared directly across populations (Zúñiga Le-Bert et al., 2025). A scoping review covering a decade of research likewise identified substantial variation in definitions and measurement tools, helping to explain inconsistent associations with sociodemographic factors (Bhatarasakoon et al., 2025).</w:t>
      </w:r>
    </w:p>
    <w:p w14:paraId="6F4A5221" w14:textId="77777777" w:rsidR="000D65B8" w:rsidRDefault="00000000" w:rsidP="00556560">
      <w:pPr>
        <w:jc w:val="both"/>
      </w:pPr>
      <w:r>
        <w:t xml:space="preserve">Chronological age and age at onset should be distinguished. Chronological age describes the life stage at assessment, whereas age at onset indicates when illness begins to interrupt education, relationships, and entry into employment. Earlier onset may be associated with more difficult </w:t>
      </w:r>
      <w:r>
        <w:lastRenderedPageBreak/>
        <w:t>recovery trajectories. In a longitudinal psychosis cohort, women and people with later-onset psychosis were more often represented in classes characterised by better functioning and well-being than men and people with earlier onset (Hoeksema et al., 2025). Associations between age and quality of life therefore need to be considered in relation to developmental opportunities interrupted by illness.</w:t>
      </w:r>
    </w:p>
    <w:p w14:paraId="113D9CCC" w14:textId="77777777" w:rsidR="000D65B8" w:rsidRDefault="00000000" w:rsidP="00556560">
      <w:pPr>
        <w:jc w:val="both"/>
      </w:pPr>
      <w:r>
        <w:t>Sex is also frequently examined as a predictor of quality of life. Differences in age at onset, negative symptoms, interpersonal functioning, treatment response, and adverse effects may contribute to different experiences among men and women. A recent systematic review highlighted biological and clinical differences that may influence functioning and treatment outcomes, although their implications for quality of life are not uniform across populations (Moniem &amp; Kafetzopoulos, 2025). The PHAMOUS study showed that recovery-class distributions depended on the interaction between sex and age at onset, suggesting that sex should not be interpreted as an isolated, deterministic factor (Hoeksema et al., 2025).</w:t>
      </w:r>
    </w:p>
    <w:p w14:paraId="03B50BAA" w14:textId="77777777" w:rsidR="000D65B8" w:rsidRDefault="00000000" w:rsidP="00556560">
      <w:pPr>
        <w:jc w:val="both"/>
      </w:pPr>
      <w:r>
        <w:t>Marriage and close relationships may provide emotional support, practical assistance, and help with treatment. These potential benefits require careful interpretation. In a rural Chinese primary-care cohort, being unmarried was associated with poorer quality of life alongside clinical factors (He et al., 2022). Across settings, the meaning of marital status may depend on relationship quality, family burden, stigma, and economic dependence. Evidence involving patients and caregivers indicates that close relationships can provide support but may also involve considerable strain when family functioning is poor or care demands are high (Gagiu et al., 2025; Völker &amp; Micluţia, 2025).</w:t>
      </w:r>
    </w:p>
    <w:p w14:paraId="538D2C28" w14:textId="77777777" w:rsidR="000D65B8" w:rsidRDefault="00000000" w:rsidP="00556560">
      <w:pPr>
        <w:jc w:val="both"/>
      </w:pPr>
      <w:r>
        <w:t>Education, employment, and income are closely connected. Education may influence health literacy, access to information, employment opportunities, and service use. Employment can provide income, daily structure, social identity, community relationships, and a sense of agency. Income affects the ability to meet basic needs and pay for transport, treatment, and social activities. In a multicentre study of chronic schizophrenia, unemployment was associated with poorer motivation and energy, while education and income were associated with the psychosocial domain in bivariate analyses (Zhou et al., 2024). Urban–rural evidence also showed that household income, vocational skills, social support, and service access had different contributions according to residential context (Zhang et al., 2023).</w:t>
      </w:r>
    </w:p>
    <w:p w14:paraId="69E3EB99" w14:textId="77777777" w:rsidR="000D65B8" w:rsidRDefault="00000000" w:rsidP="00556560">
      <w:pPr>
        <w:jc w:val="both"/>
      </w:pPr>
      <w:r>
        <w:lastRenderedPageBreak/>
        <w:t>Family support is especially relevant to community-based care. In many countries, relatives assist with treatment, housing, expenses, and contact with health services. Higher perceived social support and more frequent family visits have been associated with better quality of life in people with schizophrenia (Wakim et al., 2025). Patient and caregiver experiences are also interconnected: stigma, limited support, and care demands may affect both. Quality of life therefore needs to be interpreted in relation to the family and community environment.</w:t>
      </w:r>
    </w:p>
    <w:p w14:paraId="67D22A17" w14:textId="77777777" w:rsidR="000D65B8" w:rsidRDefault="00000000" w:rsidP="00556560">
      <w:pPr>
        <w:jc w:val="both"/>
      </w:pPr>
      <w:r>
        <w:t>Three gaps remain relevant. Many studies examine sociodemographic factors separately, obscuring connections such as education–employment–income and marital status–family support. Some earlier evidence involves mixed psychiatric populations or outcomes other than schizophrenia-specific quality of life, limiting direct inference. Differences in instruments and social contexts may also produce apparently contradictory findings that reflect different mechanisms. Evidence published during 2022–2026 provides additional context for contemporary psychiatric rehabilitation.</w:t>
      </w:r>
    </w:p>
    <w:p w14:paraId="04A5A893" w14:textId="77777777" w:rsidR="000D65B8" w:rsidRDefault="00000000" w:rsidP="00556560">
      <w:pPr>
        <w:jc w:val="both"/>
      </w:pPr>
      <w:r>
        <w:t>This synthesis considers age and age at onset, sex, marital status, education, employment, income, and family support within a biopsychosocial framework. Quality of life is interpreted as an outcome of interactions among personal resources, socioeconomic opportunities, clinical conditions, and support systems. The framework considers both whether a factor is associated with quality of life and the pathways and contexts through which that association may operate. This approach is intended to inform recovery-oriented mental health services.</w:t>
      </w:r>
    </w:p>
    <w:p w14:paraId="6240B850" w14:textId="77777777" w:rsidR="000D65B8" w:rsidRDefault="00000000" w:rsidP="00556560">
      <w:pPr>
        <w:jc w:val="both"/>
      </w:pPr>
      <w:r>
        <w:t>The review aimed to identify recent evidence on factors associated with quality of life in people with schizophrenia, assess the consistency of associations, and consider their clinical and social implications. The main domains were age and age at onset, sex, marital status, education, employment, income, and family support. Negative symptoms, depression, anxiety, cognition, and treatment adverse effects were considered as potential confounders or mediators where the cited studies examined them.</w:t>
      </w:r>
    </w:p>
    <w:p w14:paraId="67EBB5A5" w14:textId="77777777" w:rsidR="000D65B8" w:rsidRDefault="00000000" w:rsidP="00556560">
      <w:pPr>
        <w:pStyle w:val="Heading1"/>
        <w:jc w:val="both"/>
      </w:pPr>
      <w:r>
        <w:t>2 Methods</w:t>
      </w:r>
    </w:p>
    <w:p w14:paraId="58A459F3" w14:textId="77777777" w:rsidR="000D65B8" w:rsidRDefault="00000000" w:rsidP="00556560">
      <w:pPr>
        <w:jc w:val="both"/>
      </w:pPr>
      <w:r>
        <w:t>A focused systematic literature review was used to update the synthesis of factors associated with quality of life in people with schizophrenia. The domains reflected those emphasised in the original review: age and age at onset, sex, marital status, education, employment, income, and family support. The narrative interpretation also considered recent developments in quality-of-life measurement, sociodemographic factors, social support, and schizophrenia rehabilitation.</w:t>
      </w:r>
    </w:p>
    <w:p w14:paraId="341BA568" w14:textId="77777777" w:rsidR="000D65B8" w:rsidRDefault="00000000" w:rsidP="00556560">
      <w:pPr>
        <w:pStyle w:val="Heading2"/>
        <w:jc w:val="both"/>
      </w:pPr>
      <w:r>
        <w:lastRenderedPageBreak/>
        <w:t>2.1 Search strategy and last search date</w:t>
      </w:r>
    </w:p>
    <w:p w14:paraId="23A5505D" w14:textId="77777777" w:rsidR="000D65B8" w:rsidRDefault="00000000" w:rsidP="00556560">
      <w:pPr>
        <w:jc w:val="both"/>
      </w:pPr>
      <w:r>
        <w:t>The original search used PubMed, ScienceDirect, and Google with terms representing schizophrenia, quality of life, and the factors of interest. The publication window for the present synthesis was extended to 2020–2026. More explicit search strings were reconstructed from the keywords recorded in the original systematic review documentation. Evidence published during 2022–2026 was also discussed in the narrative interpretation. The reconstructed strategies below incorporate the revised year range; no additional database search was conducted for this version, and the documented selection counts were retained.</w:t>
      </w:r>
    </w:p>
    <w:p w14:paraId="1808C180" w14:textId="77777777" w:rsidR="000D65B8" w:rsidRDefault="00000000" w:rsidP="00556560">
      <w:pPr>
        <w:spacing w:line="276" w:lineRule="auto"/>
        <w:jc w:val="both"/>
      </w:pPr>
      <w:r>
        <w:rPr>
          <w:sz w:val="22"/>
        </w:rPr>
        <w:t>PubMed. (schizophrenia[Title/Abstract] OR "people with schizophrenia"[Title/Abstract]) AND ("quality of life"[Title/Abstract] OR WHOQOL[Title/Abstract] OR SQLS[Title/Abstract]) AND (age[Title/Abstract] OR sex[Title/Abstract] OR gender[Title/Abstract] OR occupation[Title/Abstract] OR employment[Title/Abstract] OR "marital status"[Title/Abstract] OR education[Title/Abstract] OR income[Title/Abstract] OR "family support"[Title/Abstract]).</w:t>
      </w:r>
    </w:p>
    <w:p w14:paraId="22F40A71" w14:textId="77777777" w:rsidR="000D65B8" w:rsidRDefault="00000000" w:rsidP="00556560">
      <w:pPr>
        <w:jc w:val="both"/>
      </w:pPr>
      <w:r>
        <w:t>The original keywords were: quality of life of people with schizophrenia; relationship between age and quality of life of people with schizophrenia; relationship between sex and quality of life of people with schizophrenia; relationship between occupation and quality of life of people with schizophrenia; relationship between marital status and quality of life of people with schizophrenia; relationship between level of education and quality of life of people with schizophrenia; relationship between income and quality of life of people with schizophrenia; and relationship between family support and quality of life of people with schizophrenia.</w:t>
      </w:r>
    </w:p>
    <w:p w14:paraId="07415AB6" w14:textId="77777777" w:rsidR="000D65B8" w:rsidRDefault="00000000" w:rsidP="00556560">
      <w:pPr>
        <w:jc w:val="both"/>
      </w:pPr>
      <w:r>
        <w:t>The reconstructed PubMed strategy specifies publication years 2020–2026, English language, and full-text availability.</w:t>
      </w:r>
    </w:p>
    <w:p w14:paraId="71419A6F" w14:textId="77777777" w:rsidR="000D65B8" w:rsidRDefault="00000000" w:rsidP="00556560">
      <w:pPr>
        <w:spacing w:line="276" w:lineRule="auto"/>
        <w:jc w:val="both"/>
      </w:pPr>
      <w:r>
        <w:rPr>
          <w:sz w:val="22"/>
        </w:rPr>
        <w:t>ScienceDirect. ("schizophrenia" OR "people with schizophrenia") AND ("quality of life" OR WHOQOL OR SQLS) AND (age OR sex OR gender OR occupation OR employment OR "marital status" OR education OR income OR "family support").</w:t>
      </w:r>
    </w:p>
    <w:p w14:paraId="7CCE7581" w14:textId="77777777" w:rsidR="000D65B8" w:rsidRDefault="00000000" w:rsidP="00556560">
      <w:pPr>
        <w:jc w:val="both"/>
      </w:pPr>
      <w:r>
        <w:t>The reconstructed ScienceDirect strategy specifies publication years 2020–2026, English language, and full-text articles relevant to quality of life in people with schizophrenia.</w:t>
      </w:r>
    </w:p>
    <w:p w14:paraId="177EC655" w14:textId="77777777" w:rsidR="000D65B8" w:rsidRDefault="00000000" w:rsidP="00556560">
      <w:pPr>
        <w:jc w:val="both"/>
      </w:pPr>
      <w:r>
        <w:t>Google and additional searching. Google was searched using the same combinations of phrases documented in the original review to locate relevant supporting articles that might not have been captured by the two principal databases. Articles considered through this route were required to meet the language, full-text availability, and topic criteria.</w:t>
      </w:r>
    </w:p>
    <w:p w14:paraId="758B7714" w14:textId="77777777" w:rsidR="000D65B8" w:rsidRDefault="00000000" w:rsidP="00556560">
      <w:pPr>
        <w:jc w:val="both"/>
      </w:pPr>
      <w:r>
        <w:lastRenderedPageBreak/>
        <w:t>The source manuscript reports 26 September 2026 as the last search date. It reports a further check of search-strategy descriptions and reporting on 30 September 2026 without changing the documented final set of articles.</w:t>
      </w:r>
    </w:p>
    <w:p w14:paraId="0264300F" w14:textId="77777777" w:rsidR="000D65B8" w:rsidRDefault="00000000" w:rsidP="00556560">
      <w:pPr>
        <w:pStyle w:val="Heading2"/>
        <w:jc w:val="both"/>
      </w:pPr>
      <w:r>
        <w:t>2.2 Eligibility criteria</w:t>
      </w:r>
    </w:p>
    <w:p w14:paraId="5894513E" w14:textId="77777777" w:rsidR="000D65B8" w:rsidRDefault="00000000" w:rsidP="00556560">
      <w:pPr>
        <w:jc w:val="both"/>
      </w:pPr>
      <w:r>
        <w:t>The revised inclusion criteria specify English-language journal articles available in full text, published during 2020–2026, and examining associations between age, sex, marital status, education, employment, income, or family support and quality of life in people with schizophrenia. Relevant cross-sectional, cohort, case–control, intervention, and other quantitative studies were eligible. Qualitative studies, review articles, and studies combining psychiatric and physical conditions without clear separation were excluded from the original selection. Published reviews and later evidence were retained for narrative interpretation and distinguished from primary-study findings.</w:t>
      </w:r>
    </w:p>
    <w:p w14:paraId="4CFD8E4B" w14:textId="77777777" w:rsidR="000D65B8" w:rsidRDefault="00000000" w:rsidP="00556560">
      <w:pPr>
        <w:pStyle w:val="Heading2"/>
        <w:jc w:val="both"/>
      </w:pPr>
      <w:r>
        <w:t>2.3 Study selection and data extraction</w:t>
      </w:r>
    </w:p>
    <w:p w14:paraId="3648AAC3" w14:textId="77777777" w:rsidR="000D65B8" w:rsidRDefault="00000000" w:rsidP="00556560">
      <w:pPr>
        <w:jc w:val="both"/>
      </w:pPr>
      <w:r>
        <w:t>Title screening, abstract review, full-text assessment, and data extraction were conducted by the principal reviewer. Independent screening or extraction by a second reviewer was not documented. This was therefore treated as single-reviewer screening and extraction and acknowledged as a methodological limitation. The reported selection flow is shown in Fig. 1.</w:t>
      </w:r>
    </w:p>
    <w:p w14:paraId="1CCBDAAD" w14:textId="77777777" w:rsidR="000D65B8" w:rsidRDefault="00000000" w:rsidP="00556560">
      <w:pPr>
        <w:jc w:val="both"/>
      </w:pPr>
      <w:r>
        <w:t>Extracted information included author and year, country or setting, design, sample size, quality-of-life instrument, factors examined, and main findings. Differences in instruments, designs, populations, and effect reporting precluded a new quantitative synthesis. Narrative synthesis considered the direction and consistency of associations, possible mechanisms, and confounding. Recent meta-analyses and systematic reviews informed interpretation and were distinguished from primary-study findings.</w:t>
      </w:r>
    </w:p>
    <w:p w14:paraId="5390DE89" w14:textId="77777777" w:rsidR="000D65B8" w:rsidRDefault="00000000" w:rsidP="00556560">
      <w:pPr>
        <w:pStyle w:val="Heading2"/>
        <w:jc w:val="both"/>
      </w:pPr>
      <w:r>
        <w:t>2.4 Methodological quality and risk of bias</w:t>
      </w:r>
    </w:p>
    <w:p w14:paraId="77B616BE" w14:textId="77777777" w:rsidR="000D65B8" w:rsidRDefault="00000000" w:rsidP="00556560">
      <w:pPr>
        <w:jc w:val="both"/>
      </w:pPr>
      <w:r>
        <w:t xml:space="preserve">Critical appraisal was added retrospectively during manuscript preparation for the core sources discussed in the narrative synthesis. Design-specific tools were used: the JBI Critical Appraisal Checklist for Analytical Cross-Sectional Studies, the JBI Checklist for Cohort Studies, and the JBI Checklist for Systematic Reviews. The original review documentation reports 16 final entries and attributes some repetition to articles used in more than one factor domain. Appraisal focused on the 11 unique core evidence sources discussed here. The scores and qualitative </w:t>
      </w:r>
      <w:r>
        <w:lastRenderedPageBreak/>
        <w:t>ratings reported in the source manuscript were retained for this synthesis; no new appraisal was conducted for this journal adaptation.</w:t>
      </w:r>
    </w:p>
    <w:p w14:paraId="1F936339" w14:textId="77777777" w:rsidR="000D65B8" w:rsidRDefault="00000000" w:rsidP="00556560">
      <w:pPr>
        <w:pStyle w:val="Heading2"/>
        <w:jc w:val="both"/>
      </w:pPr>
      <w:r>
        <w:t>2.5 Protocol registration</w:t>
      </w:r>
    </w:p>
    <w:p w14:paraId="74524045" w14:textId="77777777" w:rsidR="000D65B8" w:rsidRDefault="00000000" w:rsidP="00556560">
      <w:pPr>
        <w:jc w:val="both"/>
      </w:pPr>
      <w:r>
        <w:t>The review was not prospectively registered in PROSPERO or another systematic-review registry, and no registration number is available. The absence of prospective registration limits verification of the original protocol.</w:t>
      </w:r>
    </w:p>
    <w:p w14:paraId="12788A9C" w14:textId="77777777" w:rsidR="000D65B8" w:rsidRDefault="00000000" w:rsidP="00556560">
      <w:pPr>
        <w:pStyle w:val="Heading1"/>
        <w:jc w:val="both"/>
      </w:pPr>
      <w:r>
        <w:t>3 Results</w:t>
      </w:r>
    </w:p>
    <w:p w14:paraId="356A39BF" w14:textId="77777777" w:rsidR="000D65B8" w:rsidRDefault="00000000" w:rsidP="00556560">
      <w:pPr>
        <w:pStyle w:val="Heading2"/>
        <w:jc w:val="both"/>
      </w:pPr>
      <w:r>
        <w:t>3.1 Reported study selection</w:t>
      </w:r>
    </w:p>
    <w:p w14:paraId="47361B45" w14:textId="77777777" w:rsidR="000D65B8" w:rsidRDefault="00000000" w:rsidP="00556560">
      <w:pPr>
        <w:jc w:val="both"/>
      </w:pPr>
      <w:r>
        <w:t>The selection flow was re-reported using PRISMA 2020 terminology while retaining the counts documented in the original review. There were 32,698 identified records: 4,052 from PubMed, 28,638 from ScienceDirect, and 8 from Google. The source reports removal of 32,302 records after title review, 5 without full text or consisting only of an index term, and 2 duplicates identified by author and title, leaving 389 relevant full-text records. A further 354 were excluded during title and abstract review, leaving 35 for eligibility assessment. Nineteen were excluded after full-text assessment, and 16 were reported as the final entries in the original review. The narrative synthesis discusses 11 unique core evidence sources; the source documentation attributes the difference to articles appearing in more than one factor domain. These original counts have not been recalculated or independently reconstructed for this adaptation.</w:t>
      </w:r>
    </w:p>
    <w:p w14:paraId="01C0F977" w14:textId="77777777" w:rsidR="000D65B8" w:rsidRDefault="00000000" w:rsidP="00556560">
      <w:pPr>
        <w:jc w:val="both"/>
      </w:pPr>
      <w:r>
        <w:br w:type="page"/>
      </w:r>
    </w:p>
    <w:p w14:paraId="632F0413" w14:textId="77777777" w:rsidR="000D65B8" w:rsidRDefault="00000000" w:rsidP="00556560">
      <w:pPr>
        <w:keepNext/>
        <w:jc w:val="both"/>
      </w:pPr>
      <w:r>
        <w:rPr>
          <w:noProof/>
        </w:rPr>
        <w:lastRenderedPageBreak/>
        <w:drawing>
          <wp:inline distT="0" distB="0" distL="0" distR="0" wp14:anchorId="32180A57" wp14:editId="5F516BBE">
            <wp:extent cx="5715000" cy="63824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publication.png"/>
                    <pic:cNvPicPr/>
                  </pic:nvPicPr>
                  <pic:blipFill>
                    <a:blip r:embed="rId8"/>
                    <a:stretch>
                      <a:fillRect/>
                    </a:stretch>
                  </pic:blipFill>
                  <pic:spPr>
                    <a:xfrm>
                      <a:off x="0" y="0"/>
                      <a:ext cx="5715000" cy="6382445"/>
                    </a:xfrm>
                    <a:prstGeom prst="rect">
                      <a:avLst/>
                    </a:prstGeom>
                  </pic:spPr>
                </pic:pic>
              </a:graphicData>
            </a:graphic>
          </wp:inline>
        </w:drawing>
      </w:r>
    </w:p>
    <w:p w14:paraId="1DBC2F70" w14:textId="77777777" w:rsidR="000D65B8" w:rsidRDefault="00000000" w:rsidP="00556560">
      <w:pPr>
        <w:spacing w:line="264" w:lineRule="auto"/>
        <w:jc w:val="both"/>
      </w:pPr>
      <w:r>
        <w:rPr>
          <w:b/>
        </w:rPr>
        <w:t xml:space="preserve">Fig. 1 </w:t>
      </w:r>
      <w:r>
        <w:t>Reported study-selection flow reproduced from the original review documentation</w:t>
      </w:r>
    </w:p>
    <w:p w14:paraId="5774A0B2" w14:textId="77777777" w:rsidR="000D65B8" w:rsidRDefault="00000000" w:rsidP="00556560">
      <w:pPr>
        <w:spacing w:line="264" w:lineRule="auto"/>
        <w:jc w:val="both"/>
      </w:pPr>
      <w:r>
        <w:rPr>
          <w:sz w:val="21"/>
        </w:rPr>
        <w:t>The factor-domain annotation reproduces only the categories displayed in the source figure; it is not a complete breakdown of the 16 final entries. The 11 core sources discussed in this article are summarised in Table 1.</w:t>
      </w:r>
    </w:p>
    <w:p w14:paraId="3045B1AB" w14:textId="77777777" w:rsidR="000D65B8" w:rsidRDefault="00000000" w:rsidP="00556560">
      <w:pPr>
        <w:jc w:val="both"/>
      </w:pPr>
      <w:r>
        <w:br w:type="page"/>
      </w:r>
    </w:p>
    <w:p w14:paraId="7CBDC143" w14:textId="77777777" w:rsidR="000D65B8" w:rsidRDefault="00000000" w:rsidP="00556560">
      <w:pPr>
        <w:pStyle w:val="Heading2"/>
        <w:jc w:val="both"/>
      </w:pPr>
      <w:r>
        <w:lastRenderedPageBreak/>
        <w:t>3.2 Evidence characteristics and narrative synthesis</w:t>
      </w:r>
    </w:p>
    <w:p w14:paraId="16AC26DF" w14:textId="77777777" w:rsidR="000D65B8" w:rsidRDefault="00000000" w:rsidP="00556560">
      <w:pPr>
        <w:jc w:val="both"/>
      </w:pPr>
      <w:r>
        <w:t>The evidence indicates that quality of life is associated with interacting sociodemographic, clinical, psychological, and environmental factors. The source documentation reports 16 final entries distributed across factor domains; this narrative synthesis discusses 11 unique core sources. These include cohort studies, cross-sectional studies, and a published meta-analysis used for interpretation. Social factors such as employment, income, vocational skills, and support remain relevant alongside pharmacological treatment. Their associations may change after adjustment for depression, anxiety, negative symptoms, cognition, and medication adverse effects. Table 1 summarises the 11 core sources, including the later rehabilitation study discussed in the updated interpretation.</w:t>
      </w:r>
    </w:p>
    <w:p w14:paraId="655BF27B" w14:textId="77777777" w:rsidR="000D65B8" w:rsidRDefault="00000000" w:rsidP="00556560">
      <w:pPr>
        <w:pStyle w:val="Heading2"/>
        <w:jc w:val="both"/>
      </w:pPr>
      <w:r>
        <w:t>3.3 Study quality</w:t>
      </w:r>
    </w:p>
    <w:p w14:paraId="13723EBD" w14:textId="77777777" w:rsidR="000D65B8" w:rsidRDefault="00000000" w:rsidP="00556560">
      <w:pPr>
        <w:jc w:val="both"/>
      </w:pPr>
      <w:r>
        <w:t>The source manuscript's retrospective appraisal of the 11 core sources is presented in Table 2. Most sources were rated as high quality and one as moderate quality. These ratings do not remove limitations arising from observational designs, confounding, attrition, routine-data missingness, or setting-specific generalisability.</w:t>
      </w:r>
    </w:p>
    <w:p w14:paraId="20DD9B46" w14:textId="77777777" w:rsidR="000D65B8" w:rsidRDefault="00000000" w:rsidP="00556560">
      <w:pPr>
        <w:pStyle w:val="Heading2"/>
        <w:jc w:val="both"/>
      </w:pPr>
      <w:r>
        <w:t>3.4 Interpretation by factor</w:t>
      </w:r>
    </w:p>
    <w:p w14:paraId="709A9243" w14:textId="77777777" w:rsidR="000D65B8" w:rsidRDefault="00000000" w:rsidP="00556560">
      <w:pPr>
        <w:jc w:val="both"/>
      </w:pPr>
      <w:r>
        <w:t>Age and age at onset. In He et al. (2022), older age and earlier onset were associated with poorer quality of life in longitudinal models. Migliorini et al. (2024) found a negative association between current age and the likelihood of high subjective quality of life (SQoL), but older age at onset was associated with improvement over time. The relevant distinction is therefore not simply increasing age, but also illness duration and the developmental stage at which illness interrupts education, relationships, and employment.</w:t>
      </w:r>
    </w:p>
    <w:p w14:paraId="74E9F944" w14:textId="77777777" w:rsidR="000D65B8" w:rsidRDefault="00000000" w:rsidP="00556560">
      <w:pPr>
        <w:jc w:val="both"/>
      </w:pPr>
      <w:r>
        <w:t>Sex. Recent evidence does not support a universal conclusion that one sex has better quality of life. Hoeksema et al. (2025) found more favourable recovery-class distributions among women and people with later onset, with patterns depending on the interaction between sex and onset. Differences in symptoms, interpersonal functioning, age at onset, treatment response, and adverse effects may contribute to these patterns (Moniem &amp; Kafetzopoulos, 2025).</w:t>
      </w:r>
    </w:p>
    <w:p w14:paraId="4F0C9951" w14:textId="77777777" w:rsidR="000D65B8" w:rsidRDefault="00000000" w:rsidP="00556560">
      <w:pPr>
        <w:jc w:val="both"/>
      </w:pPr>
      <w:r>
        <w:t xml:space="preserve">Marital status. Marriage is an imperfect proxy for social support. Positive associations may reflect emotional, financial, and practical assistance from a partner, but legal marital status does not establish relationship quality. Family conflict, stigma, and caregiver burden may weaken </w:t>
      </w:r>
      <w:r>
        <w:lastRenderedPageBreak/>
        <w:t>these benefits. Marital status should therefore be interpreted alongside family functioning and wider support networks.</w:t>
      </w:r>
    </w:p>
    <w:p w14:paraId="31629CC2" w14:textId="77777777" w:rsidR="000D65B8" w:rsidRDefault="00000000" w:rsidP="00556560">
      <w:pPr>
        <w:jc w:val="both"/>
      </w:pPr>
      <w:r>
        <w:t>Education. In Zhou et al. (2024), education was associated with the psychosocial domain in initial analyses but was not a principal predictor of the total score after clinical factors were considered. Education may operate through employment opportunities, understanding of health information, service access, and economic resources. Lower educational attainment does not necessarily imply poor quality of life when suitable rehabilitation, employment, and family support are available.</w:t>
      </w:r>
    </w:p>
    <w:p w14:paraId="2F247A45" w14:textId="77777777" w:rsidR="000D65B8" w:rsidRDefault="00000000" w:rsidP="00556560">
      <w:pPr>
        <w:jc w:val="both"/>
      </w:pPr>
      <w:r>
        <w:t>Employment. He et al. (2022) associated unemployment with poorer quality of life at follow-up. Zhou et al. (2024) found better motivation and energy among employed patients, with unemployment remaining independently associated with that domain in multivariable analysis. In addition to income, employment may provide daily structure, a social role, interpersonal contact, experiences of competence, and an identity beyond being a patient.</w:t>
      </w:r>
    </w:p>
    <w:p w14:paraId="257380F6" w14:textId="77777777" w:rsidR="000D65B8" w:rsidRDefault="00000000" w:rsidP="00556560">
      <w:pPr>
        <w:jc w:val="both"/>
      </w:pPr>
      <w:r>
        <w:t>Income. Household income was relevant to quality of life in rural participants in Zhang et al. (2023). Income differences were associated with the psychosocial domain in bivariate analyses in Zhou et al. (2024). Financial constraints may limit transport to services, basic needs, recreation, communication, and social participation. Smaller associations after clinical adjustment may reflect interconnected pathways involving symptoms, social functioning, and employment; they do not by themselves establish mediation.</w:t>
      </w:r>
    </w:p>
    <w:p w14:paraId="5B271350" w14:textId="77777777" w:rsidR="000D65B8" w:rsidRDefault="00000000" w:rsidP="00556560">
      <w:pPr>
        <w:jc w:val="both"/>
      </w:pPr>
      <w:r>
        <w:t>Family and social support. Wakim et al. (2025) reported positive associations between quality of life, perceived support, and frequency of family visits. An Indonesian patient–caregiver study found substantial agreement in health-related quality-of-life assessments, suggesting that relatives may provide useful complementary information when self-report is limited (Prasetiyo et al., 2025). Caregiver burden, financial difficulties, depression, and anxiety may also strain care relationships (Gagiu et al., 2025).</w:t>
      </w:r>
    </w:p>
    <w:p w14:paraId="051CDBE0" w14:textId="77777777" w:rsidR="000D65B8" w:rsidRDefault="00000000" w:rsidP="00556560">
      <w:pPr>
        <w:jc w:val="both"/>
      </w:pPr>
      <w:r>
        <w:t>Clinical factors. Depression, anxiety, and cognitive impairment contributed substantially to SQLS outcomes in Zhou et al. (2024). In a prospective rehabilitation study, changes in negative symptoms, depression, anxiety, cognition, and psychosocial scores helped predict improvement in SQoL (Wang et al., 2026). Social interventions and symptom management therefore need to be considered together.</w:t>
      </w:r>
    </w:p>
    <w:p w14:paraId="3F2BE4DC" w14:textId="77777777" w:rsidR="000D65B8" w:rsidRDefault="00000000" w:rsidP="00556560">
      <w:pPr>
        <w:pStyle w:val="Heading1"/>
        <w:jc w:val="both"/>
      </w:pPr>
      <w:r>
        <w:lastRenderedPageBreak/>
        <w:t>4 Discussion</w:t>
      </w:r>
    </w:p>
    <w:p w14:paraId="11F7A683" w14:textId="77777777" w:rsidR="000D65B8" w:rsidRDefault="00000000" w:rsidP="00556560">
      <w:pPr>
        <w:jc w:val="both"/>
      </w:pPr>
      <w:r>
        <w:t>The main finding is that quality of life reflects interactions among illness course, socioeconomic resources, and supportive environments. Treating age, sex, marriage, education, employment, income, or family support solely as independent predictors can oversimplify patients' experiences. Education influences employment opportunities; employment affects income and social identity; income affects access and participation; and relatives may facilitate treatment and the resumption of social roles. These are plausible interconnected pathways rather than causal effects established by this review.</w:t>
      </w:r>
    </w:p>
    <w:p w14:paraId="64BBBA37" w14:textId="77777777" w:rsidR="000D65B8" w:rsidRDefault="00000000" w:rsidP="00556560">
      <w:pPr>
        <w:jc w:val="both"/>
      </w:pPr>
      <w:r>
        <w:t>The distinction between current age and age at onset illustrates this complexity. Current age incorporates ageing, physical comorbidity, illness duration, and changes in social networks. Age at onset indicates when illness interrupts development. Onset in late adolescence or early adulthood may disrupt educational completion, entry into employment, romantic relationships, and financial independence. These consequences may be missed when only current age is analysed. Migliorini et al. (2024) and Hoeksema et al. (2025) support considering the two concepts separately.</w:t>
      </w:r>
    </w:p>
    <w:p w14:paraId="10E3CCE4" w14:textId="77777777" w:rsidR="000D65B8" w:rsidRDefault="00000000" w:rsidP="00556560">
      <w:pPr>
        <w:jc w:val="both"/>
      </w:pPr>
      <w:r>
        <w:t>Patients with earlier onset may consequently need stronger support for education, transition into employment, and life skills. Symptom-focused treatment alone may leave interrupted developmental opportunities unaddressed. Early rehabilitation integrated with educational and vocational support may help limit accumulating social disadvantage. A prospective study of structured rehabilitation over 24 weeks reported improvement in SQoL for many participants, particularly in relation to changes in negative symptoms, depression, anxiety, and cognition (Wang et al., 2026).</w:t>
      </w:r>
    </w:p>
    <w:p w14:paraId="0E37F271" w14:textId="77777777" w:rsidR="000D65B8" w:rsidRDefault="00000000" w:rsidP="00556560">
      <w:pPr>
        <w:jc w:val="both"/>
      </w:pPr>
      <w:r>
        <w:t>Associations with sex require similarly contextual interpretation. Women and people with later onset were more often represented in classes with better well-being and functioning in Hoeksema et al. (2025), but this should not be taken as evidence of a simple biological advantage. Men and women may differ in onset, symptoms, stigma, social roles, family expectations, service use, and medication adverse effects. Moniem and Kafetzopoulos (2025) also emphasised sex-related differences in symptoms and treatment response. Sex is therefore more useful as a marker prompting individual assessment than as a fixed determinant of quality of life.</w:t>
      </w:r>
    </w:p>
    <w:p w14:paraId="135C8197" w14:textId="77777777" w:rsidR="000D65B8" w:rsidRDefault="00000000" w:rsidP="00556560">
      <w:pPr>
        <w:jc w:val="both"/>
      </w:pPr>
      <w:r>
        <w:t xml:space="preserve">Marriage may provide emotional stability, help with medication, financial support, and social contact, but relationship quality matters beyond formal status. Caregiver exhaustion, economic </w:t>
      </w:r>
      <w:r>
        <w:lastRenderedPageBreak/>
        <w:t>pressure, and conflict may reduce the support available. Völker and Micluţia (2025) considered patient and caregiver quality of life together because clinical, demographic, and sociocultural factors affect both. Gagiu et al. (2025) identified associations between caregiver quality of life and employment, age, financial difficulties, marital status, education, care burden, depression, and anxiety. Partner support thus depends on the circumstances of the person providing care.</w:t>
      </w:r>
    </w:p>
    <w:p w14:paraId="5EE43B98" w14:textId="77777777" w:rsidR="000D65B8" w:rsidRDefault="00000000" w:rsidP="00556560">
      <w:pPr>
        <w:jc w:val="both"/>
      </w:pPr>
      <w:r>
        <w:t>Assessment should examine whether the patient has safe, supportive, and reliable close relationships. For unmarried patients, support may come from parents, siblings, adult children, friends, peers, community groups, or health workers. For married patients, communication, caregiver burden, and problem-solving capacity still require assessment. This approach recognises cultural variation in household and family structures.</w:t>
      </w:r>
    </w:p>
    <w:p w14:paraId="74CF29D5" w14:textId="77777777" w:rsidR="000D65B8" w:rsidRDefault="00000000" w:rsidP="00556560">
      <w:pPr>
        <w:jc w:val="both"/>
      </w:pPr>
      <w:r>
        <w:t>Education may yield inconsistent findings because much of its influence is indirect. Higher attainment may improve access to formal employment and stable income, understanding of health instructions, recognition of adverse effects, service navigation, and coping strategies. Earlier onset can also interrupt education, making low attainment both a consequence of illness and a subsequent constraint on recovery opportunities. Cross-sectional studies cannot readily establish the direction of these relationships.</w:t>
      </w:r>
    </w:p>
    <w:p w14:paraId="4A84B4A2" w14:textId="77777777" w:rsidR="000D65B8" w:rsidRDefault="00000000" w:rsidP="00556560">
      <w:pPr>
        <w:jc w:val="both"/>
      </w:pPr>
      <w:r>
        <w:t>Zhou et al. (2024) illustrates this issue: education and income were related to the psychosocial domain in initial analyses, whereas clinical variables were more prominent after adjustment. These findings do not establish that education and income are unimportant. They suggest that quality of life is a distal outcome influenced by several connected factors. Health literacy, social skills, and vocational training may remain useful targets even when education has no clear direct association in an adjusted model.</w:t>
      </w:r>
    </w:p>
    <w:p w14:paraId="60128630" w14:textId="77777777" w:rsidR="000D65B8" w:rsidRDefault="00000000" w:rsidP="00556560">
      <w:pPr>
        <w:jc w:val="both"/>
      </w:pPr>
      <w:r>
        <w:t>Employment showed recurring associations in He et al. (2022) and Zhou et al. (2024). It may provide earnings, structure, contact, a sense of usefulness, and purpose. When demands match individual capacity, work may support activity among people experiencing negative symptoms. Excessive demands or discrimination may instead increase stress. Vocational rehabilitation should therefore aim for meaningful, safe, suitable employment with continuing support.</w:t>
      </w:r>
    </w:p>
    <w:p w14:paraId="41B2C963" w14:textId="77777777" w:rsidR="000D65B8" w:rsidRDefault="00000000" w:rsidP="00556560">
      <w:pPr>
        <w:jc w:val="both"/>
      </w:pPr>
      <w:r>
        <w:t xml:space="preserve">Mental health services can consider vocational rehabilitation early in recovery planning, including assessment of interests and capacity, skills training, gradual placement, employer coordination, and monitoring of symptoms and quality of life. Supported employment and individual placement and support may be considered where service resources permit. Evidence </w:t>
      </w:r>
      <w:r>
        <w:lastRenderedPageBreak/>
        <w:t>that some psychological interventions improve quality of life in schizophrenia-spectrum disorders also supports comprehensive care alongside pharmacotherapy (Petkari et al., 2024).</w:t>
      </w:r>
    </w:p>
    <w:p w14:paraId="02E4AEAA" w14:textId="77777777" w:rsidR="000D65B8" w:rsidRDefault="00000000" w:rsidP="00556560">
      <w:pPr>
        <w:jc w:val="both"/>
      </w:pPr>
      <w:r>
        <w:t>Income should be interpreted as the actual ability to meet daily needs rather than as employment status alone. Employed people may have inadequate earnings, whereas some unemployed people receive sufficient family or social protection support. Household income was particularly relevant in the rural context studied by Zhang et al. (2023). Economic associations may therefore depend on living costs, service access, distance to facilities, and social protection arrangements.</w:t>
      </w:r>
    </w:p>
    <w:p w14:paraId="1A0D5F1D" w14:textId="77777777" w:rsidR="000D65B8" w:rsidRDefault="00000000" w:rsidP="00556560">
      <w:pPr>
        <w:jc w:val="both"/>
      </w:pPr>
      <w:r>
        <w:t>A plausible cycle connects symptoms, disability, employment loss, reduced income, restricted participation, and isolation. Reduced resources may limit transport, recreation, nutrition, and social opportunities. Increasing reliance on relatives may also add to caregiver burden. These pathways suggest that economic and social assistance can be considered within recovery planning, although the observational evidence does not establish every link in the cycle.</w:t>
      </w:r>
    </w:p>
    <w:p w14:paraId="0E06AD96" w14:textId="77777777" w:rsidR="000D65B8" w:rsidRDefault="00000000" w:rsidP="00556560">
      <w:pPr>
        <w:jc w:val="both"/>
      </w:pPr>
      <w:r>
        <w:t>Family support connects clinical and social domains. The associations reported by Wakim et al. (2025) are consistent with relatives providing assistance with treatment, recognition of relapse, daily activities, and emotional security. Effective support, however, involves more than contact frequency. Communication, problem solving, acceptance, role boundaries, and caregivers' access to information may determine how helpful that support is.</w:t>
      </w:r>
    </w:p>
    <w:p w14:paraId="313E1A00" w14:textId="77777777" w:rsidR="000D65B8" w:rsidRDefault="00000000" w:rsidP="00556560">
      <w:pPr>
        <w:jc w:val="both"/>
      </w:pPr>
      <w:r>
        <w:t>Prasetiyo et al. (2025) found generally substantial agreement between patient and caregiver health-related quality-of-life assessments, with differences more apparent in subjective domains such as pain or discomfort and anxiety or depression. Caregivers may offer complementary information when self-report capacity is limited, but their reports should not automatically replace the patient's perspective. Patient-reported outcomes should remain central whenever feasible.</w:t>
      </w:r>
    </w:p>
    <w:p w14:paraId="367848EB" w14:textId="77777777" w:rsidR="000D65B8" w:rsidRDefault="00000000" w:rsidP="00556560">
      <w:pPr>
        <w:jc w:val="both"/>
      </w:pPr>
      <w:r>
        <w:t xml:space="preserve">Clinical factors help explain inconsistent sociodemographic associations. Zhou et al. (2024) found independent associations with depression, anxiety, and cognitive impairment. Negative symptoms affect motivation, energy, social relationships, and working capacity. A recent systematic review associated negative symptoms with health-related quality of life and functioning, although instruments and reported effects differed across studies (Chan et al., 2026). Another review likewise identified limitations in functioning and quality of life among people with negative symptoms and considerable measurement heterogeneity (Hadzi Boskovic et al., </w:t>
      </w:r>
      <w:r>
        <w:lastRenderedPageBreak/>
        <w:t>2024). Severe avolition, anhedonia, cognitive impairment, or depression may constrain participation in social rehabilitation.</w:t>
      </w:r>
    </w:p>
    <w:p w14:paraId="3F922DD2" w14:textId="77777777" w:rsidR="000D65B8" w:rsidRDefault="00000000" w:rsidP="00556560">
      <w:pPr>
        <w:jc w:val="both"/>
      </w:pPr>
      <w:r>
        <w:t>Medication adverse effects also warrant attention. Symptom control may coexist with poor perceived quality of life because of sedation, motor effects, weight gain, or cognitive difficulties. Zhou et al. (2024) reported associations between SQLS outcomes and adverse effects, as well as differences by antipsychotic characteristics. Shared treatment decisions should therefore consider energy, functioning, comfort, and daily life alongside control of positive symptoms.</w:t>
      </w:r>
    </w:p>
    <w:p w14:paraId="65F4B1F2" w14:textId="77777777" w:rsidR="000D65B8" w:rsidRDefault="00000000" w:rsidP="00556560">
      <w:pPr>
        <w:jc w:val="both"/>
      </w:pPr>
      <w:r>
        <w:t>The synthesis places sociodemographic factors within a recovery framework. Age at onset relates to interrupted developmental opportunities; education to skills and knowledge; employment to social roles and income; income to access and participation; and close relationships to support. Symptoms, cognition, and adverse effects can influence the ability to use these resources. Single-domain interventions may be insufficient when the principal barrier lies elsewhere.</w:t>
      </w:r>
    </w:p>
    <w:p w14:paraId="775B76E3" w14:textId="77777777" w:rsidR="000D65B8" w:rsidRDefault="00000000" w:rsidP="00556560">
      <w:pPr>
        <w:jc w:val="both"/>
      </w:pPr>
      <w:r>
        <w:t>This framework also helps explain differences between countries. Marriage, work, income, and family support operate within cultural norms, protection systems, service costs, stigma, and household structures. Family support may be especially important where relatives provide most care. Rural distance and transport costs may increase the relevance of income. In discriminatory labour markets, higher education may not lead to suitable employment. Contextual variation should be treated as part of the findings.</w:t>
      </w:r>
    </w:p>
    <w:p w14:paraId="0AECEAD7" w14:textId="77777777" w:rsidR="000D65B8" w:rsidRDefault="00000000" w:rsidP="00556560">
      <w:pPr>
        <w:jc w:val="both"/>
      </w:pPr>
      <w:r>
        <w:t>Differences among WHOQOL-BREF, SQLS, the Manchester Short Assessment of Quality of Life (ManSA), EQ-5D-5L, and other measures also require attention. Generic tools support comparisons across conditions but may be less sensitive to experiences specific to schizophrenia. Condition-specific tools may capture symptoms and adverse effects that differ from broader quality-of-life constructs. Zúñiga Le-Bert et al. (2025) identified support for some measurement properties of SQLS and SQLS-R4, alongside limitations in cross-cultural validity and responsiveness. An individual participant data meta-analysis found differences in satisfaction across domains and diagnostic groups, with a narrower range of domain satisfaction in schizophrenia (Jerome et al., 2024). Interpretation should therefore consider domain profiles as well as total scores.</w:t>
      </w:r>
    </w:p>
    <w:p w14:paraId="3DF9DDB2" w14:textId="77777777" w:rsidR="000D65B8" w:rsidRDefault="00000000" w:rsidP="00556560">
      <w:pPr>
        <w:jc w:val="both"/>
      </w:pPr>
      <w:r>
        <w:t xml:space="preserve">Quality-of-life assessment can form part of routine care at baseline, after treatment changes or relapse, and during rehabilitation. Identifying the most affected domain may help distinguish the </w:t>
      </w:r>
      <w:r>
        <w:lastRenderedPageBreak/>
        <w:t>needs of a person with psychosocial difficulties from those with physical or treatment-related problems. A study of 287 people with schizophrenia in long-term social welfare institutions also illustrated the relevance of using several measures and considering institutional context and clinical characteristics (Petrovic et al., 2024).</w:t>
      </w:r>
    </w:p>
    <w:p w14:paraId="35BADA38" w14:textId="77777777" w:rsidR="000D65B8" w:rsidRDefault="00000000" w:rsidP="00556560">
      <w:pPr>
        <w:jc w:val="both"/>
      </w:pPr>
      <w:r>
        <w:t>Interventions can be personalised around modifiable consequences of the factors identified. Age and sex cannot be changed, but related needs can be anticipated. Interrupted education may be addressed through health literacy and skills training; unemployment through vocational rehabilitation; low income through access to social protection; and limited family support through psychoeducation and family intervention. Negative symptoms, depression, anxiety, and adverse effects require appropriate pharmacological and psychosocial management.</w:t>
      </w:r>
    </w:p>
    <w:p w14:paraId="5C52670A" w14:textId="77777777" w:rsidR="000D65B8" w:rsidRDefault="00000000" w:rsidP="00556560">
      <w:pPr>
        <w:jc w:val="both"/>
      </w:pPr>
      <w:r>
        <w:t>Intervention evidence supports these targets while indicating that quality-of-life benefits are not uniform. Petkari et al. (2024) found that effects varied across psychological approaches. Wang et al. (2026) reported improved SQoL during structured rehabilitation, with clinical changes helping to explain response. A stepped approach that measures quality of life, identifies targets, monitors change, and adjusts care may therefore be useful.</w:t>
      </w:r>
    </w:p>
    <w:p w14:paraId="6047DC86" w14:textId="77777777" w:rsidR="000D65B8" w:rsidRDefault="00000000" w:rsidP="00556560">
      <w:pPr>
        <w:jc w:val="both"/>
      </w:pPr>
      <w:r>
        <w:t>Several limitations affect interpretation. Instrument and design heterogeneity precluded a new meta-analysis. Much of the evidence came from China, whose health system and family contexts may differ from Indonesia. Marital status, education, employment, and income were defined differently across studies. Cross-sectional evidence predominated for some social factors, limiting causal inference. Non-English publications with English abstracts may contain useful evidence but restrict detailed methodological assessment; the original review's English-language eligibility criteria also need to be considered when interpreting this limitation.</w:t>
      </w:r>
    </w:p>
    <w:p w14:paraId="3FE3DE1E" w14:textId="77777777" w:rsidR="000D65B8" w:rsidRDefault="00000000" w:rsidP="00556560">
      <w:pPr>
        <w:jc w:val="both"/>
      </w:pPr>
      <w:r>
        <w:t>The synthesis of evidence published during 2020–2026 offers clinically relevant directions for mental health services. Recurring associations involving employment, social support, age at onset, negative symptoms, depression, anxiety, and cognition support considering social rehabilitation together with clinical management. Less consistent factors, including marital status, education, and sex, remain markers of context and individual need rather than sufficient predictors in isolation.</w:t>
      </w:r>
    </w:p>
    <w:p w14:paraId="23CCEBC8" w14:textId="77777777" w:rsidR="000D65B8" w:rsidRDefault="00000000" w:rsidP="00556560">
      <w:pPr>
        <w:jc w:val="both"/>
      </w:pPr>
      <w:r>
        <w:t xml:space="preserve">Further methodological limitations include single-reviewer screening and extraction, possible selection or extraction errors, and retrospective appraisal added during manuscript preparation rather than the initial review. The source reports 16 final entries across factor domains, whereas </w:t>
      </w:r>
      <w:r>
        <w:lastRenderedPageBreak/>
        <w:t>this synthesis discusses 11 unique core sources. The distinction between original inclusion, repeated use across domains, and later narrative evidence requires a transparent study-level account. Lack of prospective protocol registration also limits verification of the original plan.</w:t>
      </w:r>
    </w:p>
    <w:p w14:paraId="077E2B0E" w14:textId="77777777" w:rsidR="000D65B8" w:rsidRDefault="00000000" w:rsidP="00556560">
      <w:pPr>
        <w:pStyle w:val="Heading1"/>
        <w:jc w:val="both"/>
      </w:pPr>
      <w:r>
        <w:t>5 Conclusion</w:t>
      </w:r>
    </w:p>
    <w:p w14:paraId="0E4671EF" w14:textId="77777777" w:rsidR="000D65B8" w:rsidRDefault="00000000" w:rsidP="00556560">
      <w:pPr>
        <w:jc w:val="both"/>
      </w:pPr>
      <w:r>
        <w:t>Quality of life in people with schizophrenia is associated with age and age at onset, sex, marital status, education, employment, income, and family support, but the direction and consistency of these associations vary. Recurring findings concern onset and illness course, employment, economic resources, social support, and clinical factors including negative symptoms, depression, anxiety, cognitive impairment, and treatment adverse effects.</w:t>
      </w:r>
    </w:p>
    <w:p w14:paraId="3F8D99FE" w14:textId="77777777" w:rsidR="000D65B8" w:rsidRDefault="00000000" w:rsidP="00556560">
      <w:pPr>
        <w:jc w:val="both"/>
      </w:pPr>
      <w:r>
        <w:t>Sociodemographic factors should be interpreted as interconnected influences on functioning, independence, and participation. Improving quality of life may require treatment combined with vocational rehabilitation, family support, social protection, health literacy, and regular quality-of-life monitoring.</w:t>
      </w:r>
    </w:p>
    <w:p w14:paraId="365979A5" w14:textId="77777777" w:rsidR="000D65B8" w:rsidRDefault="00000000" w:rsidP="00556560">
      <w:pPr>
        <w:jc w:val="both"/>
      </w:pPr>
      <w:r>
        <w:t>Future research should use longitudinal designs, more consistent definitions, cross-culturally validated instruments, and analyses of mediation and interaction. In Indonesia, multicentre community studies comparing urban and rural settings could clarify how economic resources, employment, family support, service access, and cultural characteristics relate to quality of life.</w:t>
      </w:r>
    </w:p>
    <w:p w14:paraId="219C76A6" w14:textId="77777777" w:rsidR="000D65B8" w:rsidRDefault="00000000" w:rsidP="00556560">
      <w:pPr>
        <w:jc w:val="both"/>
      </w:pPr>
      <w:r>
        <w:br w:type="page"/>
      </w:r>
    </w:p>
    <w:p w14:paraId="0A8091A1" w14:textId="77777777" w:rsidR="000D65B8" w:rsidRDefault="00000000">
      <w:pPr>
        <w:pStyle w:val="Heading1"/>
      </w:pPr>
      <w:r>
        <w:lastRenderedPageBreak/>
        <w:t>References</w:t>
      </w:r>
    </w:p>
    <w:p w14:paraId="015F805E" w14:textId="77777777" w:rsidR="000D65B8" w:rsidRDefault="00000000" w:rsidP="00556560">
      <w:pPr>
        <w:keepLines/>
        <w:spacing w:after="140" w:line="276" w:lineRule="auto"/>
        <w:ind w:left="360" w:hanging="360"/>
        <w:jc w:val="both"/>
      </w:pPr>
      <w:r>
        <w:t xml:space="preserve">Bhatarasakoon, P., Han, M., Yu, X., Tao, X., Wang, L., Yodang, Y., Feng, X., &amp; Hua, R. (2025). Evolving perspectives on quality of life in schizophrenia: A decade of research mapped through comprehensive scoping review. </w:t>
      </w:r>
      <w:r>
        <w:rPr>
          <w:i/>
        </w:rPr>
        <w:t>International Journal of Mental Health Nursing, 34</w:t>
      </w:r>
      <w:r>
        <w:t xml:space="preserve">(6), e70199. </w:t>
      </w:r>
      <w:hyperlink r:id="rId9">
        <w:r>
          <w:rPr>
            <w:u w:val="single"/>
          </w:rPr>
          <w:t>https://doi.org/10.1111/inm.70199</w:t>
        </w:r>
      </w:hyperlink>
    </w:p>
    <w:p w14:paraId="47CC5670" w14:textId="77777777" w:rsidR="000D65B8" w:rsidRDefault="00000000" w:rsidP="00556560">
      <w:pPr>
        <w:keepLines/>
        <w:spacing w:after="140" w:line="276" w:lineRule="auto"/>
        <w:ind w:left="360" w:hanging="360"/>
        <w:jc w:val="both"/>
      </w:pPr>
      <w:r>
        <w:t xml:space="preserve">Chan, A., Lu, A., Menon, T., Wong, S., Valentino, K., Le, G. H., Dri, C. E., &amp; McIntyre, R. S. (2026). Association between negative symptoms and health-related quality of life and functional outcomes in persons with schizophrenia: A systematic review. </w:t>
      </w:r>
      <w:r>
        <w:rPr>
          <w:i/>
        </w:rPr>
        <w:t>Schizophrenia Research, 288</w:t>
      </w:r>
      <w:r>
        <w:t xml:space="preserve">, 95–103. </w:t>
      </w:r>
      <w:hyperlink r:id="rId10">
        <w:r>
          <w:rPr>
            <w:u w:val="single"/>
          </w:rPr>
          <w:t>https://doi.org/10.1016/j.schres.2025.12.019</w:t>
        </w:r>
      </w:hyperlink>
    </w:p>
    <w:p w14:paraId="051CDAB0" w14:textId="77777777" w:rsidR="000D65B8" w:rsidRDefault="00000000" w:rsidP="00556560">
      <w:pPr>
        <w:keepLines/>
        <w:spacing w:after="140" w:line="276" w:lineRule="auto"/>
        <w:ind w:left="360" w:hanging="360"/>
        <w:jc w:val="both"/>
      </w:pPr>
      <w:r>
        <w:t xml:space="preserve">de Winter, L., Jelsma, A., Vermeulen, J. M., van Weeghel, J., Hasson-Ohayon, I., Mulder, C. L., Boonstra, N., Veling, W., &amp; de Haan, L. (2025). Long-term changes in personal recovery and quality of life among patients with schizophrenia spectrum disorders and different durations of illness: A meta-analysis. </w:t>
      </w:r>
      <w:r>
        <w:rPr>
          <w:i/>
        </w:rPr>
        <w:t>Schizophrenia Bulletin, 51</w:t>
      </w:r>
      <w:r>
        <w:t xml:space="preserve">(1), 37–53. </w:t>
      </w:r>
      <w:hyperlink r:id="rId11">
        <w:r>
          <w:rPr>
            <w:u w:val="single"/>
          </w:rPr>
          <w:t>https://doi.org/10.1093/schbul/sbae045</w:t>
        </w:r>
      </w:hyperlink>
    </w:p>
    <w:p w14:paraId="3EFE4244" w14:textId="77777777" w:rsidR="000D65B8" w:rsidRDefault="00000000" w:rsidP="00556560">
      <w:pPr>
        <w:keepLines/>
        <w:spacing w:after="140" w:line="276" w:lineRule="auto"/>
        <w:ind w:left="360" w:hanging="360"/>
        <w:jc w:val="both"/>
      </w:pPr>
      <w:r>
        <w:t xml:space="preserve">Gagiu, C., Dionisie, V., Manea, M. C., Covaliu, A., Vlad, A. D., Tupu, A. E., &amp; Manea, M. (2025). Quality of life in caregivers of patients with schizophrenia: A systematic review of the impact of sociodemographic, clinical, and psychological factors. </w:t>
      </w:r>
      <w:r>
        <w:rPr>
          <w:i/>
        </w:rPr>
        <w:t>Behavioral Sciences, 15</w:t>
      </w:r>
      <w:r>
        <w:t xml:space="preserve">(5), 684. </w:t>
      </w:r>
      <w:hyperlink r:id="rId12">
        <w:r>
          <w:rPr>
            <w:u w:val="single"/>
          </w:rPr>
          <w:t>https://doi.org/10.3390/bs15050684</w:t>
        </w:r>
      </w:hyperlink>
    </w:p>
    <w:p w14:paraId="3B410A9D" w14:textId="77777777" w:rsidR="000D65B8" w:rsidRDefault="00000000" w:rsidP="00556560">
      <w:pPr>
        <w:keepLines/>
        <w:spacing w:after="140" w:line="276" w:lineRule="auto"/>
        <w:ind w:left="360" w:hanging="360"/>
        <w:jc w:val="both"/>
      </w:pPr>
      <w:r>
        <w:t xml:space="preserve">Hadzi Boskovic, D., Smith-Palmer, J., Pöhlmann, J., Pollock, R. F., Hwang, S., &amp; Bruhn, D. (2024). Systematic literature review of studies reporting measures of functional outcome or quality of life in people with negative symptoms of schizophrenia. </w:t>
      </w:r>
      <w:r>
        <w:rPr>
          <w:i/>
        </w:rPr>
        <w:t>Patient Related Outcome Measures, 15</w:t>
      </w:r>
      <w:r>
        <w:t xml:space="preserve">, 199–217. </w:t>
      </w:r>
      <w:hyperlink r:id="rId13">
        <w:r>
          <w:rPr>
            <w:u w:val="single"/>
          </w:rPr>
          <w:t>https://doi.org/10.2147/PROM.S454845</w:t>
        </w:r>
      </w:hyperlink>
    </w:p>
    <w:p w14:paraId="4940EFB1" w14:textId="77777777" w:rsidR="000D65B8" w:rsidRDefault="00000000" w:rsidP="00556560">
      <w:pPr>
        <w:keepLines/>
        <w:spacing w:after="140" w:line="276" w:lineRule="auto"/>
        <w:ind w:left="360" w:hanging="360"/>
        <w:jc w:val="both"/>
      </w:pPr>
      <w:r>
        <w:t xml:space="preserve">He, X.-Y., Migliorini, C., Huang, Z.-H., Wang, F., Zhou, R., Chen, Z.-L., Xiao, Y.-N., Wang, Q.-W., Wang, S.-B., Harvey, C., &amp; Hou, C.-L. (2022). Quality of life in patients with schizophrenia: A 2-year cohort study in primary mental health care in rural China. </w:t>
      </w:r>
      <w:r>
        <w:rPr>
          <w:i/>
        </w:rPr>
        <w:t>Frontiers in Public Health, 10</w:t>
      </w:r>
      <w:r>
        <w:t xml:space="preserve">, 983733. </w:t>
      </w:r>
      <w:hyperlink r:id="rId14">
        <w:r>
          <w:rPr>
            <w:u w:val="single"/>
          </w:rPr>
          <w:t>https://doi.org/10.3389/fpubh.2022.983733</w:t>
        </w:r>
      </w:hyperlink>
    </w:p>
    <w:p w14:paraId="5B383E27" w14:textId="77777777" w:rsidR="000D65B8" w:rsidRDefault="00000000" w:rsidP="00556560">
      <w:pPr>
        <w:keepLines/>
        <w:spacing w:after="140" w:line="276" w:lineRule="auto"/>
        <w:ind w:left="360" w:hanging="360"/>
        <w:jc w:val="both"/>
      </w:pPr>
      <w:r>
        <w:t xml:space="preserve">Hoeksema, L., Bruins, J., Gangadin, S., van der Meer, L., Pijnenborg, M., Visser, E., Timmerman, M. E., &amp; Castelein, S. (2025). Sex differences and age of onset in well-being and recovery in people with psychotic disorders. A PHAMOUS study. </w:t>
      </w:r>
      <w:r>
        <w:rPr>
          <w:i/>
        </w:rPr>
        <w:t>Schizophrenia Research, 277</w:t>
      </w:r>
      <w:r>
        <w:t xml:space="preserve">, 86–92. </w:t>
      </w:r>
      <w:hyperlink r:id="rId15">
        <w:r>
          <w:rPr>
            <w:u w:val="single"/>
          </w:rPr>
          <w:t>https://doi.org/10.1016/j.schres.2025.01.029</w:t>
        </w:r>
      </w:hyperlink>
    </w:p>
    <w:p w14:paraId="17B54ABE" w14:textId="77777777" w:rsidR="000D65B8" w:rsidRDefault="00000000" w:rsidP="00556560">
      <w:pPr>
        <w:keepLines/>
        <w:spacing w:after="140" w:line="276" w:lineRule="auto"/>
        <w:ind w:left="360" w:hanging="360"/>
        <w:jc w:val="both"/>
      </w:pPr>
      <w:r>
        <w:t xml:space="preserve">Hoseinipalangi, Z., Golmohammadi, Z., Rafiei, S., Pashazadeh Kan, F., Hosseinifard, H., Rezaei, S., Ahmadi, S., Ahmadi, N., Raoofi, S., Aghajani, F., Dehnad, A., Shabaninejad, H., Aghalou, S., Shabani, H., &amp; Ghashghaee, A. (2022). Global health-related quality of life in schizophrenia: Systematic review and meta-analysis. </w:t>
      </w:r>
      <w:r>
        <w:rPr>
          <w:i/>
        </w:rPr>
        <w:t>BMJ Supportive &amp; Palliative Care, 12</w:t>
      </w:r>
      <w:r>
        <w:t xml:space="preserve">(2), 123–131. </w:t>
      </w:r>
      <w:hyperlink r:id="rId16">
        <w:r>
          <w:rPr>
            <w:u w:val="single"/>
          </w:rPr>
          <w:t>https://doi.org/10.1136/bmjspcare-2021-002936</w:t>
        </w:r>
      </w:hyperlink>
    </w:p>
    <w:p w14:paraId="21011612" w14:textId="77777777" w:rsidR="000D65B8" w:rsidRDefault="00000000" w:rsidP="00556560">
      <w:pPr>
        <w:keepLines/>
        <w:spacing w:after="140" w:line="276" w:lineRule="auto"/>
        <w:ind w:left="360" w:hanging="360"/>
        <w:jc w:val="both"/>
      </w:pPr>
      <w:r>
        <w:lastRenderedPageBreak/>
        <w:t xml:space="preserve">Jerome, L., Matanov, A., Bird, V., Priebe, S., &amp; McNamee, P. (2024). Comparison of subjective quality of life domains in schizophrenia, mood, and anxiety disorders; an individual patient data meta-analysis. </w:t>
      </w:r>
      <w:r>
        <w:rPr>
          <w:i/>
        </w:rPr>
        <w:t>Psychiatry Research, 332</w:t>
      </w:r>
      <w:r>
        <w:t xml:space="preserve">, 115707. </w:t>
      </w:r>
      <w:hyperlink r:id="rId17">
        <w:r>
          <w:rPr>
            <w:u w:val="single"/>
          </w:rPr>
          <w:t>https://doi.org/10.1016/j.psychres.2023.115707</w:t>
        </w:r>
      </w:hyperlink>
    </w:p>
    <w:p w14:paraId="41B8691C" w14:textId="77777777" w:rsidR="000D65B8" w:rsidRDefault="00000000" w:rsidP="00556560">
      <w:pPr>
        <w:keepLines/>
        <w:spacing w:after="140" w:line="276" w:lineRule="auto"/>
        <w:ind w:left="360" w:hanging="360"/>
        <w:jc w:val="both"/>
      </w:pPr>
      <w:r>
        <w:t xml:space="preserve">Migliorini, C., Harvey, C., Hou, C., Wang, S., Wang, F., &amp; Huang, Z.-H. (2024). Subjective quality of life and schizophrenia: Results from a large cohort study based in Chinese primary care. </w:t>
      </w:r>
      <w:r>
        <w:rPr>
          <w:i/>
        </w:rPr>
        <w:t>BMC Psychiatry, 24</w:t>
      </w:r>
      <w:r>
        <w:t xml:space="preserve">(1), 86. </w:t>
      </w:r>
      <w:hyperlink r:id="rId18">
        <w:r>
          <w:rPr>
            <w:u w:val="single"/>
          </w:rPr>
          <w:t>https://doi.org/10.1186/s12888-024-05558-w</w:t>
        </w:r>
      </w:hyperlink>
    </w:p>
    <w:p w14:paraId="5AA53654" w14:textId="77777777" w:rsidR="000D65B8" w:rsidRDefault="00000000" w:rsidP="00556560">
      <w:pPr>
        <w:keepLines/>
        <w:spacing w:after="140" w:line="276" w:lineRule="auto"/>
        <w:ind w:left="360" w:hanging="360"/>
        <w:jc w:val="both"/>
      </w:pPr>
      <w:r>
        <w:t xml:space="preserve">Moniem, I., &amp; Kafetzopoulos, V. (2025). Sex differences in schizophrenia: Symptomatology, treatment efficacy and adverse effects. </w:t>
      </w:r>
      <w:r>
        <w:rPr>
          <w:i/>
        </w:rPr>
        <w:t>Frontiers in Psychiatry, 16</w:t>
      </w:r>
      <w:r>
        <w:t xml:space="preserve">, 1594334. </w:t>
      </w:r>
      <w:hyperlink r:id="rId19">
        <w:r>
          <w:rPr>
            <w:u w:val="single"/>
          </w:rPr>
          <w:t>https://doi.org/10.3389/fpsyt.2025.1594334</w:t>
        </w:r>
      </w:hyperlink>
    </w:p>
    <w:p w14:paraId="0F222895" w14:textId="77777777" w:rsidR="000D65B8" w:rsidRDefault="00000000" w:rsidP="00556560">
      <w:pPr>
        <w:keepLines/>
        <w:spacing w:after="140" w:line="276" w:lineRule="auto"/>
        <w:ind w:left="360" w:hanging="360"/>
        <w:jc w:val="both"/>
      </w:pPr>
      <w:r>
        <w:t xml:space="preserve">Petkari, E., Nikolaou, E., Oberleiter, S., Priebe, S., &amp; Pietschnig, J. (2024). Which psychological interventions improve quality of life in patients with schizophrenia-spectrum disorders? A meta-analysis of randomized controlled trials. </w:t>
      </w:r>
      <w:r>
        <w:rPr>
          <w:i/>
        </w:rPr>
        <w:t>Psychological Medicine, 54</w:t>
      </w:r>
      <w:r>
        <w:t xml:space="preserve">(2), 221–244. </w:t>
      </w:r>
      <w:hyperlink r:id="rId20">
        <w:r>
          <w:rPr>
            <w:u w:val="single"/>
          </w:rPr>
          <w:t>https://doi.org/10.1017/S0033291723003070</w:t>
        </w:r>
      </w:hyperlink>
    </w:p>
    <w:p w14:paraId="2C7B9D78" w14:textId="77777777" w:rsidR="000D65B8" w:rsidRDefault="00000000" w:rsidP="00556560">
      <w:pPr>
        <w:keepLines/>
        <w:spacing w:after="140" w:line="276" w:lineRule="auto"/>
        <w:ind w:left="360" w:hanging="360"/>
        <w:jc w:val="both"/>
      </w:pPr>
      <w:r>
        <w:t xml:space="preserve">Petrovic, A. D., Barjaktarevic, A. M., Kostic, O. Z., Dimitrijevic, J. M., Mijailovic, S. S., Gogic, A. D., Jankovic, S. M., Andjelkovic, M. V., Stanojevic Pirkovic, M. S., Parezanovic Ilic, K. D., Kostic, M. J., &amp; Janjic, V. S. (2024). Evaluation of quality of life in patients with schizophrenia: An inpatient social welfare institution-based cross-sectional study. </w:t>
      </w:r>
      <w:r>
        <w:rPr>
          <w:i/>
        </w:rPr>
        <w:t>Open Medicine, 19</w:t>
      </w:r>
      <w:r>
        <w:t xml:space="preserve">(1), 20240947. </w:t>
      </w:r>
      <w:hyperlink r:id="rId21">
        <w:r>
          <w:rPr>
            <w:u w:val="single"/>
          </w:rPr>
          <w:t>https://doi.org/10.1515/med-2024-0947</w:t>
        </w:r>
      </w:hyperlink>
    </w:p>
    <w:p w14:paraId="1D54C70F" w14:textId="77777777" w:rsidR="000D65B8" w:rsidRDefault="00000000" w:rsidP="00556560">
      <w:pPr>
        <w:keepLines/>
        <w:spacing w:after="140" w:line="276" w:lineRule="auto"/>
        <w:ind w:left="360" w:hanging="360"/>
        <w:jc w:val="both"/>
      </w:pPr>
      <w:r>
        <w:t xml:space="preserve">Prasetiyo, N. A., Wahyudin, E., Setiawan, I., Sanusi, M., Purba, F. D., Alkaff, S. D., &amp; Arifin, B. (2025). Assessing health-related quality of life in schizophrenia patients using EQ-5D-5L index: Insights from patients and caregivers. </w:t>
      </w:r>
      <w:r>
        <w:rPr>
          <w:i/>
        </w:rPr>
        <w:t>Narra J, 5</w:t>
      </w:r>
      <w:r>
        <w:t xml:space="preserve">(2), e1314. </w:t>
      </w:r>
      <w:hyperlink r:id="rId22">
        <w:r>
          <w:rPr>
            <w:u w:val="single"/>
          </w:rPr>
          <w:t>https://doi.org/10.52225/narra.v5i2.1314</w:t>
        </w:r>
      </w:hyperlink>
    </w:p>
    <w:p w14:paraId="58654258" w14:textId="77777777" w:rsidR="000D65B8" w:rsidRDefault="00000000" w:rsidP="00556560">
      <w:pPr>
        <w:keepLines/>
        <w:spacing w:after="140" w:line="276" w:lineRule="auto"/>
        <w:ind w:left="360" w:hanging="360"/>
        <w:jc w:val="both"/>
      </w:pPr>
      <w:r>
        <w:t xml:space="preserve">Völker, J. S. D., &amp; Micluţia, I. V. (2025). Assessing the quality of life of schizophrenia patients and their family caregivers in a Romanian sample: the role of clinical, sociocultural, and demographic factors. </w:t>
      </w:r>
      <w:r>
        <w:rPr>
          <w:i/>
        </w:rPr>
        <w:t>Medicine and Pharmacy Reports, 98</w:t>
      </w:r>
      <w:r>
        <w:t xml:space="preserve">(1), 96–110. </w:t>
      </w:r>
      <w:hyperlink r:id="rId23">
        <w:r>
          <w:rPr>
            <w:u w:val="single"/>
          </w:rPr>
          <w:t>https://doi.org/10.15386/mpr-2816</w:t>
        </w:r>
      </w:hyperlink>
    </w:p>
    <w:p w14:paraId="3FAF1724" w14:textId="77777777" w:rsidR="000D65B8" w:rsidRDefault="00000000" w:rsidP="00556560">
      <w:pPr>
        <w:keepLines/>
        <w:spacing w:after="140" w:line="276" w:lineRule="auto"/>
        <w:ind w:left="360" w:hanging="360"/>
        <w:jc w:val="both"/>
      </w:pPr>
      <w:r>
        <w:t xml:space="preserve">Wakim, M. L., Al Haddad, C., Haddad, C., Mouawad, M., &amp; Hachem, D. (2025). The relationship between perceived social support and quality of life among hospitalized patients with schizophrenia. </w:t>
      </w:r>
      <w:r>
        <w:rPr>
          <w:i/>
        </w:rPr>
        <w:t>Scientific Reports, 15</w:t>
      </w:r>
      <w:r>
        <w:t xml:space="preserve">(1), 36039. </w:t>
      </w:r>
      <w:hyperlink r:id="rId24">
        <w:r>
          <w:rPr>
            <w:u w:val="single"/>
          </w:rPr>
          <w:t>https://doi.org/10.1038/s41598-025-19953-0</w:t>
        </w:r>
      </w:hyperlink>
    </w:p>
    <w:p w14:paraId="3B178C81" w14:textId="77777777" w:rsidR="000D65B8" w:rsidRDefault="00000000" w:rsidP="00556560">
      <w:pPr>
        <w:keepLines/>
        <w:spacing w:after="140" w:line="276" w:lineRule="auto"/>
        <w:ind w:left="360" w:hanging="360"/>
        <w:jc w:val="both"/>
      </w:pPr>
      <w:r>
        <w:t xml:space="preserve">Wang, X., Yang, X., Jiang, W., Zhou, D., Wang, W., Jin, W., Tang, Y., Ren, Y., &amp; Yang, C. (2026). Predictors for quality of life improvement in schizophrenia: A prospective study of patients in hospital-based rehabilitation programs. </w:t>
      </w:r>
      <w:r>
        <w:rPr>
          <w:i/>
        </w:rPr>
        <w:t>BMC Psychiatry, 26</w:t>
      </w:r>
      <w:r>
        <w:t xml:space="preserve">(1), 297. </w:t>
      </w:r>
      <w:hyperlink r:id="rId25">
        <w:r>
          <w:rPr>
            <w:u w:val="single"/>
          </w:rPr>
          <w:t>https://doi.org/10.1186/s12888-026-08029-6</w:t>
        </w:r>
      </w:hyperlink>
    </w:p>
    <w:p w14:paraId="11761532" w14:textId="77777777" w:rsidR="000D65B8" w:rsidRDefault="00000000" w:rsidP="00556560">
      <w:pPr>
        <w:keepLines/>
        <w:spacing w:after="140" w:line="276" w:lineRule="auto"/>
        <w:ind w:left="360" w:hanging="360"/>
        <w:jc w:val="both"/>
      </w:pPr>
      <w:r>
        <w:lastRenderedPageBreak/>
        <w:t xml:space="preserve">Zhang, C.-X., Ren, X.-H., Yang, X.-M., Fan, R.-X., Wang, Y., Li, Y.-L., Jiang, H.-J., Liu, Y.-Y., &amp; Liu, X. (2023). Quality of life and its influencing factors among schizophrenia patients living in urban and rural areas. </w:t>
      </w:r>
      <w:r>
        <w:rPr>
          <w:i/>
        </w:rPr>
        <w:t>Journal of Sichuan University (Medical Sciences), 54</w:t>
      </w:r>
      <w:r>
        <w:t xml:space="preserve">(3), 608–613. </w:t>
      </w:r>
      <w:hyperlink r:id="rId26">
        <w:r>
          <w:rPr>
            <w:u w:val="single"/>
          </w:rPr>
          <w:t>https://doi.org/10.12182/20230560202</w:t>
        </w:r>
      </w:hyperlink>
    </w:p>
    <w:p w14:paraId="7A17DAF4" w14:textId="77777777" w:rsidR="000D65B8" w:rsidRDefault="00000000" w:rsidP="00556560">
      <w:pPr>
        <w:keepLines/>
        <w:spacing w:after="140" w:line="276" w:lineRule="auto"/>
        <w:ind w:left="360" w:hanging="360"/>
        <w:jc w:val="both"/>
      </w:pPr>
      <w:r>
        <w:t xml:space="preserve">Zhou, D., Yang, X., Wang, W., Jin, W., Tang, Y., Zheng, Z., &amp; Ren, Y. (2024). Exploring the interplay of psychiatric symptoms, antipsychotic medications, side effects, employment status, and quality of life in chronic schizophrenia. </w:t>
      </w:r>
      <w:r>
        <w:rPr>
          <w:i/>
        </w:rPr>
        <w:t>BMC Psychiatry, 24</w:t>
      </w:r>
      <w:r>
        <w:t xml:space="preserve">(1), 484. </w:t>
      </w:r>
      <w:hyperlink r:id="rId27">
        <w:r>
          <w:rPr>
            <w:u w:val="single"/>
          </w:rPr>
          <w:t>https://doi.org/10.1186/s12888-024-05929-3</w:t>
        </w:r>
      </w:hyperlink>
    </w:p>
    <w:p w14:paraId="0037C0E6" w14:textId="77777777" w:rsidR="000D65B8" w:rsidRDefault="00000000" w:rsidP="00556560">
      <w:pPr>
        <w:keepLines/>
        <w:spacing w:after="140" w:line="276" w:lineRule="auto"/>
        <w:ind w:left="360" w:hanging="360"/>
        <w:jc w:val="both"/>
      </w:pPr>
      <w:r>
        <w:t xml:space="preserve">Zúñiga Le-Bert, M., Wiessner, M., Wehr, S., Weigel, L., &amp; Leucht, S. (2025). Schizophrenia Quality of Life Scale and Schizophrenia Quality of Life Scale Revision 4: A systematic review of measurement properties. </w:t>
      </w:r>
      <w:r>
        <w:rPr>
          <w:i/>
        </w:rPr>
        <w:t>Schizophrenia Bulletin, 51</w:t>
      </w:r>
      <w:r>
        <w:t xml:space="preserve">(4), 997–1008. </w:t>
      </w:r>
      <w:hyperlink r:id="rId28">
        <w:r>
          <w:rPr>
            <w:u w:val="single"/>
          </w:rPr>
          <w:t>https://doi.org/10.1093/schbul/sbae119</w:t>
        </w:r>
      </w:hyperlink>
    </w:p>
    <w:p w14:paraId="75EFED93" w14:textId="77777777" w:rsidR="000D65B8" w:rsidRDefault="000D65B8">
      <w:pPr>
        <w:sectPr w:rsidR="000D65B8">
          <w:headerReference w:type="default" r:id="rId29"/>
          <w:footerReference w:type="default" r:id="rId30"/>
          <w:pgSz w:w="12240" w:h="15840"/>
          <w:pgMar w:top="1152" w:right="1440" w:bottom="1152" w:left="1440" w:header="432" w:footer="432" w:gutter="0"/>
          <w:cols w:space="720"/>
          <w:docGrid w:linePitch="360"/>
        </w:sectPr>
      </w:pPr>
    </w:p>
    <w:p w14:paraId="107A1F30" w14:textId="77777777" w:rsidR="000D65B8" w:rsidRDefault="00000000">
      <w:pPr>
        <w:keepNext/>
      </w:pPr>
      <w:r>
        <w:rPr>
          <w:b/>
        </w:rPr>
        <w:lastRenderedPageBreak/>
        <w:t xml:space="preserve">Table 1 </w:t>
      </w:r>
      <w:r>
        <w:t>Summary of the core evidence sources</w:t>
      </w:r>
    </w:p>
    <w:tbl>
      <w:tblPr>
        <w:tblW w:w="1396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85" w:type="dxa"/>
          <w:bottom w:w="70" w:type="dxa"/>
          <w:right w:w="85" w:type="dxa"/>
        </w:tblCellMar>
        <w:tblLook w:val="04A0" w:firstRow="1" w:lastRow="0" w:firstColumn="1" w:lastColumn="0" w:noHBand="0" w:noVBand="1"/>
      </w:tblPr>
      <w:tblGrid>
        <w:gridCol w:w="1987"/>
        <w:gridCol w:w="2563"/>
        <w:gridCol w:w="2016"/>
        <w:gridCol w:w="2520"/>
        <w:gridCol w:w="4882"/>
      </w:tblGrid>
      <w:tr w:rsidR="000D65B8" w14:paraId="20ED127D" w14:textId="77777777">
        <w:trPr>
          <w:cantSplit/>
          <w:tblHeader/>
          <w:jc w:val="center"/>
        </w:trPr>
        <w:tc>
          <w:tcPr>
            <w:tcW w:w="1987" w:type="dxa"/>
            <w:shd w:val="clear" w:color="auto" w:fill="F2F2F2"/>
          </w:tcPr>
          <w:p w14:paraId="380B1CD3" w14:textId="77777777" w:rsidR="000D65B8" w:rsidRDefault="00000000">
            <w:pPr>
              <w:spacing w:after="0" w:line="259" w:lineRule="auto"/>
            </w:pPr>
            <w:r>
              <w:rPr>
                <w:rFonts w:eastAsia="Times New Roman" w:cs="Times New Roman"/>
                <w:b/>
                <w:sz w:val="22"/>
              </w:rPr>
              <w:t>Study</w:t>
            </w:r>
          </w:p>
        </w:tc>
        <w:tc>
          <w:tcPr>
            <w:tcW w:w="2563" w:type="dxa"/>
            <w:shd w:val="clear" w:color="auto" w:fill="F2F2F2"/>
          </w:tcPr>
          <w:p w14:paraId="1D5DA0D3" w14:textId="77777777" w:rsidR="000D65B8" w:rsidRDefault="00000000">
            <w:pPr>
              <w:spacing w:after="0" w:line="259" w:lineRule="auto"/>
            </w:pPr>
            <w:r>
              <w:rPr>
                <w:rFonts w:eastAsia="Times New Roman" w:cs="Times New Roman"/>
                <w:b/>
                <w:sz w:val="22"/>
              </w:rPr>
              <w:t>Setting and design</w:t>
            </w:r>
          </w:p>
        </w:tc>
        <w:tc>
          <w:tcPr>
            <w:tcW w:w="2016" w:type="dxa"/>
            <w:shd w:val="clear" w:color="auto" w:fill="F2F2F2"/>
          </w:tcPr>
          <w:p w14:paraId="2BEF6DC9" w14:textId="77777777" w:rsidR="000D65B8" w:rsidRDefault="00000000">
            <w:pPr>
              <w:spacing w:after="0" w:line="259" w:lineRule="auto"/>
            </w:pPr>
            <w:r>
              <w:rPr>
                <w:rFonts w:eastAsia="Times New Roman" w:cs="Times New Roman"/>
                <w:b/>
                <w:sz w:val="22"/>
              </w:rPr>
              <w:t>Instrument</w:t>
            </w:r>
          </w:p>
        </w:tc>
        <w:tc>
          <w:tcPr>
            <w:tcW w:w="2520" w:type="dxa"/>
            <w:shd w:val="clear" w:color="auto" w:fill="F2F2F2"/>
          </w:tcPr>
          <w:p w14:paraId="1B53752A" w14:textId="77777777" w:rsidR="000D65B8" w:rsidRDefault="00000000">
            <w:pPr>
              <w:spacing w:after="0" w:line="259" w:lineRule="auto"/>
            </w:pPr>
            <w:r>
              <w:rPr>
                <w:rFonts w:eastAsia="Times New Roman" w:cs="Times New Roman"/>
                <w:b/>
                <w:sz w:val="22"/>
              </w:rPr>
              <w:t>Main factors</w:t>
            </w:r>
          </w:p>
        </w:tc>
        <w:tc>
          <w:tcPr>
            <w:tcW w:w="4882" w:type="dxa"/>
            <w:shd w:val="clear" w:color="auto" w:fill="F2F2F2"/>
          </w:tcPr>
          <w:p w14:paraId="6BC28820" w14:textId="77777777" w:rsidR="000D65B8" w:rsidRDefault="00000000">
            <w:pPr>
              <w:spacing w:after="0" w:line="259" w:lineRule="auto"/>
            </w:pPr>
            <w:r>
              <w:rPr>
                <w:rFonts w:eastAsia="Times New Roman" w:cs="Times New Roman"/>
                <w:b/>
                <w:sz w:val="22"/>
              </w:rPr>
              <w:t>Relevant findings</w:t>
            </w:r>
          </w:p>
        </w:tc>
      </w:tr>
      <w:tr w:rsidR="000D65B8" w14:paraId="063E42EC" w14:textId="77777777">
        <w:trPr>
          <w:cantSplit/>
          <w:jc w:val="center"/>
        </w:trPr>
        <w:tc>
          <w:tcPr>
            <w:tcW w:w="1987" w:type="dxa"/>
          </w:tcPr>
          <w:p w14:paraId="41EAF763" w14:textId="77777777" w:rsidR="000D65B8" w:rsidRDefault="00000000">
            <w:pPr>
              <w:spacing w:after="0" w:line="259" w:lineRule="auto"/>
            </w:pPr>
            <w:r>
              <w:rPr>
                <w:rFonts w:eastAsia="Times New Roman" w:cs="Times New Roman"/>
                <w:sz w:val="22"/>
              </w:rPr>
              <w:t>He et al. (2022)</w:t>
            </w:r>
          </w:p>
        </w:tc>
        <w:tc>
          <w:tcPr>
            <w:tcW w:w="2563" w:type="dxa"/>
          </w:tcPr>
          <w:p w14:paraId="6E2170B9" w14:textId="77777777" w:rsidR="000D65B8" w:rsidRDefault="00000000">
            <w:pPr>
              <w:spacing w:after="0" w:line="259" w:lineRule="auto"/>
            </w:pPr>
            <w:r>
              <w:rPr>
                <w:rFonts w:eastAsia="Times New Roman" w:cs="Times New Roman"/>
                <w:sz w:val="22"/>
              </w:rPr>
              <w:t>China; 2-year cohort; n = 491</w:t>
            </w:r>
          </w:p>
        </w:tc>
        <w:tc>
          <w:tcPr>
            <w:tcW w:w="2016" w:type="dxa"/>
          </w:tcPr>
          <w:p w14:paraId="13EE484B" w14:textId="77777777" w:rsidR="000D65B8" w:rsidRDefault="00000000">
            <w:pPr>
              <w:spacing w:after="0" w:line="259" w:lineRule="auto"/>
            </w:pPr>
            <w:r>
              <w:rPr>
                <w:rFonts w:eastAsia="Times New Roman" w:cs="Times New Roman"/>
                <w:sz w:val="22"/>
              </w:rPr>
              <w:t>WHOQOL-BREF</w:t>
            </w:r>
          </w:p>
        </w:tc>
        <w:tc>
          <w:tcPr>
            <w:tcW w:w="2520" w:type="dxa"/>
          </w:tcPr>
          <w:p w14:paraId="37582C0E" w14:textId="77777777" w:rsidR="000D65B8" w:rsidRDefault="00000000">
            <w:pPr>
              <w:spacing w:after="0" w:line="259" w:lineRule="auto"/>
            </w:pPr>
            <w:r>
              <w:rPr>
                <w:rFonts w:eastAsia="Times New Roman" w:cs="Times New Roman"/>
                <w:sz w:val="22"/>
              </w:rPr>
              <w:t>Age, age at onset, employment, marital status</w:t>
            </w:r>
          </w:p>
        </w:tc>
        <w:tc>
          <w:tcPr>
            <w:tcW w:w="4882" w:type="dxa"/>
          </w:tcPr>
          <w:p w14:paraId="4C9EE183" w14:textId="77777777" w:rsidR="000D65B8" w:rsidRDefault="00000000">
            <w:pPr>
              <w:spacing w:after="0" w:line="259" w:lineRule="auto"/>
            </w:pPr>
            <w:r>
              <w:rPr>
                <w:rFonts w:eastAsia="Times New Roman" w:cs="Times New Roman"/>
                <w:sz w:val="22"/>
              </w:rPr>
              <w:t>Older age, earlier onset, unemployment, and being unmarried were associated with poorer QoL alongside symptoms and treatment factors.</w:t>
            </w:r>
          </w:p>
        </w:tc>
      </w:tr>
      <w:tr w:rsidR="000D65B8" w14:paraId="1E3F00C4" w14:textId="77777777">
        <w:trPr>
          <w:cantSplit/>
          <w:jc w:val="center"/>
        </w:trPr>
        <w:tc>
          <w:tcPr>
            <w:tcW w:w="1987" w:type="dxa"/>
          </w:tcPr>
          <w:p w14:paraId="1D9A1388" w14:textId="77777777" w:rsidR="000D65B8" w:rsidRDefault="00000000">
            <w:pPr>
              <w:spacing w:after="0" w:line="259" w:lineRule="auto"/>
            </w:pPr>
            <w:r>
              <w:rPr>
                <w:rFonts w:eastAsia="Times New Roman" w:cs="Times New Roman"/>
                <w:sz w:val="22"/>
              </w:rPr>
              <w:t>Hoseinipalangi et al. (2022)</w:t>
            </w:r>
          </w:p>
        </w:tc>
        <w:tc>
          <w:tcPr>
            <w:tcW w:w="2563" w:type="dxa"/>
          </w:tcPr>
          <w:p w14:paraId="3AEBF9EF" w14:textId="77777777" w:rsidR="000D65B8" w:rsidRDefault="00000000">
            <w:pPr>
              <w:spacing w:after="0" w:line="259" w:lineRule="auto"/>
            </w:pPr>
            <w:r>
              <w:rPr>
                <w:rFonts w:eastAsia="Times New Roman" w:cs="Times New Roman"/>
                <w:sz w:val="22"/>
              </w:rPr>
              <w:t>Meta-analysis; 40 studies; n = 8,363</w:t>
            </w:r>
          </w:p>
        </w:tc>
        <w:tc>
          <w:tcPr>
            <w:tcW w:w="2016" w:type="dxa"/>
          </w:tcPr>
          <w:p w14:paraId="09E02224" w14:textId="77777777" w:rsidR="000D65B8" w:rsidRDefault="00000000">
            <w:pPr>
              <w:spacing w:after="0" w:line="259" w:lineRule="auto"/>
            </w:pPr>
            <w:r>
              <w:rPr>
                <w:rFonts w:eastAsia="Times New Roman" w:cs="Times New Roman"/>
                <w:sz w:val="22"/>
              </w:rPr>
              <w:t>SQLS-R4</w:t>
            </w:r>
          </w:p>
        </w:tc>
        <w:tc>
          <w:tcPr>
            <w:tcW w:w="2520" w:type="dxa"/>
          </w:tcPr>
          <w:p w14:paraId="768A6A29" w14:textId="77777777" w:rsidR="000D65B8" w:rsidRDefault="00000000">
            <w:pPr>
              <w:spacing w:after="0" w:line="259" w:lineRule="auto"/>
            </w:pPr>
            <w:r>
              <w:rPr>
                <w:rFonts w:eastAsia="Times New Roman" w:cs="Times New Roman"/>
                <w:sz w:val="22"/>
              </w:rPr>
              <w:t>Age, illness duration, patient characteristics</w:t>
            </w:r>
          </w:p>
        </w:tc>
        <w:tc>
          <w:tcPr>
            <w:tcW w:w="4882" w:type="dxa"/>
          </w:tcPr>
          <w:p w14:paraId="371791BE" w14:textId="77777777" w:rsidR="000D65B8" w:rsidRDefault="00000000">
            <w:pPr>
              <w:spacing w:after="0" w:line="259" w:lineRule="auto"/>
            </w:pPr>
            <w:r>
              <w:rPr>
                <w:rFonts w:eastAsia="Times New Roman" w:cs="Times New Roman"/>
                <w:sz w:val="22"/>
              </w:rPr>
              <w:t>QoL varied with patient characteristics; age and illness duration showed significant associations in pooled analyses.</w:t>
            </w:r>
          </w:p>
        </w:tc>
      </w:tr>
      <w:tr w:rsidR="000D65B8" w14:paraId="103A50C7" w14:textId="77777777">
        <w:trPr>
          <w:cantSplit/>
          <w:jc w:val="center"/>
        </w:trPr>
        <w:tc>
          <w:tcPr>
            <w:tcW w:w="1987" w:type="dxa"/>
          </w:tcPr>
          <w:p w14:paraId="720D1167" w14:textId="77777777" w:rsidR="000D65B8" w:rsidRDefault="00000000">
            <w:pPr>
              <w:spacing w:after="0" w:line="259" w:lineRule="auto"/>
            </w:pPr>
            <w:r>
              <w:rPr>
                <w:rFonts w:eastAsia="Times New Roman" w:cs="Times New Roman"/>
                <w:sz w:val="22"/>
              </w:rPr>
              <w:t>Zhang et al. (2023)</w:t>
            </w:r>
          </w:p>
        </w:tc>
        <w:tc>
          <w:tcPr>
            <w:tcW w:w="2563" w:type="dxa"/>
          </w:tcPr>
          <w:p w14:paraId="7A619114" w14:textId="77777777" w:rsidR="000D65B8" w:rsidRDefault="00000000">
            <w:pPr>
              <w:spacing w:after="0" w:line="259" w:lineRule="auto"/>
            </w:pPr>
            <w:r>
              <w:rPr>
                <w:rFonts w:eastAsia="Times New Roman" w:cs="Times New Roman"/>
                <w:sz w:val="22"/>
              </w:rPr>
              <w:t>China; urban and rural settings</w:t>
            </w:r>
          </w:p>
        </w:tc>
        <w:tc>
          <w:tcPr>
            <w:tcW w:w="2016" w:type="dxa"/>
          </w:tcPr>
          <w:p w14:paraId="0C07A56E" w14:textId="77777777" w:rsidR="000D65B8" w:rsidRDefault="00000000">
            <w:pPr>
              <w:spacing w:after="0" w:line="259" w:lineRule="auto"/>
            </w:pPr>
            <w:r>
              <w:rPr>
                <w:rFonts w:eastAsia="Times New Roman" w:cs="Times New Roman"/>
                <w:sz w:val="22"/>
              </w:rPr>
              <w:t>Validated QoL instrument</w:t>
            </w:r>
          </w:p>
        </w:tc>
        <w:tc>
          <w:tcPr>
            <w:tcW w:w="2520" w:type="dxa"/>
          </w:tcPr>
          <w:p w14:paraId="1C621580" w14:textId="77777777" w:rsidR="000D65B8" w:rsidRDefault="00000000">
            <w:pPr>
              <w:spacing w:after="0" w:line="259" w:lineRule="auto"/>
            </w:pPr>
            <w:r>
              <w:rPr>
                <w:rFonts w:eastAsia="Times New Roman" w:cs="Times New Roman"/>
                <w:sz w:val="22"/>
              </w:rPr>
              <w:t>Marriage, income, vocational skills, social support</w:t>
            </w:r>
          </w:p>
        </w:tc>
        <w:tc>
          <w:tcPr>
            <w:tcW w:w="4882" w:type="dxa"/>
          </w:tcPr>
          <w:p w14:paraId="79DF8D3D" w14:textId="77777777" w:rsidR="000D65B8" w:rsidRDefault="00000000">
            <w:pPr>
              <w:spacing w:after="0" w:line="259" w:lineRule="auto"/>
            </w:pPr>
            <w:r>
              <w:rPr>
                <w:rFonts w:eastAsia="Times New Roman" w:cs="Times New Roman"/>
                <w:sz w:val="22"/>
              </w:rPr>
              <w:t>Factors varied by setting; income, vocational skills, and service access were prominent in rural areas.</w:t>
            </w:r>
          </w:p>
        </w:tc>
      </w:tr>
      <w:tr w:rsidR="000D65B8" w14:paraId="4D7ADF49" w14:textId="77777777">
        <w:trPr>
          <w:cantSplit/>
          <w:jc w:val="center"/>
        </w:trPr>
        <w:tc>
          <w:tcPr>
            <w:tcW w:w="1987" w:type="dxa"/>
          </w:tcPr>
          <w:p w14:paraId="2839A043" w14:textId="77777777" w:rsidR="000D65B8" w:rsidRDefault="00000000">
            <w:pPr>
              <w:spacing w:after="0" w:line="259" w:lineRule="auto"/>
            </w:pPr>
            <w:r>
              <w:rPr>
                <w:rFonts w:eastAsia="Times New Roman" w:cs="Times New Roman"/>
                <w:sz w:val="22"/>
              </w:rPr>
              <w:t>Wakim et al. (2025)</w:t>
            </w:r>
          </w:p>
        </w:tc>
        <w:tc>
          <w:tcPr>
            <w:tcW w:w="2563" w:type="dxa"/>
          </w:tcPr>
          <w:p w14:paraId="45C5E622" w14:textId="77777777" w:rsidR="000D65B8" w:rsidRDefault="00000000">
            <w:pPr>
              <w:spacing w:after="0" w:line="259" w:lineRule="auto"/>
            </w:pPr>
            <w:r>
              <w:rPr>
                <w:rFonts w:eastAsia="Times New Roman" w:cs="Times New Roman"/>
                <w:sz w:val="22"/>
              </w:rPr>
              <w:t>Lebanon; cross-sectional inpatient study; n = 86</w:t>
            </w:r>
          </w:p>
        </w:tc>
        <w:tc>
          <w:tcPr>
            <w:tcW w:w="2016" w:type="dxa"/>
          </w:tcPr>
          <w:p w14:paraId="541A7E3E" w14:textId="77777777" w:rsidR="000D65B8" w:rsidRDefault="00000000">
            <w:pPr>
              <w:spacing w:after="0" w:line="259" w:lineRule="auto"/>
            </w:pPr>
            <w:r>
              <w:rPr>
                <w:rFonts w:eastAsia="Times New Roman" w:cs="Times New Roman"/>
                <w:sz w:val="22"/>
              </w:rPr>
              <w:t>WHOQOL-BREF and MSPSS</w:t>
            </w:r>
          </w:p>
        </w:tc>
        <w:tc>
          <w:tcPr>
            <w:tcW w:w="2520" w:type="dxa"/>
          </w:tcPr>
          <w:p w14:paraId="1769ECD7" w14:textId="77777777" w:rsidR="000D65B8" w:rsidRDefault="00000000">
            <w:pPr>
              <w:spacing w:after="0" w:line="259" w:lineRule="auto"/>
            </w:pPr>
            <w:r>
              <w:rPr>
                <w:rFonts w:eastAsia="Times New Roman" w:cs="Times New Roman"/>
                <w:sz w:val="22"/>
              </w:rPr>
              <w:t>Perceived social support, family visits</w:t>
            </w:r>
          </w:p>
        </w:tc>
        <w:tc>
          <w:tcPr>
            <w:tcW w:w="4882" w:type="dxa"/>
          </w:tcPr>
          <w:p w14:paraId="55AF9F30" w14:textId="77777777" w:rsidR="000D65B8" w:rsidRDefault="00000000">
            <w:pPr>
              <w:spacing w:after="0" w:line="259" w:lineRule="auto"/>
            </w:pPr>
            <w:r>
              <w:rPr>
                <w:rFonts w:eastAsia="Times New Roman" w:cs="Times New Roman"/>
                <w:sz w:val="22"/>
              </w:rPr>
              <w:t>Higher social support and more frequent family visits were significantly associated with higher QoL; the cross-sectional design did not establish causality.</w:t>
            </w:r>
          </w:p>
        </w:tc>
      </w:tr>
      <w:tr w:rsidR="000D65B8" w14:paraId="66B4403D" w14:textId="77777777">
        <w:trPr>
          <w:cantSplit/>
          <w:jc w:val="center"/>
        </w:trPr>
        <w:tc>
          <w:tcPr>
            <w:tcW w:w="1987" w:type="dxa"/>
          </w:tcPr>
          <w:p w14:paraId="7DD4CE1B" w14:textId="77777777" w:rsidR="000D65B8" w:rsidRDefault="00000000">
            <w:pPr>
              <w:spacing w:after="0" w:line="259" w:lineRule="auto"/>
            </w:pPr>
            <w:r>
              <w:rPr>
                <w:rFonts w:eastAsia="Times New Roman" w:cs="Times New Roman"/>
                <w:sz w:val="22"/>
              </w:rPr>
              <w:t>Migliorini et al. (2024)</w:t>
            </w:r>
          </w:p>
        </w:tc>
        <w:tc>
          <w:tcPr>
            <w:tcW w:w="2563" w:type="dxa"/>
          </w:tcPr>
          <w:p w14:paraId="67F3D2CC" w14:textId="77777777" w:rsidR="000D65B8" w:rsidRDefault="00000000">
            <w:pPr>
              <w:spacing w:after="0" w:line="259" w:lineRule="auto"/>
            </w:pPr>
            <w:r>
              <w:rPr>
                <w:rFonts w:eastAsia="Times New Roman" w:cs="Times New Roman"/>
                <w:sz w:val="22"/>
              </w:rPr>
              <w:t>China; community cohort; n = 742 at baseline, 491 at follow-up</w:t>
            </w:r>
          </w:p>
        </w:tc>
        <w:tc>
          <w:tcPr>
            <w:tcW w:w="2016" w:type="dxa"/>
          </w:tcPr>
          <w:p w14:paraId="0FEAD905" w14:textId="77777777" w:rsidR="000D65B8" w:rsidRDefault="00000000">
            <w:pPr>
              <w:spacing w:after="0" w:line="259" w:lineRule="auto"/>
            </w:pPr>
            <w:r>
              <w:rPr>
                <w:rFonts w:eastAsia="Times New Roman" w:cs="Times New Roman"/>
                <w:sz w:val="22"/>
              </w:rPr>
              <w:t>SQoL</w:t>
            </w:r>
          </w:p>
        </w:tc>
        <w:tc>
          <w:tcPr>
            <w:tcW w:w="2520" w:type="dxa"/>
          </w:tcPr>
          <w:p w14:paraId="3F94406D" w14:textId="77777777" w:rsidR="000D65B8" w:rsidRDefault="00000000">
            <w:pPr>
              <w:spacing w:after="0" w:line="259" w:lineRule="auto"/>
            </w:pPr>
            <w:r>
              <w:rPr>
                <w:rFonts w:eastAsia="Times New Roman" w:cs="Times New Roman"/>
                <w:sz w:val="22"/>
              </w:rPr>
              <w:t>Age, age at onset, symptoms, insight</w:t>
            </w:r>
          </w:p>
        </w:tc>
        <w:tc>
          <w:tcPr>
            <w:tcW w:w="4882" w:type="dxa"/>
          </w:tcPr>
          <w:p w14:paraId="35786480" w14:textId="77777777" w:rsidR="000D65B8" w:rsidRDefault="00000000">
            <w:pPr>
              <w:spacing w:after="0" w:line="259" w:lineRule="auto"/>
            </w:pPr>
            <w:r>
              <w:rPr>
                <w:rFonts w:eastAsia="Times New Roman" w:cs="Times New Roman"/>
                <w:sz w:val="22"/>
              </w:rPr>
              <w:t>Current age was negatively associated with high SQoL; older age at onset was associated with improvement in SQoL.</w:t>
            </w:r>
          </w:p>
        </w:tc>
      </w:tr>
      <w:tr w:rsidR="000D65B8" w14:paraId="404442D2" w14:textId="77777777">
        <w:trPr>
          <w:cantSplit/>
          <w:jc w:val="center"/>
        </w:trPr>
        <w:tc>
          <w:tcPr>
            <w:tcW w:w="1987" w:type="dxa"/>
          </w:tcPr>
          <w:p w14:paraId="2C1157C7" w14:textId="77777777" w:rsidR="000D65B8" w:rsidRDefault="00000000">
            <w:pPr>
              <w:spacing w:after="0" w:line="259" w:lineRule="auto"/>
            </w:pPr>
            <w:r>
              <w:rPr>
                <w:rFonts w:eastAsia="Times New Roman" w:cs="Times New Roman"/>
                <w:sz w:val="22"/>
              </w:rPr>
              <w:t>Zhou et al. (2024)</w:t>
            </w:r>
          </w:p>
        </w:tc>
        <w:tc>
          <w:tcPr>
            <w:tcW w:w="2563" w:type="dxa"/>
          </w:tcPr>
          <w:p w14:paraId="30612B2F" w14:textId="77777777" w:rsidR="000D65B8" w:rsidRDefault="00000000">
            <w:pPr>
              <w:spacing w:after="0" w:line="259" w:lineRule="auto"/>
            </w:pPr>
            <w:r>
              <w:rPr>
                <w:rFonts w:eastAsia="Times New Roman" w:cs="Times New Roman"/>
                <w:sz w:val="22"/>
              </w:rPr>
              <w:t>China; multicentre study; n = 264 in the final analysis</w:t>
            </w:r>
          </w:p>
        </w:tc>
        <w:tc>
          <w:tcPr>
            <w:tcW w:w="2016" w:type="dxa"/>
          </w:tcPr>
          <w:p w14:paraId="1AC28544" w14:textId="77777777" w:rsidR="000D65B8" w:rsidRDefault="00000000">
            <w:pPr>
              <w:spacing w:after="0" w:line="259" w:lineRule="auto"/>
            </w:pPr>
            <w:r>
              <w:rPr>
                <w:rFonts w:eastAsia="Times New Roman" w:cs="Times New Roman"/>
                <w:sz w:val="22"/>
              </w:rPr>
              <w:t>SQLS</w:t>
            </w:r>
          </w:p>
        </w:tc>
        <w:tc>
          <w:tcPr>
            <w:tcW w:w="2520" w:type="dxa"/>
          </w:tcPr>
          <w:p w14:paraId="337F375A" w14:textId="77777777" w:rsidR="000D65B8" w:rsidRDefault="00000000">
            <w:pPr>
              <w:spacing w:after="0" w:line="259" w:lineRule="auto"/>
            </w:pPr>
            <w:r>
              <w:rPr>
                <w:rFonts w:eastAsia="Times New Roman" w:cs="Times New Roman"/>
                <w:sz w:val="22"/>
              </w:rPr>
              <w:t>Education, income, employment, clinical factors</w:t>
            </w:r>
          </w:p>
        </w:tc>
        <w:tc>
          <w:tcPr>
            <w:tcW w:w="4882" w:type="dxa"/>
          </w:tcPr>
          <w:p w14:paraId="327B53A2" w14:textId="77777777" w:rsidR="000D65B8" w:rsidRDefault="00000000">
            <w:pPr>
              <w:spacing w:after="0" w:line="259" w:lineRule="auto"/>
            </w:pPr>
            <w:r>
              <w:rPr>
                <w:rFonts w:eastAsia="Times New Roman" w:cs="Times New Roman"/>
                <w:sz w:val="22"/>
              </w:rPr>
              <w:t>Unemployment was associated with poorer motivation and energy; education and income were related to the psychosocial domain in initial analyses; clinical factors predominated in multivariable models.</w:t>
            </w:r>
          </w:p>
        </w:tc>
      </w:tr>
      <w:tr w:rsidR="000D65B8" w14:paraId="7773CE3B" w14:textId="77777777">
        <w:trPr>
          <w:cantSplit/>
          <w:jc w:val="center"/>
        </w:trPr>
        <w:tc>
          <w:tcPr>
            <w:tcW w:w="1987" w:type="dxa"/>
          </w:tcPr>
          <w:p w14:paraId="15C44B62" w14:textId="77777777" w:rsidR="000D65B8" w:rsidRDefault="00000000">
            <w:pPr>
              <w:spacing w:after="0" w:line="259" w:lineRule="auto"/>
            </w:pPr>
            <w:r>
              <w:rPr>
                <w:rFonts w:eastAsia="Times New Roman" w:cs="Times New Roman"/>
                <w:sz w:val="22"/>
              </w:rPr>
              <w:t>Petrovic et al. (2024)</w:t>
            </w:r>
          </w:p>
        </w:tc>
        <w:tc>
          <w:tcPr>
            <w:tcW w:w="2563" w:type="dxa"/>
          </w:tcPr>
          <w:p w14:paraId="268CA0F5" w14:textId="77777777" w:rsidR="000D65B8" w:rsidRDefault="00000000">
            <w:pPr>
              <w:spacing w:after="0" w:line="259" w:lineRule="auto"/>
            </w:pPr>
            <w:r>
              <w:rPr>
                <w:rFonts w:eastAsia="Times New Roman" w:cs="Times New Roman"/>
                <w:sz w:val="22"/>
              </w:rPr>
              <w:t>Serbia; social institution; n = 287</w:t>
            </w:r>
          </w:p>
        </w:tc>
        <w:tc>
          <w:tcPr>
            <w:tcW w:w="2016" w:type="dxa"/>
          </w:tcPr>
          <w:p w14:paraId="7C078CE0" w14:textId="77777777" w:rsidR="000D65B8" w:rsidRDefault="00000000">
            <w:pPr>
              <w:spacing w:after="0" w:line="259" w:lineRule="auto"/>
            </w:pPr>
            <w:r>
              <w:rPr>
                <w:rFonts w:eastAsia="Times New Roman" w:cs="Times New Roman"/>
                <w:sz w:val="22"/>
              </w:rPr>
              <w:t>WHOQOL, EQ-5D-5L, Q-LES-Q-SF</w:t>
            </w:r>
          </w:p>
        </w:tc>
        <w:tc>
          <w:tcPr>
            <w:tcW w:w="2520" w:type="dxa"/>
          </w:tcPr>
          <w:p w14:paraId="48B45E38" w14:textId="77777777" w:rsidR="000D65B8" w:rsidRDefault="00000000">
            <w:pPr>
              <w:spacing w:after="0" w:line="259" w:lineRule="auto"/>
            </w:pPr>
            <w:r>
              <w:rPr>
                <w:rFonts w:eastAsia="Times New Roman" w:cs="Times New Roman"/>
                <w:sz w:val="22"/>
              </w:rPr>
              <w:t>Sociodemographic and clinical factors</w:t>
            </w:r>
          </w:p>
        </w:tc>
        <w:tc>
          <w:tcPr>
            <w:tcW w:w="4882" w:type="dxa"/>
          </w:tcPr>
          <w:p w14:paraId="4A8F5319" w14:textId="77777777" w:rsidR="000D65B8" w:rsidRDefault="00000000">
            <w:pPr>
              <w:spacing w:after="0" w:line="259" w:lineRule="auto"/>
            </w:pPr>
            <w:r>
              <w:rPr>
                <w:rFonts w:eastAsia="Times New Roman" w:cs="Times New Roman"/>
                <w:sz w:val="22"/>
              </w:rPr>
              <w:t>QoL was low in the institutional population; social factors needed interpretation alongside clinical conditions and the care setting.</w:t>
            </w:r>
          </w:p>
        </w:tc>
      </w:tr>
      <w:tr w:rsidR="000D65B8" w14:paraId="02C8BB2B" w14:textId="77777777">
        <w:trPr>
          <w:cantSplit/>
          <w:jc w:val="center"/>
        </w:trPr>
        <w:tc>
          <w:tcPr>
            <w:tcW w:w="1987" w:type="dxa"/>
          </w:tcPr>
          <w:p w14:paraId="30BB99B5" w14:textId="77777777" w:rsidR="000D65B8" w:rsidRDefault="00000000">
            <w:pPr>
              <w:spacing w:after="0" w:line="259" w:lineRule="auto"/>
            </w:pPr>
            <w:r>
              <w:rPr>
                <w:rFonts w:eastAsia="Times New Roman" w:cs="Times New Roman"/>
                <w:sz w:val="22"/>
              </w:rPr>
              <w:t>Hoeksema et al. (2025)</w:t>
            </w:r>
          </w:p>
        </w:tc>
        <w:tc>
          <w:tcPr>
            <w:tcW w:w="2563" w:type="dxa"/>
          </w:tcPr>
          <w:p w14:paraId="28047A5D" w14:textId="77777777" w:rsidR="000D65B8" w:rsidRDefault="00000000">
            <w:pPr>
              <w:spacing w:after="0" w:line="259" w:lineRule="auto"/>
            </w:pPr>
            <w:r>
              <w:rPr>
                <w:rFonts w:eastAsia="Times New Roman" w:cs="Times New Roman"/>
                <w:sz w:val="22"/>
              </w:rPr>
              <w:t>Netherlands; longitudinal routine outcome data; n = 3,843</w:t>
            </w:r>
          </w:p>
        </w:tc>
        <w:tc>
          <w:tcPr>
            <w:tcW w:w="2016" w:type="dxa"/>
          </w:tcPr>
          <w:p w14:paraId="4ED711CF" w14:textId="77777777" w:rsidR="000D65B8" w:rsidRDefault="00000000">
            <w:pPr>
              <w:spacing w:after="0" w:line="259" w:lineRule="auto"/>
            </w:pPr>
            <w:r>
              <w:rPr>
                <w:rFonts w:eastAsia="Times New Roman" w:cs="Times New Roman"/>
                <w:sz w:val="22"/>
              </w:rPr>
              <w:t>ManSA and recovery indicators</w:t>
            </w:r>
          </w:p>
        </w:tc>
        <w:tc>
          <w:tcPr>
            <w:tcW w:w="2520" w:type="dxa"/>
          </w:tcPr>
          <w:p w14:paraId="2BD30BBD" w14:textId="77777777" w:rsidR="000D65B8" w:rsidRDefault="00000000">
            <w:pPr>
              <w:spacing w:after="0" w:line="259" w:lineRule="auto"/>
            </w:pPr>
            <w:r>
              <w:rPr>
                <w:rFonts w:eastAsia="Times New Roman" w:cs="Times New Roman"/>
                <w:sz w:val="22"/>
              </w:rPr>
              <w:t>Sex, age at onset</w:t>
            </w:r>
          </w:p>
        </w:tc>
        <w:tc>
          <w:tcPr>
            <w:tcW w:w="4882" w:type="dxa"/>
          </w:tcPr>
          <w:p w14:paraId="5A762DD2" w14:textId="77777777" w:rsidR="000D65B8" w:rsidRDefault="00000000">
            <w:pPr>
              <w:spacing w:after="0" w:line="259" w:lineRule="auto"/>
            </w:pPr>
            <w:r>
              <w:rPr>
                <w:rFonts w:eastAsia="Times New Roman" w:cs="Times New Roman"/>
                <w:sz w:val="22"/>
              </w:rPr>
              <w:t>Women and people with later-onset psychosis were more often in classes with better well-being and functioning; the sex–onset interaction was important.</w:t>
            </w:r>
          </w:p>
        </w:tc>
      </w:tr>
      <w:tr w:rsidR="000D65B8" w14:paraId="08785DC6" w14:textId="77777777">
        <w:trPr>
          <w:cantSplit/>
          <w:jc w:val="center"/>
        </w:trPr>
        <w:tc>
          <w:tcPr>
            <w:tcW w:w="1987" w:type="dxa"/>
          </w:tcPr>
          <w:p w14:paraId="69C106FB" w14:textId="77777777" w:rsidR="000D65B8" w:rsidRDefault="00000000">
            <w:pPr>
              <w:spacing w:after="0" w:line="259" w:lineRule="auto"/>
            </w:pPr>
            <w:r>
              <w:rPr>
                <w:rFonts w:eastAsia="Times New Roman" w:cs="Times New Roman"/>
                <w:sz w:val="22"/>
              </w:rPr>
              <w:lastRenderedPageBreak/>
              <w:t>Völker &amp; Micluţia (2025)</w:t>
            </w:r>
          </w:p>
        </w:tc>
        <w:tc>
          <w:tcPr>
            <w:tcW w:w="2563" w:type="dxa"/>
          </w:tcPr>
          <w:p w14:paraId="2D35CB64" w14:textId="77777777" w:rsidR="000D65B8" w:rsidRDefault="00000000">
            <w:pPr>
              <w:spacing w:after="0" w:line="259" w:lineRule="auto"/>
            </w:pPr>
            <w:r>
              <w:rPr>
                <w:rFonts w:eastAsia="Times New Roman" w:cs="Times New Roman"/>
                <w:sz w:val="22"/>
              </w:rPr>
              <w:t>Romania; patients and caregivers</w:t>
            </w:r>
          </w:p>
        </w:tc>
        <w:tc>
          <w:tcPr>
            <w:tcW w:w="2016" w:type="dxa"/>
          </w:tcPr>
          <w:p w14:paraId="03C87DA5" w14:textId="77777777" w:rsidR="000D65B8" w:rsidRDefault="00000000">
            <w:pPr>
              <w:spacing w:after="0" w:line="259" w:lineRule="auto"/>
            </w:pPr>
            <w:r>
              <w:rPr>
                <w:rFonts w:eastAsia="Times New Roman" w:cs="Times New Roman"/>
                <w:sz w:val="22"/>
              </w:rPr>
              <w:t>Multidomain QoL instruments</w:t>
            </w:r>
          </w:p>
        </w:tc>
        <w:tc>
          <w:tcPr>
            <w:tcW w:w="2520" w:type="dxa"/>
          </w:tcPr>
          <w:p w14:paraId="3D88CCE7" w14:textId="77777777" w:rsidR="000D65B8" w:rsidRDefault="00000000">
            <w:pPr>
              <w:spacing w:after="0" w:line="259" w:lineRule="auto"/>
            </w:pPr>
            <w:r>
              <w:rPr>
                <w:rFonts w:eastAsia="Times New Roman" w:cs="Times New Roman"/>
                <w:sz w:val="22"/>
              </w:rPr>
              <w:t>Clinical, sociocultural, demographic, and family factors</w:t>
            </w:r>
          </w:p>
        </w:tc>
        <w:tc>
          <w:tcPr>
            <w:tcW w:w="4882" w:type="dxa"/>
          </w:tcPr>
          <w:p w14:paraId="442988F8" w14:textId="77777777" w:rsidR="000D65B8" w:rsidRDefault="00000000">
            <w:pPr>
              <w:spacing w:after="0" w:line="259" w:lineRule="auto"/>
            </w:pPr>
            <w:r>
              <w:rPr>
                <w:rFonts w:eastAsia="Times New Roman" w:cs="Times New Roman"/>
                <w:sz w:val="22"/>
              </w:rPr>
              <w:t>Patient and caregiver QoL were interconnected with clinical factors and social and family contexts.</w:t>
            </w:r>
          </w:p>
        </w:tc>
      </w:tr>
      <w:tr w:rsidR="000D65B8" w14:paraId="0020E579" w14:textId="77777777">
        <w:trPr>
          <w:cantSplit/>
          <w:jc w:val="center"/>
        </w:trPr>
        <w:tc>
          <w:tcPr>
            <w:tcW w:w="1987" w:type="dxa"/>
          </w:tcPr>
          <w:p w14:paraId="0CB239F1" w14:textId="77777777" w:rsidR="000D65B8" w:rsidRDefault="00000000">
            <w:pPr>
              <w:spacing w:after="0" w:line="259" w:lineRule="auto"/>
            </w:pPr>
            <w:r>
              <w:rPr>
                <w:rFonts w:eastAsia="Times New Roman" w:cs="Times New Roman"/>
                <w:sz w:val="22"/>
              </w:rPr>
              <w:t>Prasetiyo et al. (2025)</w:t>
            </w:r>
          </w:p>
        </w:tc>
        <w:tc>
          <w:tcPr>
            <w:tcW w:w="2563" w:type="dxa"/>
          </w:tcPr>
          <w:p w14:paraId="2C659131" w14:textId="77777777" w:rsidR="000D65B8" w:rsidRDefault="00000000">
            <w:pPr>
              <w:spacing w:after="0" w:line="259" w:lineRule="auto"/>
            </w:pPr>
            <w:r>
              <w:rPr>
                <w:rFonts w:eastAsia="Times New Roman" w:cs="Times New Roman"/>
                <w:sz w:val="22"/>
              </w:rPr>
              <w:t>Indonesia; patients and caregivers; n = 526</w:t>
            </w:r>
          </w:p>
        </w:tc>
        <w:tc>
          <w:tcPr>
            <w:tcW w:w="2016" w:type="dxa"/>
          </w:tcPr>
          <w:p w14:paraId="4F7FD8F2" w14:textId="77777777" w:rsidR="000D65B8" w:rsidRDefault="00000000">
            <w:pPr>
              <w:spacing w:after="0" w:line="259" w:lineRule="auto"/>
            </w:pPr>
            <w:r>
              <w:rPr>
                <w:rFonts w:eastAsia="Times New Roman" w:cs="Times New Roman"/>
                <w:sz w:val="22"/>
              </w:rPr>
              <w:t>EQ-5D-5L</w:t>
            </w:r>
          </w:p>
        </w:tc>
        <w:tc>
          <w:tcPr>
            <w:tcW w:w="2520" w:type="dxa"/>
          </w:tcPr>
          <w:p w14:paraId="76B29513" w14:textId="77777777" w:rsidR="000D65B8" w:rsidRDefault="00000000">
            <w:pPr>
              <w:spacing w:after="0" w:line="259" w:lineRule="auto"/>
            </w:pPr>
            <w:r>
              <w:rPr>
                <w:rFonts w:eastAsia="Times New Roman" w:cs="Times New Roman"/>
                <w:sz w:val="22"/>
              </w:rPr>
              <w:t>Age, sex, education, marriage, income, caregiver relationship</w:t>
            </w:r>
          </w:p>
        </w:tc>
        <w:tc>
          <w:tcPr>
            <w:tcW w:w="4882" w:type="dxa"/>
          </w:tcPr>
          <w:p w14:paraId="3C0DFFF3" w14:textId="77777777" w:rsidR="000D65B8" w:rsidRDefault="00000000">
            <w:pPr>
              <w:spacing w:after="0" w:line="259" w:lineRule="auto"/>
            </w:pPr>
            <w:r>
              <w:rPr>
                <w:rFonts w:eastAsia="Times New Roman" w:cs="Times New Roman"/>
                <w:sz w:val="22"/>
              </w:rPr>
              <w:t>Patient and caregiver ratings showed high agreement; closeness was relevant particularly to subjective domains.</w:t>
            </w:r>
          </w:p>
        </w:tc>
      </w:tr>
      <w:tr w:rsidR="000D65B8" w14:paraId="5117ABF9" w14:textId="77777777">
        <w:trPr>
          <w:cantSplit/>
          <w:jc w:val="center"/>
        </w:trPr>
        <w:tc>
          <w:tcPr>
            <w:tcW w:w="1987" w:type="dxa"/>
          </w:tcPr>
          <w:p w14:paraId="090FFE6B" w14:textId="77777777" w:rsidR="000D65B8" w:rsidRDefault="00000000">
            <w:pPr>
              <w:spacing w:after="0" w:line="259" w:lineRule="auto"/>
            </w:pPr>
            <w:r>
              <w:rPr>
                <w:rFonts w:eastAsia="Times New Roman" w:cs="Times New Roman"/>
                <w:sz w:val="22"/>
              </w:rPr>
              <w:t>Wang et al. (2026)</w:t>
            </w:r>
          </w:p>
        </w:tc>
        <w:tc>
          <w:tcPr>
            <w:tcW w:w="2563" w:type="dxa"/>
          </w:tcPr>
          <w:p w14:paraId="45A00FD6" w14:textId="77777777" w:rsidR="000D65B8" w:rsidRDefault="00000000">
            <w:pPr>
              <w:spacing w:after="0" w:line="259" w:lineRule="auto"/>
            </w:pPr>
            <w:r>
              <w:rPr>
                <w:rFonts w:eastAsia="Times New Roman" w:cs="Times New Roman"/>
                <w:sz w:val="22"/>
              </w:rPr>
              <w:t>China; prospective rehabilitation study; n = 235</w:t>
            </w:r>
          </w:p>
        </w:tc>
        <w:tc>
          <w:tcPr>
            <w:tcW w:w="2016" w:type="dxa"/>
          </w:tcPr>
          <w:p w14:paraId="288C591B" w14:textId="77777777" w:rsidR="000D65B8" w:rsidRDefault="00000000">
            <w:pPr>
              <w:spacing w:after="0" w:line="259" w:lineRule="auto"/>
            </w:pPr>
            <w:r>
              <w:rPr>
                <w:rFonts w:eastAsia="Times New Roman" w:cs="Times New Roman"/>
                <w:sz w:val="22"/>
              </w:rPr>
              <w:t>SQLS</w:t>
            </w:r>
          </w:p>
        </w:tc>
        <w:tc>
          <w:tcPr>
            <w:tcW w:w="2520" w:type="dxa"/>
          </w:tcPr>
          <w:p w14:paraId="2B43193B" w14:textId="77777777" w:rsidR="000D65B8" w:rsidRDefault="00000000">
            <w:pPr>
              <w:spacing w:after="0" w:line="259" w:lineRule="auto"/>
            </w:pPr>
            <w:r>
              <w:rPr>
                <w:rFonts w:eastAsia="Times New Roman" w:cs="Times New Roman"/>
                <w:sz w:val="22"/>
              </w:rPr>
              <w:t>Sociodemographic factors, symptoms, cognition</w:t>
            </w:r>
          </w:p>
        </w:tc>
        <w:tc>
          <w:tcPr>
            <w:tcW w:w="4882" w:type="dxa"/>
          </w:tcPr>
          <w:p w14:paraId="482BBDA8" w14:textId="77777777" w:rsidR="000D65B8" w:rsidRDefault="00000000">
            <w:pPr>
              <w:spacing w:after="0" w:line="259" w:lineRule="auto"/>
            </w:pPr>
            <w:r>
              <w:rPr>
                <w:rFonts w:eastAsia="Times New Roman" w:cs="Times New Roman"/>
                <w:sz w:val="22"/>
              </w:rPr>
              <w:t>Meaningful improvement occurred in 72.8%; changes in negative symptoms, depression, anxiety, and cognition were important predictors of improved SQoL.</w:t>
            </w:r>
          </w:p>
        </w:tc>
      </w:tr>
    </w:tbl>
    <w:p w14:paraId="142D5669" w14:textId="77777777" w:rsidR="000D65B8" w:rsidRDefault="00000000">
      <w:pPr>
        <w:spacing w:line="259" w:lineRule="auto"/>
      </w:pPr>
      <w:r>
        <w:rPr>
          <w:sz w:val="20"/>
        </w:rPr>
        <w:t>QoL, quality of life; SQoL, subjective quality of life; SQLS, Schizophrenia Quality of Life Scale; SQLS-R4, revision 4 of SQLS; MSPSS, Multidimensional Scale of Perceived Social Support; ManSA, Manchester Short Assessment of Quality of Life; EQ-5D-5L, EuroQol five-dimension five-level measure; Q-LES-Q-SF, Quality of Life Enjoyment and Satisfaction Questionnaire Short Form.</w:t>
      </w:r>
    </w:p>
    <w:p w14:paraId="2A58C3A7" w14:textId="77777777" w:rsidR="000D65B8" w:rsidRDefault="00000000">
      <w:r>
        <w:br w:type="page"/>
      </w:r>
    </w:p>
    <w:p w14:paraId="2A56986A" w14:textId="77777777" w:rsidR="000D65B8" w:rsidRDefault="00000000">
      <w:pPr>
        <w:keepNext/>
      </w:pPr>
      <w:r>
        <w:rPr>
          <w:b/>
        </w:rPr>
        <w:lastRenderedPageBreak/>
        <w:t xml:space="preserve">Table 2 </w:t>
      </w:r>
      <w:r>
        <w:t>Retrospective critical appraisal and risk-of-bias considerations for the 11 core sources</w:t>
      </w:r>
    </w:p>
    <w:tbl>
      <w:tblPr>
        <w:tblW w:w="1396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85" w:type="dxa"/>
          <w:bottom w:w="70" w:type="dxa"/>
          <w:right w:w="85" w:type="dxa"/>
        </w:tblCellMar>
        <w:tblLook w:val="04A0" w:firstRow="1" w:lastRow="0" w:firstColumn="1" w:lastColumn="0" w:noHBand="0" w:noVBand="1"/>
      </w:tblPr>
      <w:tblGrid>
        <w:gridCol w:w="2016"/>
        <w:gridCol w:w="2376"/>
        <w:gridCol w:w="2448"/>
        <w:gridCol w:w="936"/>
        <w:gridCol w:w="1224"/>
        <w:gridCol w:w="4968"/>
      </w:tblGrid>
      <w:tr w:rsidR="000D65B8" w14:paraId="7A4505FB" w14:textId="77777777">
        <w:trPr>
          <w:cantSplit/>
          <w:tblHeader/>
          <w:jc w:val="center"/>
        </w:trPr>
        <w:tc>
          <w:tcPr>
            <w:tcW w:w="2016" w:type="dxa"/>
            <w:shd w:val="clear" w:color="auto" w:fill="F2F2F2"/>
          </w:tcPr>
          <w:p w14:paraId="5721DD91" w14:textId="77777777" w:rsidR="000D65B8" w:rsidRDefault="00000000">
            <w:pPr>
              <w:spacing w:after="0" w:line="259" w:lineRule="auto"/>
            </w:pPr>
            <w:r>
              <w:rPr>
                <w:rFonts w:eastAsia="Times New Roman" w:cs="Times New Roman"/>
                <w:b/>
                <w:sz w:val="22"/>
              </w:rPr>
              <w:t>Study</w:t>
            </w:r>
          </w:p>
        </w:tc>
        <w:tc>
          <w:tcPr>
            <w:tcW w:w="2376" w:type="dxa"/>
            <w:shd w:val="clear" w:color="auto" w:fill="F2F2F2"/>
          </w:tcPr>
          <w:p w14:paraId="493DF352" w14:textId="77777777" w:rsidR="000D65B8" w:rsidRDefault="00000000">
            <w:pPr>
              <w:spacing w:after="0" w:line="259" w:lineRule="auto"/>
            </w:pPr>
            <w:r>
              <w:rPr>
                <w:rFonts w:eastAsia="Times New Roman" w:cs="Times New Roman"/>
                <w:b/>
                <w:sz w:val="22"/>
              </w:rPr>
              <w:t>Design</w:t>
            </w:r>
          </w:p>
        </w:tc>
        <w:tc>
          <w:tcPr>
            <w:tcW w:w="2448" w:type="dxa"/>
            <w:shd w:val="clear" w:color="auto" w:fill="F2F2F2"/>
          </w:tcPr>
          <w:p w14:paraId="68AC5CFD" w14:textId="77777777" w:rsidR="000D65B8" w:rsidRDefault="00000000">
            <w:pPr>
              <w:spacing w:after="0" w:line="259" w:lineRule="auto"/>
            </w:pPr>
            <w:r>
              <w:rPr>
                <w:rFonts w:eastAsia="Times New Roman" w:cs="Times New Roman"/>
                <w:b/>
                <w:sz w:val="22"/>
              </w:rPr>
              <w:t>Appraisal tool</w:t>
            </w:r>
          </w:p>
        </w:tc>
        <w:tc>
          <w:tcPr>
            <w:tcW w:w="936" w:type="dxa"/>
            <w:shd w:val="clear" w:color="auto" w:fill="F2F2F2"/>
          </w:tcPr>
          <w:p w14:paraId="37784BB3" w14:textId="77777777" w:rsidR="000D65B8" w:rsidRDefault="00000000">
            <w:pPr>
              <w:spacing w:after="0" w:line="259" w:lineRule="auto"/>
            </w:pPr>
            <w:r>
              <w:rPr>
                <w:rFonts w:eastAsia="Times New Roman" w:cs="Times New Roman"/>
                <w:b/>
                <w:sz w:val="22"/>
              </w:rPr>
              <w:t>Score</w:t>
            </w:r>
          </w:p>
        </w:tc>
        <w:tc>
          <w:tcPr>
            <w:tcW w:w="1224" w:type="dxa"/>
            <w:shd w:val="clear" w:color="auto" w:fill="F2F2F2"/>
          </w:tcPr>
          <w:p w14:paraId="1CFCDA30" w14:textId="77777777" w:rsidR="000D65B8" w:rsidRDefault="00000000">
            <w:pPr>
              <w:spacing w:after="0" w:line="259" w:lineRule="auto"/>
            </w:pPr>
            <w:r>
              <w:rPr>
                <w:rFonts w:eastAsia="Times New Roman" w:cs="Times New Roman"/>
                <w:b/>
                <w:sz w:val="22"/>
              </w:rPr>
              <w:t>Quality</w:t>
            </w:r>
          </w:p>
        </w:tc>
        <w:tc>
          <w:tcPr>
            <w:tcW w:w="4968" w:type="dxa"/>
            <w:shd w:val="clear" w:color="auto" w:fill="F2F2F2"/>
          </w:tcPr>
          <w:p w14:paraId="2B4B13D8" w14:textId="77777777" w:rsidR="000D65B8" w:rsidRDefault="00000000">
            <w:pPr>
              <w:spacing w:after="0" w:line="259" w:lineRule="auto"/>
            </w:pPr>
            <w:r>
              <w:rPr>
                <w:rFonts w:eastAsia="Times New Roman" w:cs="Times New Roman"/>
                <w:b/>
                <w:sz w:val="22"/>
              </w:rPr>
              <w:t>Main risk-of-bias considerations</w:t>
            </w:r>
          </w:p>
        </w:tc>
      </w:tr>
      <w:tr w:rsidR="000D65B8" w14:paraId="6A12CFE0" w14:textId="77777777">
        <w:trPr>
          <w:cantSplit/>
          <w:jc w:val="center"/>
        </w:trPr>
        <w:tc>
          <w:tcPr>
            <w:tcW w:w="2016" w:type="dxa"/>
          </w:tcPr>
          <w:p w14:paraId="45035715" w14:textId="77777777" w:rsidR="000D65B8" w:rsidRDefault="00000000">
            <w:pPr>
              <w:spacing w:after="0" w:line="259" w:lineRule="auto"/>
            </w:pPr>
            <w:r>
              <w:rPr>
                <w:rFonts w:eastAsia="Times New Roman" w:cs="Times New Roman"/>
                <w:sz w:val="22"/>
              </w:rPr>
              <w:t>He et al. (2022)</w:t>
            </w:r>
          </w:p>
        </w:tc>
        <w:tc>
          <w:tcPr>
            <w:tcW w:w="2376" w:type="dxa"/>
          </w:tcPr>
          <w:p w14:paraId="2C30A5DC" w14:textId="77777777" w:rsidR="000D65B8" w:rsidRDefault="00000000">
            <w:pPr>
              <w:spacing w:after="0" w:line="259" w:lineRule="auto"/>
            </w:pPr>
            <w:r>
              <w:rPr>
                <w:rFonts w:eastAsia="Times New Roman" w:cs="Times New Roman"/>
                <w:sz w:val="22"/>
              </w:rPr>
              <w:t>Cohort</w:t>
            </w:r>
          </w:p>
        </w:tc>
        <w:tc>
          <w:tcPr>
            <w:tcW w:w="2448" w:type="dxa"/>
          </w:tcPr>
          <w:p w14:paraId="6157AB9B" w14:textId="77777777" w:rsidR="000D65B8" w:rsidRDefault="00000000">
            <w:pPr>
              <w:spacing w:after="0" w:line="259" w:lineRule="auto"/>
            </w:pPr>
            <w:r>
              <w:rPr>
                <w:rFonts w:eastAsia="Times New Roman" w:cs="Times New Roman"/>
                <w:sz w:val="22"/>
              </w:rPr>
              <w:t>JBI Cohort</w:t>
            </w:r>
          </w:p>
        </w:tc>
        <w:tc>
          <w:tcPr>
            <w:tcW w:w="936" w:type="dxa"/>
          </w:tcPr>
          <w:p w14:paraId="7B5F4C78" w14:textId="77777777" w:rsidR="000D65B8" w:rsidRDefault="00000000">
            <w:pPr>
              <w:spacing w:after="0" w:line="259" w:lineRule="auto"/>
            </w:pPr>
            <w:r>
              <w:rPr>
                <w:rFonts w:eastAsia="Times New Roman" w:cs="Times New Roman"/>
                <w:sz w:val="22"/>
              </w:rPr>
              <w:t>10/11</w:t>
            </w:r>
          </w:p>
        </w:tc>
        <w:tc>
          <w:tcPr>
            <w:tcW w:w="1224" w:type="dxa"/>
          </w:tcPr>
          <w:p w14:paraId="12059EC4" w14:textId="77777777" w:rsidR="000D65B8" w:rsidRDefault="00000000">
            <w:pPr>
              <w:spacing w:after="0" w:line="259" w:lineRule="auto"/>
            </w:pPr>
            <w:r>
              <w:rPr>
                <w:rFonts w:eastAsia="Times New Roman" w:cs="Times New Roman"/>
                <w:sz w:val="22"/>
              </w:rPr>
              <w:t>High</w:t>
            </w:r>
          </w:p>
        </w:tc>
        <w:tc>
          <w:tcPr>
            <w:tcW w:w="4968" w:type="dxa"/>
          </w:tcPr>
          <w:p w14:paraId="7CA892C0" w14:textId="77777777" w:rsidR="000D65B8" w:rsidRDefault="00000000">
            <w:pPr>
              <w:spacing w:after="0" w:line="259" w:lineRule="auto"/>
            </w:pPr>
            <w:r>
              <w:rPr>
                <w:rFonts w:eastAsia="Times New Roman" w:cs="Times New Roman"/>
                <w:sz w:val="22"/>
              </w:rPr>
              <w:t>Two-year cohort; validated outcome; multivariable analysis; possible residual confounding.</w:t>
            </w:r>
          </w:p>
        </w:tc>
      </w:tr>
      <w:tr w:rsidR="000D65B8" w14:paraId="254F5AC0" w14:textId="77777777">
        <w:trPr>
          <w:cantSplit/>
          <w:jc w:val="center"/>
        </w:trPr>
        <w:tc>
          <w:tcPr>
            <w:tcW w:w="2016" w:type="dxa"/>
          </w:tcPr>
          <w:p w14:paraId="6EBDB597" w14:textId="77777777" w:rsidR="000D65B8" w:rsidRDefault="00000000">
            <w:pPr>
              <w:spacing w:after="0" w:line="259" w:lineRule="auto"/>
            </w:pPr>
            <w:r>
              <w:rPr>
                <w:rFonts w:eastAsia="Times New Roman" w:cs="Times New Roman"/>
                <w:sz w:val="22"/>
              </w:rPr>
              <w:t>Hoseinipalangi et al. (2022)</w:t>
            </w:r>
          </w:p>
        </w:tc>
        <w:tc>
          <w:tcPr>
            <w:tcW w:w="2376" w:type="dxa"/>
          </w:tcPr>
          <w:p w14:paraId="7EEC4D4D" w14:textId="77777777" w:rsidR="000D65B8" w:rsidRDefault="00000000">
            <w:pPr>
              <w:spacing w:after="0" w:line="259" w:lineRule="auto"/>
            </w:pPr>
            <w:r>
              <w:rPr>
                <w:rFonts w:eastAsia="Times New Roman" w:cs="Times New Roman"/>
                <w:sz w:val="22"/>
              </w:rPr>
              <w:t>Systematic review and meta-analysis</w:t>
            </w:r>
          </w:p>
        </w:tc>
        <w:tc>
          <w:tcPr>
            <w:tcW w:w="2448" w:type="dxa"/>
          </w:tcPr>
          <w:p w14:paraId="4A5E6F18" w14:textId="77777777" w:rsidR="000D65B8" w:rsidRDefault="00000000">
            <w:pPr>
              <w:spacing w:after="0" w:line="259" w:lineRule="auto"/>
            </w:pPr>
            <w:r>
              <w:rPr>
                <w:rFonts w:eastAsia="Times New Roman" w:cs="Times New Roman"/>
                <w:sz w:val="22"/>
              </w:rPr>
              <w:t>JBI Systematic Review</w:t>
            </w:r>
          </w:p>
        </w:tc>
        <w:tc>
          <w:tcPr>
            <w:tcW w:w="936" w:type="dxa"/>
          </w:tcPr>
          <w:p w14:paraId="23D8C9C1" w14:textId="77777777" w:rsidR="000D65B8" w:rsidRDefault="00000000">
            <w:pPr>
              <w:spacing w:after="0" w:line="259" w:lineRule="auto"/>
            </w:pPr>
            <w:r>
              <w:rPr>
                <w:rFonts w:eastAsia="Times New Roman" w:cs="Times New Roman"/>
                <w:sz w:val="22"/>
              </w:rPr>
              <w:t>9/11</w:t>
            </w:r>
          </w:p>
        </w:tc>
        <w:tc>
          <w:tcPr>
            <w:tcW w:w="1224" w:type="dxa"/>
          </w:tcPr>
          <w:p w14:paraId="4EC0C961" w14:textId="77777777" w:rsidR="000D65B8" w:rsidRDefault="00000000">
            <w:pPr>
              <w:spacing w:after="0" w:line="259" w:lineRule="auto"/>
            </w:pPr>
            <w:r>
              <w:rPr>
                <w:rFonts w:eastAsia="Times New Roman" w:cs="Times New Roman"/>
                <w:sz w:val="22"/>
              </w:rPr>
              <w:t>High</w:t>
            </w:r>
          </w:p>
        </w:tc>
        <w:tc>
          <w:tcPr>
            <w:tcW w:w="4968" w:type="dxa"/>
          </w:tcPr>
          <w:p w14:paraId="54FA6707" w14:textId="77777777" w:rsidR="000D65B8" w:rsidRDefault="00000000">
            <w:pPr>
              <w:spacing w:after="0" w:line="259" w:lineRule="auto"/>
            </w:pPr>
            <w:r>
              <w:rPr>
                <w:rFonts w:eastAsia="Times New Roman" w:cs="Times New Roman"/>
                <w:sz w:val="22"/>
              </w:rPr>
              <w:t>Clear strategy and synthesis; between-study heterogeneity remains a concern.</w:t>
            </w:r>
          </w:p>
        </w:tc>
      </w:tr>
      <w:tr w:rsidR="000D65B8" w14:paraId="7A783691" w14:textId="77777777">
        <w:trPr>
          <w:cantSplit/>
          <w:jc w:val="center"/>
        </w:trPr>
        <w:tc>
          <w:tcPr>
            <w:tcW w:w="2016" w:type="dxa"/>
          </w:tcPr>
          <w:p w14:paraId="70593E1B" w14:textId="77777777" w:rsidR="000D65B8" w:rsidRDefault="00000000">
            <w:pPr>
              <w:spacing w:after="0" w:line="259" w:lineRule="auto"/>
            </w:pPr>
            <w:r>
              <w:rPr>
                <w:rFonts w:eastAsia="Times New Roman" w:cs="Times New Roman"/>
                <w:sz w:val="22"/>
              </w:rPr>
              <w:t>Zhang et al. (2023)</w:t>
            </w:r>
          </w:p>
        </w:tc>
        <w:tc>
          <w:tcPr>
            <w:tcW w:w="2376" w:type="dxa"/>
          </w:tcPr>
          <w:p w14:paraId="2AB08127" w14:textId="77777777" w:rsidR="000D65B8" w:rsidRDefault="00000000">
            <w:pPr>
              <w:spacing w:after="0" w:line="259" w:lineRule="auto"/>
            </w:pPr>
            <w:r>
              <w:rPr>
                <w:rFonts w:eastAsia="Times New Roman" w:cs="Times New Roman"/>
                <w:sz w:val="22"/>
              </w:rPr>
              <w:t>Cross-sectional</w:t>
            </w:r>
          </w:p>
        </w:tc>
        <w:tc>
          <w:tcPr>
            <w:tcW w:w="2448" w:type="dxa"/>
          </w:tcPr>
          <w:p w14:paraId="50578C02" w14:textId="77777777" w:rsidR="000D65B8" w:rsidRDefault="00000000">
            <w:pPr>
              <w:spacing w:after="0" w:line="259" w:lineRule="auto"/>
            </w:pPr>
            <w:r>
              <w:rPr>
                <w:rFonts w:eastAsia="Times New Roman" w:cs="Times New Roman"/>
                <w:sz w:val="22"/>
              </w:rPr>
              <w:t>JBI Analytical Cross-sectional</w:t>
            </w:r>
          </w:p>
        </w:tc>
        <w:tc>
          <w:tcPr>
            <w:tcW w:w="936" w:type="dxa"/>
          </w:tcPr>
          <w:p w14:paraId="49A31692" w14:textId="77777777" w:rsidR="000D65B8" w:rsidRDefault="00000000">
            <w:pPr>
              <w:spacing w:after="0" w:line="259" w:lineRule="auto"/>
            </w:pPr>
            <w:r>
              <w:rPr>
                <w:rFonts w:eastAsia="Times New Roman" w:cs="Times New Roman"/>
                <w:sz w:val="22"/>
              </w:rPr>
              <w:t>6/8</w:t>
            </w:r>
          </w:p>
        </w:tc>
        <w:tc>
          <w:tcPr>
            <w:tcW w:w="1224" w:type="dxa"/>
          </w:tcPr>
          <w:p w14:paraId="10A5C3D2" w14:textId="77777777" w:rsidR="000D65B8" w:rsidRDefault="00000000">
            <w:pPr>
              <w:spacing w:after="0" w:line="259" w:lineRule="auto"/>
            </w:pPr>
            <w:r>
              <w:rPr>
                <w:rFonts w:eastAsia="Times New Roman" w:cs="Times New Roman"/>
                <w:sz w:val="22"/>
              </w:rPr>
              <w:t>Moderate</w:t>
            </w:r>
          </w:p>
        </w:tc>
        <w:tc>
          <w:tcPr>
            <w:tcW w:w="4968" w:type="dxa"/>
          </w:tcPr>
          <w:p w14:paraId="42560E87" w14:textId="77777777" w:rsidR="000D65B8" w:rsidRDefault="00000000">
            <w:pPr>
              <w:spacing w:after="0" w:line="259" w:lineRule="auto"/>
            </w:pPr>
            <w:r>
              <w:rPr>
                <w:rFonts w:eastAsia="Times New Roman" w:cs="Times New Roman"/>
                <w:sz w:val="22"/>
              </w:rPr>
              <w:t>QoL and social factors measured; cross-sectional design and limited reporting of confounders.</w:t>
            </w:r>
          </w:p>
        </w:tc>
      </w:tr>
      <w:tr w:rsidR="000D65B8" w14:paraId="73022D21" w14:textId="77777777">
        <w:trPr>
          <w:cantSplit/>
          <w:jc w:val="center"/>
        </w:trPr>
        <w:tc>
          <w:tcPr>
            <w:tcW w:w="2016" w:type="dxa"/>
          </w:tcPr>
          <w:p w14:paraId="70D25D99" w14:textId="77777777" w:rsidR="000D65B8" w:rsidRDefault="00000000">
            <w:pPr>
              <w:spacing w:after="0" w:line="259" w:lineRule="auto"/>
            </w:pPr>
            <w:r>
              <w:rPr>
                <w:rFonts w:eastAsia="Times New Roman" w:cs="Times New Roman"/>
                <w:sz w:val="22"/>
              </w:rPr>
              <w:t>Wakim et al. (2025)</w:t>
            </w:r>
          </w:p>
        </w:tc>
        <w:tc>
          <w:tcPr>
            <w:tcW w:w="2376" w:type="dxa"/>
          </w:tcPr>
          <w:p w14:paraId="515D9969" w14:textId="77777777" w:rsidR="000D65B8" w:rsidRDefault="00000000">
            <w:pPr>
              <w:spacing w:after="0" w:line="259" w:lineRule="auto"/>
            </w:pPr>
            <w:r>
              <w:rPr>
                <w:rFonts w:eastAsia="Times New Roman" w:cs="Times New Roman"/>
                <w:sz w:val="22"/>
              </w:rPr>
              <w:t>Cross-sectional</w:t>
            </w:r>
          </w:p>
        </w:tc>
        <w:tc>
          <w:tcPr>
            <w:tcW w:w="2448" w:type="dxa"/>
          </w:tcPr>
          <w:p w14:paraId="0ED34177" w14:textId="77777777" w:rsidR="000D65B8" w:rsidRDefault="00000000">
            <w:pPr>
              <w:spacing w:after="0" w:line="259" w:lineRule="auto"/>
            </w:pPr>
            <w:r>
              <w:rPr>
                <w:rFonts w:eastAsia="Times New Roman" w:cs="Times New Roman"/>
                <w:sz w:val="22"/>
              </w:rPr>
              <w:t>JBI Analytical Cross-sectional</w:t>
            </w:r>
          </w:p>
        </w:tc>
        <w:tc>
          <w:tcPr>
            <w:tcW w:w="936" w:type="dxa"/>
          </w:tcPr>
          <w:p w14:paraId="5983306B" w14:textId="77777777" w:rsidR="000D65B8" w:rsidRDefault="00000000">
            <w:pPr>
              <w:spacing w:after="0" w:line="259" w:lineRule="auto"/>
            </w:pPr>
            <w:r>
              <w:rPr>
                <w:rFonts w:eastAsia="Times New Roman" w:cs="Times New Roman"/>
                <w:sz w:val="22"/>
              </w:rPr>
              <w:t>7/8</w:t>
            </w:r>
          </w:p>
        </w:tc>
        <w:tc>
          <w:tcPr>
            <w:tcW w:w="1224" w:type="dxa"/>
          </w:tcPr>
          <w:p w14:paraId="18E56FEF" w14:textId="77777777" w:rsidR="000D65B8" w:rsidRDefault="00000000">
            <w:pPr>
              <w:spacing w:after="0" w:line="259" w:lineRule="auto"/>
            </w:pPr>
            <w:r>
              <w:rPr>
                <w:rFonts w:eastAsia="Times New Roman" w:cs="Times New Roman"/>
                <w:sz w:val="22"/>
              </w:rPr>
              <w:t>High</w:t>
            </w:r>
          </w:p>
        </w:tc>
        <w:tc>
          <w:tcPr>
            <w:tcW w:w="4968" w:type="dxa"/>
          </w:tcPr>
          <w:p w14:paraId="3503EF5A" w14:textId="77777777" w:rsidR="000D65B8" w:rsidRDefault="00000000">
            <w:pPr>
              <w:spacing w:after="0" w:line="259" w:lineRule="auto"/>
            </w:pPr>
            <w:r>
              <w:rPr>
                <w:rFonts w:eastAsia="Times New Roman" w:cs="Times New Roman"/>
                <w:sz w:val="22"/>
              </w:rPr>
              <w:t>WHOQOL-BREF and MSPSS; adequate association analyses; causality cannot be established.</w:t>
            </w:r>
          </w:p>
        </w:tc>
      </w:tr>
      <w:tr w:rsidR="000D65B8" w14:paraId="4D2BCEC4" w14:textId="77777777">
        <w:trPr>
          <w:cantSplit/>
          <w:jc w:val="center"/>
        </w:trPr>
        <w:tc>
          <w:tcPr>
            <w:tcW w:w="2016" w:type="dxa"/>
          </w:tcPr>
          <w:p w14:paraId="358A383C" w14:textId="77777777" w:rsidR="000D65B8" w:rsidRDefault="00000000">
            <w:pPr>
              <w:spacing w:after="0" w:line="259" w:lineRule="auto"/>
            </w:pPr>
            <w:r>
              <w:rPr>
                <w:rFonts w:eastAsia="Times New Roman" w:cs="Times New Roman"/>
                <w:sz w:val="22"/>
              </w:rPr>
              <w:t>Migliorini et al. (2024)</w:t>
            </w:r>
          </w:p>
        </w:tc>
        <w:tc>
          <w:tcPr>
            <w:tcW w:w="2376" w:type="dxa"/>
          </w:tcPr>
          <w:p w14:paraId="129C2958" w14:textId="77777777" w:rsidR="000D65B8" w:rsidRDefault="00000000">
            <w:pPr>
              <w:spacing w:after="0" w:line="259" w:lineRule="auto"/>
            </w:pPr>
            <w:r>
              <w:rPr>
                <w:rFonts w:eastAsia="Times New Roman" w:cs="Times New Roman"/>
                <w:sz w:val="22"/>
              </w:rPr>
              <w:t>Cohort</w:t>
            </w:r>
          </w:p>
        </w:tc>
        <w:tc>
          <w:tcPr>
            <w:tcW w:w="2448" w:type="dxa"/>
          </w:tcPr>
          <w:p w14:paraId="0BEADCC1" w14:textId="77777777" w:rsidR="000D65B8" w:rsidRDefault="00000000">
            <w:pPr>
              <w:spacing w:after="0" w:line="259" w:lineRule="auto"/>
            </w:pPr>
            <w:r>
              <w:rPr>
                <w:rFonts w:eastAsia="Times New Roman" w:cs="Times New Roman"/>
                <w:sz w:val="22"/>
              </w:rPr>
              <w:t>JBI Cohort</w:t>
            </w:r>
          </w:p>
        </w:tc>
        <w:tc>
          <w:tcPr>
            <w:tcW w:w="936" w:type="dxa"/>
          </w:tcPr>
          <w:p w14:paraId="4C238C0A" w14:textId="77777777" w:rsidR="000D65B8" w:rsidRDefault="00000000">
            <w:pPr>
              <w:spacing w:after="0" w:line="259" w:lineRule="auto"/>
            </w:pPr>
            <w:r>
              <w:rPr>
                <w:rFonts w:eastAsia="Times New Roman" w:cs="Times New Roman"/>
                <w:sz w:val="22"/>
              </w:rPr>
              <w:t>10/11</w:t>
            </w:r>
          </w:p>
        </w:tc>
        <w:tc>
          <w:tcPr>
            <w:tcW w:w="1224" w:type="dxa"/>
          </w:tcPr>
          <w:p w14:paraId="0AC030C1" w14:textId="77777777" w:rsidR="000D65B8" w:rsidRDefault="00000000">
            <w:pPr>
              <w:spacing w:after="0" w:line="259" w:lineRule="auto"/>
            </w:pPr>
            <w:r>
              <w:rPr>
                <w:rFonts w:eastAsia="Times New Roman" w:cs="Times New Roman"/>
                <w:sz w:val="22"/>
              </w:rPr>
              <w:t>High</w:t>
            </w:r>
          </w:p>
        </w:tc>
        <w:tc>
          <w:tcPr>
            <w:tcW w:w="4968" w:type="dxa"/>
          </w:tcPr>
          <w:p w14:paraId="0A1B1CC8" w14:textId="77777777" w:rsidR="000D65B8" w:rsidRDefault="00000000">
            <w:pPr>
              <w:spacing w:after="0" w:line="259" w:lineRule="auto"/>
            </w:pPr>
            <w:r>
              <w:rPr>
                <w:rFonts w:eastAsia="Times New Roman" w:cs="Times New Roman"/>
                <w:sz w:val="22"/>
              </w:rPr>
              <w:t>Large sample and follow-up; longitudinal analyses; attrition remains relevant.</w:t>
            </w:r>
          </w:p>
        </w:tc>
      </w:tr>
      <w:tr w:rsidR="000D65B8" w14:paraId="1293F6CF" w14:textId="77777777">
        <w:trPr>
          <w:cantSplit/>
          <w:jc w:val="center"/>
        </w:trPr>
        <w:tc>
          <w:tcPr>
            <w:tcW w:w="2016" w:type="dxa"/>
          </w:tcPr>
          <w:p w14:paraId="24A81231" w14:textId="77777777" w:rsidR="000D65B8" w:rsidRDefault="00000000">
            <w:pPr>
              <w:spacing w:after="0" w:line="259" w:lineRule="auto"/>
            </w:pPr>
            <w:r>
              <w:rPr>
                <w:rFonts w:eastAsia="Times New Roman" w:cs="Times New Roman"/>
                <w:sz w:val="22"/>
              </w:rPr>
              <w:t>Zhou et al. (2024)</w:t>
            </w:r>
          </w:p>
        </w:tc>
        <w:tc>
          <w:tcPr>
            <w:tcW w:w="2376" w:type="dxa"/>
          </w:tcPr>
          <w:p w14:paraId="5ECEA53C" w14:textId="77777777" w:rsidR="000D65B8" w:rsidRDefault="00000000">
            <w:pPr>
              <w:spacing w:after="0" w:line="259" w:lineRule="auto"/>
            </w:pPr>
            <w:r>
              <w:rPr>
                <w:rFonts w:eastAsia="Times New Roman" w:cs="Times New Roman"/>
                <w:sz w:val="22"/>
              </w:rPr>
              <w:t>Multicentre cross-sectional</w:t>
            </w:r>
          </w:p>
        </w:tc>
        <w:tc>
          <w:tcPr>
            <w:tcW w:w="2448" w:type="dxa"/>
          </w:tcPr>
          <w:p w14:paraId="38A5DAEB" w14:textId="77777777" w:rsidR="000D65B8" w:rsidRDefault="00000000">
            <w:pPr>
              <w:spacing w:after="0" w:line="259" w:lineRule="auto"/>
            </w:pPr>
            <w:r>
              <w:rPr>
                <w:rFonts w:eastAsia="Times New Roman" w:cs="Times New Roman"/>
                <w:sz w:val="22"/>
              </w:rPr>
              <w:t>JBI Analytical Cross-sectional</w:t>
            </w:r>
          </w:p>
        </w:tc>
        <w:tc>
          <w:tcPr>
            <w:tcW w:w="936" w:type="dxa"/>
          </w:tcPr>
          <w:p w14:paraId="4DCC4755" w14:textId="77777777" w:rsidR="000D65B8" w:rsidRDefault="00000000">
            <w:pPr>
              <w:spacing w:after="0" w:line="259" w:lineRule="auto"/>
            </w:pPr>
            <w:r>
              <w:rPr>
                <w:rFonts w:eastAsia="Times New Roman" w:cs="Times New Roman"/>
                <w:sz w:val="22"/>
              </w:rPr>
              <w:t>8/8</w:t>
            </w:r>
          </w:p>
        </w:tc>
        <w:tc>
          <w:tcPr>
            <w:tcW w:w="1224" w:type="dxa"/>
          </w:tcPr>
          <w:p w14:paraId="30D9592D" w14:textId="77777777" w:rsidR="000D65B8" w:rsidRDefault="00000000">
            <w:pPr>
              <w:spacing w:after="0" w:line="259" w:lineRule="auto"/>
            </w:pPr>
            <w:r>
              <w:rPr>
                <w:rFonts w:eastAsia="Times New Roman" w:cs="Times New Roman"/>
                <w:sz w:val="22"/>
              </w:rPr>
              <w:t>High</w:t>
            </w:r>
          </w:p>
        </w:tc>
        <w:tc>
          <w:tcPr>
            <w:tcW w:w="4968" w:type="dxa"/>
          </w:tcPr>
          <w:p w14:paraId="1D3EF043" w14:textId="77777777" w:rsidR="000D65B8" w:rsidRDefault="00000000">
            <w:pPr>
              <w:spacing w:after="0" w:line="259" w:lineRule="auto"/>
            </w:pPr>
            <w:r>
              <w:rPr>
                <w:rFonts w:eastAsia="Times New Roman" w:cs="Times New Roman"/>
                <w:sz w:val="22"/>
              </w:rPr>
              <w:t>Clear variables and instruments; multivariable analyses adjusted for major clinical factors.</w:t>
            </w:r>
          </w:p>
        </w:tc>
      </w:tr>
      <w:tr w:rsidR="000D65B8" w14:paraId="174F3D53" w14:textId="77777777">
        <w:trPr>
          <w:cantSplit/>
          <w:jc w:val="center"/>
        </w:trPr>
        <w:tc>
          <w:tcPr>
            <w:tcW w:w="2016" w:type="dxa"/>
          </w:tcPr>
          <w:p w14:paraId="51702D14" w14:textId="77777777" w:rsidR="000D65B8" w:rsidRDefault="00000000">
            <w:pPr>
              <w:spacing w:after="0" w:line="259" w:lineRule="auto"/>
            </w:pPr>
            <w:r>
              <w:rPr>
                <w:rFonts w:eastAsia="Times New Roman" w:cs="Times New Roman"/>
                <w:sz w:val="22"/>
              </w:rPr>
              <w:t>Petrovic et al. (2024)</w:t>
            </w:r>
          </w:p>
        </w:tc>
        <w:tc>
          <w:tcPr>
            <w:tcW w:w="2376" w:type="dxa"/>
          </w:tcPr>
          <w:p w14:paraId="577E35DA" w14:textId="77777777" w:rsidR="000D65B8" w:rsidRDefault="00000000">
            <w:pPr>
              <w:spacing w:after="0" w:line="259" w:lineRule="auto"/>
            </w:pPr>
            <w:r>
              <w:rPr>
                <w:rFonts w:eastAsia="Times New Roman" w:cs="Times New Roman"/>
                <w:sz w:val="22"/>
              </w:rPr>
              <w:t>Cross-sectional</w:t>
            </w:r>
          </w:p>
        </w:tc>
        <w:tc>
          <w:tcPr>
            <w:tcW w:w="2448" w:type="dxa"/>
          </w:tcPr>
          <w:p w14:paraId="1FE4C104" w14:textId="77777777" w:rsidR="000D65B8" w:rsidRDefault="00000000">
            <w:pPr>
              <w:spacing w:after="0" w:line="259" w:lineRule="auto"/>
            </w:pPr>
            <w:r>
              <w:rPr>
                <w:rFonts w:eastAsia="Times New Roman" w:cs="Times New Roman"/>
                <w:sz w:val="22"/>
              </w:rPr>
              <w:t>JBI Analytical Cross-sectional</w:t>
            </w:r>
          </w:p>
        </w:tc>
        <w:tc>
          <w:tcPr>
            <w:tcW w:w="936" w:type="dxa"/>
          </w:tcPr>
          <w:p w14:paraId="25CD819C" w14:textId="77777777" w:rsidR="000D65B8" w:rsidRDefault="00000000">
            <w:pPr>
              <w:spacing w:after="0" w:line="259" w:lineRule="auto"/>
            </w:pPr>
            <w:r>
              <w:rPr>
                <w:rFonts w:eastAsia="Times New Roman" w:cs="Times New Roman"/>
                <w:sz w:val="22"/>
              </w:rPr>
              <w:t>7/8</w:t>
            </w:r>
          </w:p>
        </w:tc>
        <w:tc>
          <w:tcPr>
            <w:tcW w:w="1224" w:type="dxa"/>
          </w:tcPr>
          <w:p w14:paraId="57F1F844" w14:textId="77777777" w:rsidR="000D65B8" w:rsidRDefault="00000000">
            <w:pPr>
              <w:spacing w:after="0" w:line="259" w:lineRule="auto"/>
            </w:pPr>
            <w:r>
              <w:rPr>
                <w:rFonts w:eastAsia="Times New Roman" w:cs="Times New Roman"/>
                <w:sz w:val="22"/>
              </w:rPr>
              <w:t>High</w:t>
            </w:r>
          </w:p>
        </w:tc>
        <w:tc>
          <w:tcPr>
            <w:tcW w:w="4968" w:type="dxa"/>
          </w:tcPr>
          <w:p w14:paraId="78CE2430" w14:textId="77777777" w:rsidR="000D65B8" w:rsidRDefault="00000000">
            <w:pPr>
              <w:spacing w:after="0" w:line="259" w:lineRule="auto"/>
            </w:pPr>
            <w:r>
              <w:rPr>
                <w:rFonts w:eastAsia="Times New Roman" w:cs="Times New Roman"/>
                <w:sz w:val="22"/>
              </w:rPr>
              <w:t>Several validated QoL instruments; generalisability limited by the institutional setting.</w:t>
            </w:r>
          </w:p>
        </w:tc>
      </w:tr>
      <w:tr w:rsidR="000D65B8" w14:paraId="029381D5" w14:textId="77777777">
        <w:trPr>
          <w:cantSplit/>
          <w:jc w:val="center"/>
        </w:trPr>
        <w:tc>
          <w:tcPr>
            <w:tcW w:w="2016" w:type="dxa"/>
          </w:tcPr>
          <w:p w14:paraId="55F0649B" w14:textId="77777777" w:rsidR="000D65B8" w:rsidRDefault="00000000">
            <w:pPr>
              <w:spacing w:after="0" w:line="259" w:lineRule="auto"/>
            </w:pPr>
            <w:r>
              <w:rPr>
                <w:rFonts w:eastAsia="Times New Roman" w:cs="Times New Roman"/>
                <w:sz w:val="22"/>
              </w:rPr>
              <w:t>Hoeksema et al. (2025)</w:t>
            </w:r>
          </w:p>
        </w:tc>
        <w:tc>
          <w:tcPr>
            <w:tcW w:w="2376" w:type="dxa"/>
          </w:tcPr>
          <w:p w14:paraId="025064C8" w14:textId="77777777" w:rsidR="000D65B8" w:rsidRDefault="00000000">
            <w:pPr>
              <w:spacing w:after="0" w:line="259" w:lineRule="auto"/>
            </w:pPr>
            <w:r>
              <w:rPr>
                <w:rFonts w:eastAsia="Times New Roman" w:cs="Times New Roman"/>
                <w:sz w:val="22"/>
              </w:rPr>
              <w:t>Longitudinal cohort with routine outcomes</w:t>
            </w:r>
          </w:p>
        </w:tc>
        <w:tc>
          <w:tcPr>
            <w:tcW w:w="2448" w:type="dxa"/>
          </w:tcPr>
          <w:p w14:paraId="6136F14B" w14:textId="77777777" w:rsidR="000D65B8" w:rsidRDefault="00000000">
            <w:pPr>
              <w:spacing w:after="0" w:line="259" w:lineRule="auto"/>
            </w:pPr>
            <w:r>
              <w:rPr>
                <w:rFonts w:eastAsia="Times New Roman" w:cs="Times New Roman"/>
                <w:sz w:val="22"/>
              </w:rPr>
              <w:t>JBI Cohort</w:t>
            </w:r>
          </w:p>
        </w:tc>
        <w:tc>
          <w:tcPr>
            <w:tcW w:w="936" w:type="dxa"/>
          </w:tcPr>
          <w:p w14:paraId="13D3C3A3" w14:textId="77777777" w:rsidR="000D65B8" w:rsidRDefault="00000000">
            <w:pPr>
              <w:spacing w:after="0" w:line="259" w:lineRule="auto"/>
            </w:pPr>
            <w:r>
              <w:rPr>
                <w:rFonts w:eastAsia="Times New Roman" w:cs="Times New Roman"/>
                <w:sz w:val="22"/>
              </w:rPr>
              <w:t>9/11</w:t>
            </w:r>
          </w:p>
        </w:tc>
        <w:tc>
          <w:tcPr>
            <w:tcW w:w="1224" w:type="dxa"/>
          </w:tcPr>
          <w:p w14:paraId="3E04F239" w14:textId="77777777" w:rsidR="000D65B8" w:rsidRDefault="00000000">
            <w:pPr>
              <w:spacing w:after="0" w:line="259" w:lineRule="auto"/>
            </w:pPr>
            <w:r>
              <w:rPr>
                <w:rFonts w:eastAsia="Times New Roman" w:cs="Times New Roman"/>
                <w:sz w:val="22"/>
              </w:rPr>
              <w:t>High</w:t>
            </w:r>
          </w:p>
        </w:tc>
        <w:tc>
          <w:tcPr>
            <w:tcW w:w="4968" w:type="dxa"/>
          </w:tcPr>
          <w:p w14:paraId="5ECD3C69" w14:textId="77777777" w:rsidR="000D65B8" w:rsidRDefault="00000000">
            <w:pPr>
              <w:spacing w:after="0" w:line="259" w:lineRule="auto"/>
            </w:pPr>
            <w:r>
              <w:rPr>
                <w:rFonts w:eastAsia="Times New Roman" w:cs="Times New Roman"/>
                <w:sz w:val="22"/>
              </w:rPr>
              <w:t>Large sample and trajectory analyses; routine data and missingness may affect estimates.</w:t>
            </w:r>
          </w:p>
        </w:tc>
      </w:tr>
      <w:tr w:rsidR="000D65B8" w14:paraId="7BCD2D32" w14:textId="77777777">
        <w:trPr>
          <w:cantSplit/>
          <w:jc w:val="center"/>
        </w:trPr>
        <w:tc>
          <w:tcPr>
            <w:tcW w:w="2016" w:type="dxa"/>
          </w:tcPr>
          <w:p w14:paraId="6FE87B41" w14:textId="77777777" w:rsidR="000D65B8" w:rsidRDefault="00000000">
            <w:pPr>
              <w:spacing w:after="0" w:line="259" w:lineRule="auto"/>
            </w:pPr>
            <w:r>
              <w:rPr>
                <w:rFonts w:eastAsia="Times New Roman" w:cs="Times New Roman"/>
                <w:sz w:val="22"/>
              </w:rPr>
              <w:t>Völker &amp; Micluţia (2025)</w:t>
            </w:r>
          </w:p>
        </w:tc>
        <w:tc>
          <w:tcPr>
            <w:tcW w:w="2376" w:type="dxa"/>
          </w:tcPr>
          <w:p w14:paraId="44CD5344" w14:textId="77777777" w:rsidR="000D65B8" w:rsidRDefault="00000000">
            <w:pPr>
              <w:spacing w:after="0" w:line="259" w:lineRule="auto"/>
            </w:pPr>
            <w:r>
              <w:rPr>
                <w:rFonts w:eastAsia="Times New Roman" w:cs="Times New Roman"/>
                <w:sz w:val="22"/>
              </w:rPr>
              <w:t>Cross-sectional patient–caregiver study</w:t>
            </w:r>
          </w:p>
        </w:tc>
        <w:tc>
          <w:tcPr>
            <w:tcW w:w="2448" w:type="dxa"/>
          </w:tcPr>
          <w:p w14:paraId="140042C7" w14:textId="77777777" w:rsidR="000D65B8" w:rsidRDefault="00000000">
            <w:pPr>
              <w:spacing w:after="0" w:line="259" w:lineRule="auto"/>
            </w:pPr>
            <w:r>
              <w:rPr>
                <w:rFonts w:eastAsia="Times New Roman" w:cs="Times New Roman"/>
                <w:sz w:val="22"/>
              </w:rPr>
              <w:t>JBI Analytical Cross-sectional</w:t>
            </w:r>
          </w:p>
        </w:tc>
        <w:tc>
          <w:tcPr>
            <w:tcW w:w="936" w:type="dxa"/>
          </w:tcPr>
          <w:p w14:paraId="690E956C" w14:textId="77777777" w:rsidR="000D65B8" w:rsidRDefault="00000000">
            <w:pPr>
              <w:spacing w:after="0" w:line="259" w:lineRule="auto"/>
            </w:pPr>
            <w:r>
              <w:rPr>
                <w:rFonts w:eastAsia="Times New Roman" w:cs="Times New Roman"/>
                <w:sz w:val="22"/>
              </w:rPr>
              <w:t>7/8</w:t>
            </w:r>
          </w:p>
        </w:tc>
        <w:tc>
          <w:tcPr>
            <w:tcW w:w="1224" w:type="dxa"/>
          </w:tcPr>
          <w:p w14:paraId="6F8734DC" w14:textId="77777777" w:rsidR="000D65B8" w:rsidRDefault="00000000">
            <w:pPr>
              <w:spacing w:after="0" w:line="259" w:lineRule="auto"/>
            </w:pPr>
            <w:r>
              <w:rPr>
                <w:rFonts w:eastAsia="Times New Roman" w:cs="Times New Roman"/>
                <w:sz w:val="22"/>
              </w:rPr>
              <w:t>High</w:t>
            </w:r>
          </w:p>
        </w:tc>
        <w:tc>
          <w:tcPr>
            <w:tcW w:w="4968" w:type="dxa"/>
          </w:tcPr>
          <w:p w14:paraId="3103D9F4" w14:textId="77777777" w:rsidR="000D65B8" w:rsidRDefault="00000000">
            <w:pPr>
              <w:spacing w:after="0" w:line="259" w:lineRule="auto"/>
            </w:pPr>
            <w:r>
              <w:rPr>
                <w:rFonts w:eastAsia="Times New Roman" w:cs="Times New Roman"/>
                <w:sz w:val="22"/>
              </w:rPr>
              <w:t>Multidomain measurement; single-country context and cross-sectional design limit inference.</w:t>
            </w:r>
          </w:p>
        </w:tc>
      </w:tr>
      <w:tr w:rsidR="000D65B8" w14:paraId="4EB90C12" w14:textId="77777777">
        <w:trPr>
          <w:cantSplit/>
          <w:jc w:val="center"/>
        </w:trPr>
        <w:tc>
          <w:tcPr>
            <w:tcW w:w="2016" w:type="dxa"/>
          </w:tcPr>
          <w:p w14:paraId="094BC2EA" w14:textId="77777777" w:rsidR="000D65B8" w:rsidRDefault="00000000">
            <w:pPr>
              <w:spacing w:after="0" w:line="259" w:lineRule="auto"/>
            </w:pPr>
            <w:r>
              <w:rPr>
                <w:rFonts w:eastAsia="Times New Roman" w:cs="Times New Roman"/>
                <w:sz w:val="22"/>
              </w:rPr>
              <w:t>Prasetiyo et al. (2025)</w:t>
            </w:r>
          </w:p>
        </w:tc>
        <w:tc>
          <w:tcPr>
            <w:tcW w:w="2376" w:type="dxa"/>
          </w:tcPr>
          <w:p w14:paraId="3A814647" w14:textId="77777777" w:rsidR="000D65B8" w:rsidRDefault="00000000">
            <w:pPr>
              <w:spacing w:after="0" w:line="259" w:lineRule="auto"/>
            </w:pPr>
            <w:r>
              <w:rPr>
                <w:rFonts w:eastAsia="Times New Roman" w:cs="Times New Roman"/>
                <w:sz w:val="22"/>
              </w:rPr>
              <w:t>Observational cross-sectional</w:t>
            </w:r>
          </w:p>
        </w:tc>
        <w:tc>
          <w:tcPr>
            <w:tcW w:w="2448" w:type="dxa"/>
          </w:tcPr>
          <w:p w14:paraId="0C71DF46" w14:textId="77777777" w:rsidR="000D65B8" w:rsidRDefault="00000000">
            <w:pPr>
              <w:spacing w:after="0" w:line="259" w:lineRule="auto"/>
            </w:pPr>
            <w:r>
              <w:rPr>
                <w:rFonts w:eastAsia="Times New Roman" w:cs="Times New Roman"/>
                <w:sz w:val="22"/>
              </w:rPr>
              <w:t>JBI Analytical Cross-sectional</w:t>
            </w:r>
          </w:p>
        </w:tc>
        <w:tc>
          <w:tcPr>
            <w:tcW w:w="936" w:type="dxa"/>
          </w:tcPr>
          <w:p w14:paraId="078F2CDE" w14:textId="77777777" w:rsidR="000D65B8" w:rsidRDefault="00000000">
            <w:pPr>
              <w:spacing w:after="0" w:line="259" w:lineRule="auto"/>
            </w:pPr>
            <w:r>
              <w:rPr>
                <w:rFonts w:eastAsia="Times New Roman" w:cs="Times New Roman"/>
                <w:sz w:val="22"/>
              </w:rPr>
              <w:t>7/8</w:t>
            </w:r>
          </w:p>
        </w:tc>
        <w:tc>
          <w:tcPr>
            <w:tcW w:w="1224" w:type="dxa"/>
          </w:tcPr>
          <w:p w14:paraId="1AB8E91D" w14:textId="77777777" w:rsidR="000D65B8" w:rsidRDefault="00000000">
            <w:pPr>
              <w:spacing w:after="0" w:line="259" w:lineRule="auto"/>
            </w:pPr>
            <w:r>
              <w:rPr>
                <w:rFonts w:eastAsia="Times New Roman" w:cs="Times New Roman"/>
                <w:sz w:val="22"/>
              </w:rPr>
              <w:t>High</w:t>
            </w:r>
          </w:p>
        </w:tc>
        <w:tc>
          <w:tcPr>
            <w:tcW w:w="4968" w:type="dxa"/>
          </w:tcPr>
          <w:p w14:paraId="42D3B44F" w14:textId="77777777" w:rsidR="000D65B8" w:rsidRDefault="00000000">
            <w:pPr>
              <w:spacing w:after="0" w:line="259" w:lineRule="auto"/>
            </w:pPr>
            <w:r>
              <w:rPr>
                <w:rFonts w:eastAsia="Times New Roman" w:cs="Times New Roman"/>
                <w:sz w:val="22"/>
              </w:rPr>
              <w:t>Paired patient–caregiver data, EQ-5D-5L, multivariable analysis; referral-hospital setting limits generalisability.</w:t>
            </w:r>
          </w:p>
        </w:tc>
      </w:tr>
      <w:tr w:rsidR="000D65B8" w14:paraId="298A1E6B" w14:textId="77777777">
        <w:trPr>
          <w:cantSplit/>
          <w:jc w:val="center"/>
        </w:trPr>
        <w:tc>
          <w:tcPr>
            <w:tcW w:w="2016" w:type="dxa"/>
          </w:tcPr>
          <w:p w14:paraId="2C10F26C" w14:textId="77777777" w:rsidR="000D65B8" w:rsidRDefault="00000000">
            <w:pPr>
              <w:spacing w:after="0" w:line="259" w:lineRule="auto"/>
            </w:pPr>
            <w:r>
              <w:rPr>
                <w:rFonts w:eastAsia="Times New Roman" w:cs="Times New Roman"/>
                <w:sz w:val="22"/>
              </w:rPr>
              <w:t>Wang et al. (2026)</w:t>
            </w:r>
          </w:p>
        </w:tc>
        <w:tc>
          <w:tcPr>
            <w:tcW w:w="2376" w:type="dxa"/>
          </w:tcPr>
          <w:p w14:paraId="2130D195" w14:textId="77777777" w:rsidR="000D65B8" w:rsidRDefault="00000000">
            <w:pPr>
              <w:spacing w:after="0" w:line="259" w:lineRule="auto"/>
            </w:pPr>
            <w:r>
              <w:rPr>
                <w:rFonts w:eastAsia="Times New Roman" w:cs="Times New Roman"/>
                <w:sz w:val="22"/>
              </w:rPr>
              <w:t>Prospective cohort</w:t>
            </w:r>
          </w:p>
        </w:tc>
        <w:tc>
          <w:tcPr>
            <w:tcW w:w="2448" w:type="dxa"/>
          </w:tcPr>
          <w:p w14:paraId="68E50B61" w14:textId="77777777" w:rsidR="000D65B8" w:rsidRDefault="00000000">
            <w:pPr>
              <w:spacing w:after="0" w:line="259" w:lineRule="auto"/>
            </w:pPr>
            <w:r>
              <w:rPr>
                <w:rFonts w:eastAsia="Times New Roman" w:cs="Times New Roman"/>
                <w:sz w:val="22"/>
              </w:rPr>
              <w:t>JBI Cohort</w:t>
            </w:r>
          </w:p>
        </w:tc>
        <w:tc>
          <w:tcPr>
            <w:tcW w:w="936" w:type="dxa"/>
          </w:tcPr>
          <w:p w14:paraId="35F288AB" w14:textId="77777777" w:rsidR="000D65B8" w:rsidRDefault="00000000">
            <w:pPr>
              <w:spacing w:after="0" w:line="259" w:lineRule="auto"/>
            </w:pPr>
            <w:r>
              <w:rPr>
                <w:rFonts w:eastAsia="Times New Roman" w:cs="Times New Roman"/>
                <w:sz w:val="22"/>
              </w:rPr>
              <w:t>10/11</w:t>
            </w:r>
          </w:p>
        </w:tc>
        <w:tc>
          <w:tcPr>
            <w:tcW w:w="1224" w:type="dxa"/>
          </w:tcPr>
          <w:p w14:paraId="3471C856" w14:textId="77777777" w:rsidR="000D65B8" w:rsidRDefault="00000000">
            <w:pPr>
              <w:spacing w:after="0" w:line="259" w:lineRule="auto"/>
            </w:pPr>
            <w:r>
              <w:rPr>
                <w:rFonts w:eastAsia="Times New Roman" w:cs="Times New Roman"/>
                <w:sz w:val="22"/>
              </w:rPr>
              <w:t>High</w:t>
            </w:r>
          </w:p>
        </w:tc>
        <w:tc>
          <w:tcPr>
            <w:tcW w:w="4968" w:type="dxa"/>
          </w:tcPr>
          <w:p w14:paraId="0C1F5846" w14:textId="77777777" w:rsidR="000D65B8" w:rsidRDefault="00000000">
            <w:pPr>
              <w:spacing w:after="0" w:line="259" w:lineRule="auto"/>
            </w:pPr>
            <w:r>
              <w:rPr>
                <w:rFonts w:eastAsia="Times New Roman" w:cs="Times New Roman"/>
                <w:sz w:val="22"/>
              </w:rPr>
              <w:t>Prospective rehabilitation and repeated measurement; possible confounding in a non-randomised design.</w:t>
            </w:r>
          </w:p>
        </w:tc>
      </w:tr>
    </w:tbl>
    <w:p w14:paraId="32BDB00F" w14:textId="77777777" w:rsidR="000D65B8" w:rsidRDefault="00000000">
      <w:pPr>
        <w:spacing w:line="259" w:lineRule="auto"/>
      </w:pPr>
      <w:r>
        <w:rPr>
          <w:sz w:val="20"/>
        </w:rPr>
        <w:t>JBI, Joanna Briggs Institute. Scores and quality labels are reproduced from the source manuscript. The appraisal was retrospective; no new ratings were assigned during preparation of this journal adaptation.</w:t>
      </w:r>
    </w:p>
    <w:sectPr w:rsidR="000D65B8" w:rsidSect="00034616">
      <w:pgSz w:w="15840" w:h="12240" w:orient="landscape"/>
      <w:pgMar w:top="1008" w:right="936" w:bottom="1008" w:left="936"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674697" w14:textId="77777777" w:rsidR="002B73C2" w:rsidRDefault="002B73C2">
      <w:pPr>
        <w:spacing w:after="0" w:line="240" w:lineRule="auto"/>
      </w:pPr>
      <w:r>
        <w:separator/>
      </w:r>
    </w:p>
  </w:endnote>
  <w:endnote w:type="continuationSeparator" w:id="0">
    <w:p w14:paraId="438ECA79" w14:textId="77777777" w:rsidR="002B73C2" w:rsidRDefault="002B73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7D4DE" w14:textId="77777777" w:rsidR="000D65B8" w:rsidRDefault="00000000">
    <w:pPr>
      <w:pStyle w:val="Footer"/>
      <w:jc w:val="center"/>
    </w:pPr>
    <w:r>
      <w:fldChar w:fldCharType="begin"/>
    </w:r>
    <w:r>
      <w:instrText>PAGE</w:instrText>
    </w:r>
    <w:r>
      <w:fldChar w:fldCharType="separate"/>
    </w:r>
    <w:r w:rsidR="0055656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8A1468" w14:textId="77777777" w:rsidR="002B73C2" w:rsidRDefault="002B73C2">
      <w:pPr>
        <w:spacing w:after="0" w:line="240" w:lineRule="auto"/>
      </w:pPr>
      <w:r>
        <w:separator/>
      </w:r>
    </w:p>
  </w:footnote>
  <w:footnote w:type="continuationSeparator" w:id="0">
    <w:p w14:paraId="46F9734E" w14:textId="77777777" w:rsidR="002B73C2" w:rsidRDefault="002B73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FA6A3" w14:textId="77777777" w:rsidR="000D65B8" w:rsidRDefault="000D65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1801316">
    <w:abstractNumId w:val="8"/>
  </w:num>
  <w:num w:numId="2" w16cid:durableId="325983008">
    <w:abstractNumId w:val="6"/>
  </w:num>
  <w:num w:numId="3" w16cid:durableId="574046516">
    <w:abstractNumId w:val="5"/>
  </w:num>
  <w:num w:numId="4" w16cid:durableId="787620913">
    <w:abstractNumId w:val="4"/>
  </w:num>
  <w:num w:numId="5" w16cid:durableId="1447853278">
    <w:abstractNumId w:val="7"/>
  </w:num>
  <w:num w:numId="6" w16cid:durableId="1311981933">
    <w:abstractNumId w:val="3"/>
  </w:num>
  <w:num w:numId="7" w16cid:durableId="609553994">
    <w:abstractNumId w:val="2"/>
  </w:num>
  <w:num w:numId="8" w16cid:durableId="207642252">
    <w:abstractNumId w:val="1"/>
  </w:num>
  <w:num w:numId="9" w16cid:durableId="16081916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65B8"/>
    <w:rsid w:val="0015074B"/>
    <w:rsid w:val="0029639D"/>
    <w:rsid w:val="002B73C2"/>
    <w:rsid w:val="00326F90"/>
    <w:rsid w:val="00556560"/>
    <w:rsid w:val="00585BDF"/>
    <w:rsid w:val="006C0882"/>
    <w:rsid w:val="0085598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6A4918"/>
  <w14:defaultImageDpi w14:val="300"/>
  <w15:docId w15:val="{F4A4751F-853E-44FB-8AF4-1975EE4BA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240" w:line="276" w:lineRule="auto"/>
      <w:outlineLvl w:val="0"/>
    </w:pPr>
    <w:rPr>
      <w:rFonts w:asciiTheme="majorHAnsi" w:eastAsiaTheme="majorEastAsia" w:hAnsiTheme="majorHAnsi" w:cstheme="majorBidi"/>
      <w:b/>
      <w:bCs/>
      <w:sz w:val="26"/>
      <w:szCs w:val="28"/>
    </w:rPr>
  </w:style>
  <w:style w:type="paragraph" w:styleId="Heading2">
    <w:name w:val="heading 2"/>
    <w:basedOn w:val="Normal"/>
    <w:next w:val="Normal"/>
    <w:link w:val="Heading2Char"/>
    <w:uiPriority w:val="9"/>
    <w:unhideWhenUsed/>
    <w:qFormat/>
    <w:rsid w:val="00FC693F"/>
    <w:pPr>
      <w:keepNext/>
      <w:keepLines/>
      <w:spacing w:before="240" w:line="276" w:lineRule="auto"/>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40" w:line="276" w:lineRule="auto"/>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before="240" w:line="276" w:lineRule="auto"/>
      <w:contextualSpacing/>
    </w:pPr>
    <w:rPr>
      <w:rFonts w:asciiTheme="majorHAnsi" w:eastAsiaTheme="majorEastAsia" w:hAnsiTheme="majorHAnsi" w:cstheme="majorBidi"/>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2147/PROM.S454845" TargetMode="External"/><Relationship Id="rId18" Type="http://schemas.openxmlformats.org/officeDocument/2006/relationships/hyperlink" Target="https://doi.org/10.1186/s12888-024-05558-w" TargetMode="External"/><Relationship Id="rId26" Type="http://schemas.openxmlformats.org/officeDocument/2006/relationships/hyperlink" Target="https://doi.org/10.12182/20230560202" TargetMode="External"/><Relationship Id="rId3" Type="http://schemas.openxmlformats.org/officeDocument/2006/relationships/styles" Target="styles.xml"/><Relationship Id="rId21" Type="http://schemas.openxmlformats.org/officeDocument/2006/relationships/hyperlink" Target="https://doi.org/10.1515/med-2024-0947" TargetMode="External"/><Relationship Id="rId7" Type="http://schemas.openxmlformats.org/officeDocument/2006/relationships/endnotes" Target="endnotes.xml"/><Relationship Id="rId12" Type="http://schemas.openxmlformats.org/officeDocument/2006/relationships/hyperlink" Target="https://doi.org/10.3390/bs15050684" TargetMode="External"/><Relationship Id="rId17" Type="http://schemas.openxmlformats.org/officeDocument/2006/relationships/hyperlink" Target="https://doi.org/10.1016/j.psychres.2023.115707" TargetMode="External"/><Relationship Id="rId25" Type="http://schemas.openxmlformats.org/officeDocument/2006/relationships/hyperlink" Target="https://doi.org/10.1186/s12888-026-08029-6" TargetMode="External"/><Relationship Id="rId2" Type="http://schemas.openxmlformats.org/officeDocument/2006/relationships/numbering" Target="numbering.xml"/><Relationship Id="rId16" Type="http://schemas.openxmlformats.org/officeDocument/2006/relationships/hyperlink" Target="https://doi.org/10.1136/bmjspcare-2021-002936" TargetMode="External"/><Relationship Id="rId20" Type="http://schemas.openxmlformats.org/officeDocument/2006/relationships/hyperlink" Target="https://doi.org/10.1017/S0033291723003070"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93/schbul/sbae045" TargetMode="External"/><Relationship Id="rId24" Type="http://schemas.openxmlformats.org/officeDocument/2006/relationships/hyperlink" Target="https://doi.org/10.1038/s41598-025-19953-0"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i.org/10.1016/j.schres.2025.01.029" TargetMode="External"/><Relationship Id="rId23" Type="http://schemas.openxmlformats.org/officeDocument/2006/relationships/hyperlink" Target="https://doi.org/10.15386/mpr-2816" TargetMode="External"/><Relationship Id="rId28" Type="http://schemas.openxmlformats.org/officeDocument/2006/relationships/hyperlink" Target="https://doi.org/10.1093/schbul/sbae119" TargetMode="External"/><Relationship Id="rId10" Type="http://schemas.openxmlformats.org/officeDocument/2006/relationships/hyperlink" Target="https://doi.org/10.1016/j.schres.2025.12.019" TargetMode="External"/><Relationship Id="rId19" Type="http://schemas.openxmlformats.org/officeDocument/2006/relationships/hyperlink" Target="https://doi.org/10.3389/fpsyt.2025.1594334"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i.org/10.1111/inm.70199" TargetMode="External"/><Relationship Id="rId14" Type="http://schemas.openxmlformats.org/officeDocument/2006/relationships/hyperlink" Target="https://doi.org/10.3389/fpubh.2022.983733" TargetMode="External"/><Relationship Id="rId22" Type="http://schemas.openxmlformats.org/officeDocument/2006/relationships/hyperlink" Target="https://doi.org/10.52225/narra.v5i2.1314" TargetMode="External"/><Relationship Id="rId27" Type="http://schemas.openxmlformats.org/officeDocument/2006/relationships/hyperlink" Target="https://doi.org/10.1186/s12888-024-05929-3" TargetMode="External"/><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22</Pages>
  <Words>7429</Words>
  <Characters>42346</Characters>
  <Application>Microsoft Office Word</Application>
  <DocSecurity>0</DocSecurity>
  <Lines>352</Lines>
  <Paragraphs>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49676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Systematic Review with Narrative Synthesis of Factors Associated with Quality of Life in People with Schizophrenia</dc:title>
  <dc:subject/>
  <dc:creator>PT ANOA MANDIRI SEJAHTERA</dc:creator>
  <cp:keywords/>
  <dc:description/>
  <cp:lastModifiedBy>PT ANOA MANDIRI SEJAHTERA</cp:lastModifiedBy>
  <cp:revision>2</cp:revision>
  <dcterms:created xsi:type="dcterms:W3CDTF">2026-10-10T08:18:00Z</dcterms:created>
  <dcterms:modified xsi:type="dcterms:W3CDTF">2026-10-10T08:18:00Z</dcterms:modified>
  <cp:category/>
</cp:coreProperties>
</file>