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6FBCB" w14:textId="77777777" w:rsidR="00330686" w:rsidRDefault="00000000">
      <w:pPr>
        <w:keepNext/>
        <w:jc w:val="center"/>
      </w:pPr>
      <w:r>
        <w:rPr>
          <w:b/>
        </w:rPr>
        <w:t xml:space="preserve">Hyperbaric Oxygen Therapy and Spatial Working Memory After Repeated Gingival </w:t>
      </w:r>
      <w:r>
        <w:rPr>
          <w:b/>
          <w:i/>
        </w:rPr>
        <w:t>Porphyromonas gingivalis</w:t>
      </w:r>
      <w:r>
        <w:rPr>
          <w:b/>
        </w:rPr>
        <w:t xml:space="preserve"> Exposure in Rats</w:t>
      </w:r>
    </w:p>
    <w:p w14:paraId="03168586" w14:textId="77777777" w:rsidR="00330686" w:rsidRDefault="00000000">
      <w:pPr>
        <w:keepNext/>
      </w:pPr>
      <w:r>
        <w:rPr>
          <w:b/>
        </w:rPr>
        <w:t>Abstract</w:t>
      </w:r>
    </w:p>
    <w:p w14:paraId="120D12F1" w14:textId="77777777" w:rsidR="00330686" w:rsidRDefault="00000000">
      <w:pPr>
        <w:jc w:val="both"/>
      </w:pPr>
      <w:r>
        <w:rPr>
          <w:b/>
        </w:rPr>
        <w:t>Objectives:</w:t>
      </w:r>
      <w:r>
        <w:t xml:space="preserve"> To evaluate temporal changes in spatial working memory after repeated gingival </w:t>
      </w:r>
      <w:r>
        <w:rPr>
          <w:i/>
        </w:rPr>
        <w:t>Porphyromonas gingivalis</w:t>
      </w:r>
      <w:r>
        <w:t xml:space="preserve"> exposure followed by hyperbaric oxygen therapy.</w:t>
      </w:r>
    </w:p>
    <w:p w14:paraId="1A9C4FF1" w14:textId="77777777" w:rsidR="00330686" w:rsidRDefault="00000000">
      <w:pPr>
        <w:jc w:val="both"/>
      </w:pPr>
      <w:r>
        <w:rPr>
          <w:b/>
        </w:rPr>
        <w:t>Materials and Methods:</w:t>
      </w:r>
      <w:r>
        <w:t xml:space="preserve"> Twenty-two male Sprague-Dawley rats were allocated to a control group (n=11) or a </w:t>
      </w:r>
      <w:r>
        <w:rPr>
          <w:i/>
        </w:rPr>
        <w:t>Porphyromonas gingivalis</w:t>
      </w:r>
      <w:r>
        <w:t xml:space="preserve"> exposure followed by hyperbaric oxygen therapy (HBOT) group (n=11). The latter received bilateral gingival </w:t>
      </w:r>
      <w:r>
        <w:rPr>
          <w:i/>
        </w:rPr>
        <w:t>P. gingivalis</w:t>
      </w:r>
      <w:r>
        <w:t xml:space="preserve"> injections (1×10⁹ CFU/mL; 3 µL/side) every two days for five weeks, followed by HBOT at 2.0 atmospheres absolute with 100% oxygen for 60 minutes, five sessions/week for four weeks. Y-maze spontaneous alternation was assessed at baseline, week 5, and week 9. Within-group changes were assessed using repeated-measures analysis of variance or Friedman testing with pairwise analyses.</w:t>
      </w:r>
    </w:p>
    <w:p w14:paraId="79B3975B" w14:textId="77777777" w:rsidR="00330686" w:rsidRDefault="00000000">
      <w:pPr>
        <w:jc w:val="both"/>
      </w:pPr>
      <w:r>
        <w:rPr>
          <w:b/>
        </w:rPr>
        <w:t>Results:</w:t>
      </w:r>
      <w:r>
        <w:t xml:space="preserve"> Control-group scores did not differ across time (baseline, 70.85±4.97; week 5, 65.45±9.60; week 9, 68.00±5.08; all pairwise P&gt;0.05). In the exposure-HBOT group, the mean score decreased from 68.02±1.67 at baseline to 32.01±24.71 at week 5 and increased to 52.09±14.03 at week 9. Pairwise comparisons were significant for baseline versus week 5 (P&lt;0.005), baseline versus week 9 (P&lt;0.010), and week 5 versus week 9 (P=0.041).</w:t>
      </w:r>
    </w:p>
    <w:p w14:paraId="79C270D8" w14:textId="77777777" w:rsidR="00330686" w:rsidRDefault="00000000">
      <w:pPr>
        <w:jc w:val="both"/>
      </w:pPr>
      <w:r>
        <w:rPr>
          <w:b/>
        </w:rPr>
        <w:t>Conclusion:</w:t>
      </w:r>
      <w:r>
        <w:t xml:space="preserve"> Repeated gingival </w:t>
      </w:r>
      <w:r>
        <w:rPr>
          <w:i/>
        </w:rPr>
        <w:t>P. gingivalis</w:t>
      </w:r>
      <w:r>
        <w:t xml:space="preserve"> exposure was accompanied by lower Y-maze spontaneous alternation. Scores were higher at week 9 after HBOT, but the absence of an exposure-only group precludes attributing the change exclusively to HBOT.</w:t>
      </w:r>
    </w:p>
    <w:p w14:paraId="3370192A" w14:textId="77777777" w:rsidR="00330686" w:rsidRDefault="00000000">
      <w:pPr>
        <w:jc w:val="both"/>
      </w:pPr>
      <w:r>
        <w:rPr>
          <w:b/>
        </w:rPr>
        <w:lastRenderedPageBreak/>
        <w:t>Keywords:</w:t>
      </w:r>
      <w:r>
        <w:t xml:space="preserve"> Hyperbaric Oxygenation; Memory, Short-Term; Periodontitis; </w:t>
      </w:r>
      <w:r>
        <w:rPr>
          <w:i/>
        </w:rPr>
        <w:t>Porphyromonas gingivalis</w:t>
      </w:r>
      <w:r>
        <w:t>; Rats, Sprague-Dawley; Spatial Behavior</w:t>
      </w:r>
    </w:p>
    <w:p w14:paraId="6E821C1F" w14:textId="77777777" w:rsidR="00330686" w:rsidRDefault="00000000">
      <w:pPr>
        <w:keepNext/>
      </w:pPr>
      <w:r>
        <w:rPr>
          <w:b/>
        </w:rPr>
        <w:t>Introduction</w:t>
      </w:r>
    </w:p>
    <w:p w14:paraId="107DD67D" w14:textId="77777777" w:rsidR="00330686" w:rsidRDefault="00000000">
      <w:pPr>
        <w:ind w:firstLine="720"/>
        <w:jc w:val="both"/>
      </w:pPr>
      <w:r>
        <w:t xml:space="preserve">Periodontitis is a chronic inflammatory disease of the tooth-supporting tissues. </w:t>
      </w:r>
      <w:r>
        <w:rPr>
          <w:i/>
        </w:rPr>
        <w:t>Porphyromonas gingivalis</w:t>
      </w:r>
      <w:r>
        <w:t xml:space="preserve"> (</w:t>
      </w:r>
      <w:r>
        <w:rPr>
          <w:i/>
        </w:rPr>
        <w:t>P. gingivalis</w:t>
      </w:r>
      <w:r>
        <w:t xml:space="preserve">), a keystone periodontal pathogen, can disrupt host–microbial homeostasis and promote local and systemic inflammatory responses. Experimental and clinical literature has increasingly considered whether periodontal infection and </w:t>
      </w:r>
      <w:r>
        <w:rPr>
          <w:i/>
        </w:rPr>
        <w:t>P. gingivalis</w:t>
      </w:r>
      <w:r>
        <w:t>-derived products may contribute to cognitive-related changes through inflammatory pathways extending beyond the oral cavity [1,2].</w:t>
      </w:r>
    </w:p>
    <w:p w14:paraId="469A2B63" w14:textId="77777777" w:rsidR="00330686" w:rsidRDefault="00000000">
      <w:pPr>
        <w:ind w:firstLine="720"/>
        <w:jc w:val="both"/>
      </w:pPr>
      <w:r>
        <w:rPr>
          <w:i/>
        </w:rPr>
        <w:t>P. gingivalis</w:t>
      </w:r>
      <w:r>
        <w:t xml:space="preserve"> produces lipopolysaccharide, fimbriae, gingipains, and outer membrane vesicles, which may influence endothelial function, immune signaling, oxidative stress, and neural inflammation. In animal studies, </w:t>
      </w:r>
      <w:r>
        <w:rPr>
          <w:i/>
        </w:rPr>
        <w:t>P. gingivalis</w:t>
      </w:r>
      <w:r>
        <w:t xml:space="preserve"> outer membrane vesicles have been associated with inflammasome activation, tau phosphorylation, and memory dysfunction, while other work has linked </w:t>
      </w:r>
      <w:r>
        <w:rPr>
          <w:i/>
        </w:rPr>
        <w:t>P. gingivalis</w:t>
      </w:r>
      <w:r>
        <w:t xml:space="preserve"> exposure with microglial activation and trigeminal nerve-mediated cognitive impairment [3–6]. These mechanisms remain incompletely defined, but they provide a biologically plausible context for examining behavioral outcomes after repeated gingival bacterial exposure.</w:t>
      </w:r>
    </w:p>
    <w:p w14:paraId="237F54BA" w14:textId="77777777" w:rsidR="00330686" w:rsidRDefault="00000000">
      <w:pPr>
        <w:ind w:firstLine="720"/>
        <w:jc w:val="both"/>
      </w:pPr>
      <w:r>
        <w:t xml:space="preserve">Hyperbaric oxygen therapy (HBOT) delivers 100% oxygen at pressures above atmospheric pressure and increases the amount of dissolved oxygen available to tissues. In experimental and clinical neurological contexts, HBOT has been studied for its potential effects on tissue oxygenation, vascular function, inflammatory signaling, oxidative stress, and cognition [7–10]. Its relationship with behavioral changes after </w:t>
      </w:r>
      <w:r>
        <w:rPr>
          <w:i/>
        </w:rPr>
        <w:t>P. gingivalis</w:t>
      </w:r>
      <w:r>
        <w:t xml:space="preserve"> exposure, however, has received limited investigation.</w:t>
      </w:r>
    </w:p>
    <w:p w14:paraId="66E21C4A" w14:textId="77777777" w:rsidR="00330686" w:rsidRDefault="00000000">
      <w:pPr>
        <w:ind w:firstLine="720"/>
        <w:jc w:val="both"/>
      </w:pPr>
      <w:r>
        <w:lastRenderedPageBreak/>
        <w:t xml:space="preserve">This study evaluated changes in Y-maze spontaneous alternation in rats that underwent repeated gingival </w:t>
      </w:r>
      <w:r>
        <w:rPr>
          <w:i/>
        </w:rPr>
        <w:t>P. gingivalis</w:t>
      </w:r>
      <w:r>
        <w:t xml:space="preserve"> exposure followed by HBOT. We hypothesized that spontaneous alternation would decrease after the exposure phase and increase during the subsequent HBOT phase.</w:t>
      </w:r>
    </w:p>
    <w:p w14:paraId="0B642FFB" w14:textId="77777777" w:rsidR="00330686" w:rsidRDefault="00000000">
      <w:pPr>
        <w:keepNext/>
      </w:pPr>
      <w:r>
        <w:rPr>
          <w:b/>
        </w:rPr>
        <w:t>Materials and Methods</w:t>
      </w:r>
    </w:p>
    <w:p w14:paraId="1D9175A5" w14:textId="77777777" w:rsidR="00330686" w:rsidRDefault="00000000">
      <w:pPr>
        <w:keepNext/>
      </w:pPr>
      <w:r>
        <w:rPr>
          <w:b/>
        </w:rPr>
        <w:t>Study Design and Ethical Approval</w:t>
      </w:r>
    </w:p>
    <w:p w14:paraId="705AFD07" w14:textId="77777777" w:rsidR="00330686" w:rsidRDefault="00000000">
      <w:pPr>
        <w:ind w:firstLine="720"/>
        <w:jc w:val="both"/>
      </w:pPr>
      <w:r>
        <w:t xml:space="preserve">This experimental animal study evaluated spatial working memory after repeated gingival </w:t>
      </w:r>
      <w:r>
        <w:rPr>
          <w:i/>
        </w:rPr>
        <w:t>P. gingivalis</w:t>
      </w:r>
      <w:r>
        <w:t xml:space="preserve"> exposure followed by HBOT. The protocol was approved by the Institutional Research Ethics Committee [blinded for peer review] (approval number: [blinded for peer review]). All animal procedures were conducted in accordance with institutional guidelines for the care and use of laboratory animals.</w:t>
      </w:r>
    </w:p>
    <w:p w14:paraId="6DA9D752" w14:textId="77777777" w:rsidR="00330686" w:rsidRDefault="00000000">
      <w:pPr>
        <w:keepNext/>
      </w:pPr>
      <w:r>
        <w:rPr>
          <w:b/>
        </w:rPr>
        <w:t>Animals and Housing Conditions</w:t>
      </w:r>
    </w:p>
    <w:p w14:paraId="27B666A4" w14:textId="77777777" w:rsidR="00330686" w:rsidRDefault="00000000">
      <w:pPr>
        <w:ind w:firstLine="720"/>
        <w:jc w:val="both"/>
      </w:pPr>
      <w:r>
        <w:t>Twenty-two male Sprague-Dawley rats aged 10 weeks and weighing 150–180 g were included. The animals underwent a one-week acclimatization period under controlled conditions: temperature 18–26 °C, relative humidity 30–70%, and a 12-hour light/dark cycle. They were housed in standard laboratory cages with pellet diet and drinking water available ad libitum.</w:t>
      </w:r>
    </w:p>
    <w:p w14:paraId="1B8C732D" w14:textId="77777777" w:rsidR="00330686" w:rsidRDefault="00000000">
      <w:pPr>
        <w:ind w:firstLine="720"/>
        <w:jc w:val="both"/>
      </w:pPr>
      <w:r>
        <w:t>Animals were considered eligible when veterinary examination indicated normal physical condition and behavior, including smooth fur, clear eyes, normal activity, good appetite, firm feces, and normal social behavior. Animals with congenital abnormalities or signs of illness during acclimatization were excluded. Animals that died during the experiment were to be treated as dropouts and excluded from the final analysis.</w:t>
      </w:r>
    </w:p>
    <w:p w14:paraId="762B57C4" w14:textId="77777777" w:rsidR="00330686" w:rsidRDefault="00000000">
      <w:pPr>
        <w:keepNext/>
      </w:pPr>
      <w:r>
        <w:rPr>
          <w:b/>
        </w:rPr>
        <w:lastRenderedPageBreak/>
        <w:t>Experimental Groups</w:t>
      </w:r>
    </w:p>
    <w:p w14:paraId="77D2F2E9" w14:textId="77777777" w:rsidR="00330686" w:rsidRDefault="00000000">
      <w:pPr>
        <w:ind w:firstLine="720"/>
        <w:jc w:val="both"/>
      </w:pPr>
      <w:r>
        <w:t xml:space="preserve">The control group did not receive </w:t>
      </w:r>
      <w:r>
        <w:rPr>
          <w:i/>
        </w:rPr>
        <w:t>P. gingivalis</w:t>
      </w:r>
      <w:r>
        <w:t xml:space="preserve"> exposure or HBOT. The </w:t>
      </w:r>
      <w:r>
        <w:rPr>
          <w:i/>
        </w:rPr>
        <w:t>P. gingivalis</w:t>
      </w:r>
      <w:r>
        <w:t xml:space="preserve"> exposure followed by HBOT group received repeated gingival </w:t>
      </w:r>
      <w:r>
        <w:rPr>
          <w:i/>
        </w:rPr>
        <w:t>P. gingivalis</w:t>
      </w:r>
      <w:r>
        <w:t xml:space="preserve"> injection for five weeks and then HBOT for four weeks. Y-maze performance was assessed in both groups at baseline, week 5, and week 9.</w:t>
      </w:r>
    </w:p>
    <w:p w14:paraId="72BDC675" w14:textId="77777777" w:rsidR="00330686" w:rsidRDefault="00000000">
      <w:pPr>
        <w:keepNext/>
      </w:pPr>
      <w:r>
        <w:rPr>
          <w:b/>
        </w:rPr>
        <w:t>Repeated Gingival Porphyromonas gingivalis Exposure</w:t>
      </w:r>
    </w:p>
    <w:p w14:paraId="75737368" w14:textId="77777777" w:rsidR="00330686" w:rsidRDefault="00000000">
      <w:pPr>
        <w:ind w:firstLine="720"/>
        <w:jc w:val="both"/>
      </w:pPr>
      <w:r>
        <w:rPr>
          <w:i/>
        </w:rPr>
        <w:t>P. gingivalis</w:t>
      </w:r>
      <w:r>
        <w:t xml:space="preserve"> ATCC 33277 PK/5 suspension was prepared at 1×10⁹ CFU/mL. Using a 5-µL microsyringe (Hamilton Company, Reno, NV, USA), 3 µL of suspension was injected into the gingival tissue adjacent to the mandibular second molar on both right and left sides. Injections were administered every two days for five consecutive weeks. Because periodontal destruction was not assessed histologically or radiographically in this study, this protocol is described as repeated gingival </w:t>
      </w:r>
      <w:r>
        <w:rPr>
          <w:i/>
        </w:rPr>
        <w:t>P. gingivalis</w:t>
      </w:r>
      <w:r>
        <w:t xml:space="preserve"> exposure rather than a validated periodontitis model.</w:t>
      </w:r>
    </w:p>
    <w:p w14:paraId="691F5530" w14:textId="77777777" w:rsidR="00330686" w:rsidRDefault="00000000">
      <w:pPr>
        <w:keepNext/>
      </w:pPr>
      <w:r>
        <w:rPr>
          <w:b/>
        </w:rPr>
        <w:t>Hyperbaric Oxygen Therapy Protocol</w:t>
      </w:r>
    </w:p>
    <w:p w14:paraId="72140EBE" w14:textId="77777777" w:rsidR="00330686" w:rsidRDefault="00000000">
      <w:pPr>
        <w:ind w:firstLine="720"/>
        <w:jc w:val="both"/>
      </w:pPr>
      <w:r>
        <w:t xml:space="preserve">After the five-week exposure phase, animals in the </w:t>
      </w:r>
      <w:r>
        <w:rPr>
          <w:i/>
        </w:rPr>
        <w:t>P. gingivalis</w:t>
      </w:r>
      <w:r>
        <w:t xml:space="preserve"> exposure followed by HBOT group underwent HBOT at 2.0 atmospheres absolute with 100% medical oxygen. Compression was performed at 0.1 atmospheres absolute/minute until the target pressure was reached. Each session consisted of two 30-minute oxygen exposure periods separated by a 5-minute interval at target pressure, followed by decompression at 0.1 atmospheres absolute/minute.</w:t>
      </w:r>
    </w:p>
    <w:p w14:paraId="068675FB" w14:textId="77777777" w:rsidR="00330686" w:rsidRDefault="00000000">
      <w:pPr>
        <w:ind w:firstLine="720"/>
        <w:jc w:val="both"/>
      </w:pPr>
      <w:r>
        <w:t xml:space="preserve">Before each session, animals were fasted for 4–6 hours and briefly observed to confirm suitability for therapy. Animals were monitored through the chamber window during exposure. Sessions were stopped if severe distress was observed; afterward, </w:t>
      </w:r>
      <w:r>
        <w:lastRenderedPageBreak/>
        <w:t>animals were placed in a recovery cage and observed for approximately 30 minutes. HBOT was administered five times per week for four consecutive weeks.</w:t>
      </w:r>
    </w:p>
    <w:p w14:paraId="6F68C179" w14:textId="77777777" w:rsidR="00330686" w:rsidRDefault="00000000">
      <w:pPr>
        <w:keepNext/>
      </w:pPr>
      <w:r>
        <w:rPr>
          <w:b/>
        </w:rPr>
        <w:t>Y-Maze Spontaneous Alternation Test</w:t>
      </w:r>
    </w:p>
    <w:p w14:paraId="20D32E01" w14:textId="77777777" w:rsidR="00330686" w:rsidRDefault="00000000">
      <w:pPr>
        <w:ind w:firstLine="720"/>
        <w:jc w:val="both"/>
      </w:pPr>
      <w:r>
        <w:t>Spatial working memory was assessed using a Y-maze spontaneous alternation test. The apparatus consisted of three identical polyvinyl chloride arms, labeled A, B, and C, arranged at 120° angles. Each arm measured approximately 30 cm×8 cm×15 cm.</w:t>
      </w:r>
    </w:p>
    <w:p w14:paraId="60989755" w14:textId="77777777" w:rsidR="00330686" w:rsidRDefault="00000000">
      <w:pPr>
        <w:ind w:firstLine="720"/>
        <w:jc w:val="both"/>
      </w:pPr>
      <w:r>
        <w:t>Before testing, each rat was allowed to acclimatize to the testing room for 10–15 minutes. The animal was then placed at the end of one arm and allowed to explore freely for 5–8 minutes while its movements were video-recorded. An arm entry was counted when the entire body, including the tail, entered an arm. The total number of arm entries and spontaneous alternations were recorded. A spontaneous alternation was defined as consecutive entries into three different arms. The percentage of spontaneous alternation was calculated as: [number of spontaneous alternations/(total arm entries−2)]×100. The maze was cleaned with 70% alcohol between sessions to limit odor cues. Testing occurred at baseline, week 5, and week 9. The procedure was consistent with standard spontaneous-alternation approaches for assessing rodent spatial working memory [11].</w:t>
      </w:r>
    </w:p>
    <w:p w14:paraId="58F26FD8" w14:textId="77777777" w:rsidR="00330686" w:rsidRDefault="00000000">
      <w:pPr>
        <w:keepNext/>
      </w:pPr>
      <w:r>
        <w:rPr>
          <w:b/>
        </w:rPr>
        <w:t>Statistical Analysis</w:t>
      </w:r>
    </w:p>
    <w:p w14:paraId="67B994BF" w14:textId="77777777" w:rsidR="00330686" w:rsidRDefault="00000000">
      <w:pPr>
        <w:ind w:firstLine="720"/>
        <w:jc w:val="both"/>
      </w:pPr>
      <w:r>
        <w:t>Data were analyzed using IBM SPSS Statistics version 27.0 (IBM Corp., Armonk, NY, USA). Descriptive data are reported as mean±standard deviation. Normality was assessed with the Shapiro–Wilk test and homogeneity of variance with Levene’s test.</w:t>
      </w:r>
    </w:p>
    <w:p w14:paraId="558C5713" w14:textId="77777777" w:rsidR="00330686" w:rsidRDefault="00000000">
      <w:pPr>
        <w:ind w:firstLine="720"/>
        <w:jc w:val="both"/>
      </w:pPr>
      <w:r>
        <w:t xml:space="preserve">For the control group, repeated-measures analysis of variance was used to compare Y-maze scores across time, followed by paired t-tests for pairwise </w:t>
      </w:r>
      <w:r>
        <w:lastRenderedPageBreak/>
        <w:t xml:space="preserve">comparisons. For the </w:t>
      </w:r>
      <w:r>
        <w:rPr>
          <w:i/>
        </w:rPr>
        <w:t>P. gingivalis</w:t>
      </w:r>
      <w:r>
        <w:t xml:space="preserve"> exposure followed by HBOT group, the Friedman test was used because the data were not normally distributed; pairwise comparisons used Wilcoxon signed-rank tests. Two-sided P values &lt;0.05 were considered statistically significant. Because an exposure-only group was not included, the analyses were interpreted as temporal within-group comparisons and were not used to make a treatment-specific causal inference.</w:t>
      </w:r>
    </w:p>
    <w:p w14:paraId="03F55F21" w14:textId="77777777" w:rsidR="00330686" w:rsidRDefault="00000000">
      <w:pPr>
        <w:keepNext/>
      </w:pPr>
      <w:r>
        <w:rPr>
          <w:b/>
        </w:rPr>
        <w:t>Results</w:t>
      </w:r>
    </w:p>
    <w:p w14:paraId="774F25B0" w14:textId="77777777" w:rsidR="00330686" w:rsidRDefault="00000000">
      <w:pPr>
        <w:keepNext/>
      </w:pPr>
      <w:r>
        <w:rPr>
          <w:b/>
        </w:rPr>
        <w:t>Y-Maze Spontaneous Alternation</w:t>
      </w:r>
    </w:p>
    <w:p w14:paraId="3265D3B0" w14:textId="77777777" w:rsidR="00330686" w:rsidRDefault="00000000">
      <w:pPr>
        <w:ind w:firstLine="720"/>
        <w:jc w:val="both"/>
      </w:pPr>
      <w:r>
        <w:t xml:space="preserve">Mean spontaneous alternation scores are presented in Table 1. Control animals showed relatively stable values across the three observation times. In the </w:t>
      </w:r>
      <w:r>
        <w:rPr>
          <w:i/>
        </w:rPr>
        <w:t>P. gingivalis</w:t>
      </w:r>
      <w:r>
        <w:t xml:space="preserve"> exposure followed by HBOT group, the mean score decreased after the five-week exposure phase and increased after the four-week HBOT phase, although it remained below the baseline value.</w:t>
      </w:r>
    </w:p>
    <w:p w14:paraId="0776DF6E" w14:textId="77777777" w:rsidR="00330686" w:rsidRDefault="00000000">
      <w:pPr>
        <w:keepNext/>
      </w:pPr>
      <w:r>
        <w:rPr>
          <w:b/>
        </w:rPr>
        <w:t>Within-Group Comparisons</w:t>
      </w:r>
    </w:p>
    <w:p w14:paraId="7666464A" w14:textId="77777777" w:rsidR="00330686" w:rsidRDefault="00000000">
      <w:pPr>
        <w:ind w:firstLine="720"/>
        <w:jc w:val="both"/>
      </w:pPr>
      <w:r>
        <w:t xml:space="preserve">In the control group, no pairwise comparison reached statistical significance (Table 2). In the </w:t>
      </w:r>
      <w:r>
        <w:rPr>
          <w:i/>
        </w:rPr>
        <w:t>P. gingivalis</w:t>
      </w:r>
      <w:r>
        <w:t xml:space="preserve"> exposure followed by HBOT group, spontaneous alternation differed significantly between baseline and week 5, baseline and week 9, and week 5 and week 9 (Table 3). Thus, the observed score was lower at week 5 than at baseline and higher at week 9 than at week 5. No between-group claim of HBOT-specific benefit was made because the study did not include a </w:t>
      </w:r>
      <w:r>
        <w:rPr>
          <w:i/>
        </w:rPr>
        <w:t>P. gingivalis</w:t>
      </w:r>
      <w:r>
        <w:t xml:space="preserve"> exposure-only group.</w:t>
      </w:r>
    </w:p>
    <w:p w14:paraId="4CA38216" w14:textId="77777777" w:rsidR="00330686" w:rsidRDefault="00000000">
      <w:pPr>
        <w:keepNext/>
      </w:pPr>
      <w:r>
        <w:rPr>
          <w:b/>
        </w:rPr>
        <w:t>Discussion</w:t>
      </w:r>
    </w:p>
    <w:p w14:paraId="37C273EA" w14:textId="77777777" w:rsidR="00330686" w:rsidRDefault="00000000">
      <w:pPr>
        <w:ind w:firstLine="720"/>
        <w:jc w:val="both"/>
      </w:pPr>
      <w:r>
        <w:t xml:space="preserve">The principal finding was a marked decrease in Y-maze spontaneous alternation after five weeks of repeated gingival </w:t>
      </w:r>
      <w:r>
        <w:rPr>
          <w:i/>
        </w:rPr>
        <w:t>P. gingivalis</w:t>
      </w:r>
      <w:r>
        <w:t xml:space="preserve"> exposure, followed by a higher score </w:t>
      </w:r>
      <w:r>
        <w:lastRenderedPageBreak/>
        <w:t>after the subsequent four-week HBOT phase. The control group remained relatively stable across the same observation period. The post-HBOT value in the exposure group, however, remained below baseline, indicating incomplete recovery of Y-maze performance.</w:t>
      </w:r>
    </w:p>
    <w:p w14:paraId="39E59D64" w14:textId="77777777" w:rsidR="00330686" w:rsidRDefault="00000000">
      <w:pPr>
        <w:ind w:firstLine="720"/>
        <w:jc w:val="both"/>
      </w:pPr>
      <w:r>
        <w:t xml:space="preserve">The decline observed after the exposure phase is compatible with a growing body of experimental work that links </w:t>
      </w:r>
      <w:r>
        <w:rPr>
          <w:i/>
        </w:rPr>
        <w:t>P. gingivalis</w:t>
      </w:r>
      <w:r>
        <w:t xml:space="preserve">-derived products with neuroinflammatory and cognitive-related outcomes. </w:t>
      </w:r>
      <w:r>
        <w:rPr>
          <w:i/>
        </w:rPr>
        <w:t>P. gingivalis</w:t>
      </w:r>
      <w:r>
        <w:t xml:space="preserve"> outer membrane vesicles have induced inflammasome activation, tau phosphorylation, and memory dysfunction in mice, while </w:t>
      </w:r>
      <w:r>
        <w:rPr>
          <w:i/>
        </w:rPr>
        <w:t>P. gingivalis</w:t>
      </w:r>
      <w:r>
        <w:t xml:space="preserve"> exposure has also been associated with microglial activation and neural pathways involving the trigeminal nerve [3–6]. The present study did not measure bacterial dissemination, cytokines, oxidative stress, blood–brain barrier markers, microglial activation, or hippocampal pathology. Accordingly, these mechanisms should be regarded as possible explanations rather than findings demonstrated by the current data.</w:t>
      </w:r>
    </w:p>
    <w:p w14:paraId="38D3E6D0" w14:textId="77777777" w:rsidR="00330686" w:rsidRDefault="00000000">
      <w:pPr>
        <w:ind w:firstLine="720"/>
        <w:jc w:val="both"/>
      </w:pPr>
      <w:r>
        <w:t xml:space="preserve">The increase in spontaneous alternation between week 5 and week 9 occurred after the HBOT phase. HBOT has been reported to influence tissue oxygenation, vascular function, oxidative stress, and inflammatory pathways in neurological settings [7–10]. These reported actions provide a rationale for evaluating HBOT in oral-systemic inflammatory models. Nevertheless, the current study cannot establish that HBOT caused the improvement. The absence of a </w:t>
      </w:r>
      <w:r>
        <w:rPr>
          <w:i/>
        </w:rPr>
        <w:t>P. gingivalis</w:t>
      </w:r>
      <w:r>
        <w:t xml:space="preserve"> exposure-only group means that spontaneous recovery, the passage of time after the exposure phase, and repeated behavioral testing cannot be excluded as alternative explanations.</w:t>
      </w:r>
    </w:p>
    <w:p w14:paraId="344A791A" w14:textId="77777777" w:rsidR="00330686" w:rsidRDefault="00000000">
      <w:pPr>
        <w:ind w:firstLine="720"/>
        <w:jc w:val="both"/>
      </w:pPr>
      <w:r>
        <w:t xml:space="preserve">The Y-maze spontaneous alternation test provides a practical behavioral index of spatial working memory, but interpretation should be cautious. Performance may also </w:t>
      </w:r>
      <w:r>
        <w:lastRenderedPageBreak/>
        <w:t>be influenced by locomotor activity, exploratory drive, stress, and sensorimotor function. Although total arm entries were recorded during the test, they were not reported in the present results. Future reports should provide these data and include complementary behavioral measures, such as open-field activity and a second memory test, to strengthen the interpretation of cognitive outcomes [11].</w:t>
      </w:r>
    </w:p>
    <w:p w14:paraId="2814B57C" w14:textId="77777777" w:rsidR="00330686" w:rsidRDefault="00000000">
      <w:pPr>
        <w:ind w:firstLine="720"/>
        <w:jc w:val="both"/>
      </w:pPr>
      <w:r>
        <w:t xml:space="preserve">Several limitations require emphasis. First, the study had only a control group and a </w:t>
      </w:r>
      <w:r>
        <w:rPr>
          <w:i/>
        </w:rPr>
        <w:t>P. gingivalis</w:t>
      </w:r>
      <w:r>
        <w:t xml:space="preserve"> exposure followed by HBOT group; it did not include </w:t>
      </w:r>
      <w:r>
        <w:rPr>
          <w:i/>
        </w:rPr>
        <w:t>P. gingivalis</w:t>
      </w:r>
      <w:r>
        <w:t xml:space="preserve"> exposure-only, HBOT-only, or sham-chamber groups. Second, periodontal tissue destruction, alveolar bone loss, histopathology, and local periodontal inflammatory markers were not assessed. Therefore, the model confirms repeated gingival </w:t>
      </w:r>
      <w:r>
        <w:rPr>
          <w:i/>
        </w:rPr>
        <w:t>P. gingivalis</w:t>
      </w:r>
      <w:r>
        <w:t xml:space="preserve"> exposure but does not independently validate periodontitis severity. Third, molecular outcomes related to neuroinflammation, oxidative stress, blood–brain barrier integrity, and neuronal injury were not measured. Finally, the sample size was modest, and the study was limited to male Sprague-Dawley rats.</w:t>
      </w:r>
    </w:p>
    <w:p w14:paraId="3D83241F" w14:textId="77777777" w:rsidR="00330686" w:rsidRDefault="00000000">
      <w:pPr>
        <w:ind w:firstLine="720"/>
        <w:jc w:val="both"/>
      </w:pPr>
      <w:r>
        <w:t xml:space="preserve">Future experiments should use a factorial design that includes untreated </w:t>
      </w:r>
      <w:r>
        <w:rPr>
          <w:i/>
        </w:rPr>
        <w:t>P. gingivalis</w:t>
      </w:r>
      <w:r>
        <w:t xml:space="preserve"> exposure, HBOT-only, and sham-chamber controls. Direct assessment of periodontal destruction, systemic inflammatory markers, hippocampal histopathology, blood–brain barrier proteins, and </w:t>
      </w:r>
      <w:r>
        <w:rPr>
          <w:i/>
        </w:rPr>
        <w:t>P. gingivalis</w:t>
      </w:r>
      <w:r>
        <w:t xml:space="preserve"> virulence factors would help distinguish local, systemic, and neural mechanisms. Such work could clarify whether HBOT has a specific role in modifying behavioral effects associated with periodontal pathogen exposure.</w:t>
      </w:r>
    </w:p>
    <w:p w14:paraId="6B0D9D70" w14:textId="77777777" w:rsidR="00330686" w:rsidRDefault="00000000">
      <w:pPr>
        <w:keepNext/>
      </w:pPr>
      <w:r>
        <w:rPr>
          <w:b/>
        </w:rPr>
        <w:t>Conclusion</w:t>
      </w:r>
    </w:p>
    <w:p w14:paraId="045DCC46" w14:textId="77777777" w:rsidR="00330686" w:rsidRDefault="00000000">
      <w:pPr>
        <w:ind w:firstLine="720"/>
        <w:jc w:val="both"/>
      </w:pPr>
      <w:r>
        <w:t xml:space="preserve">Repeated gingival </w:t>
      </w:r>
      <w:r>
        <w:rPr>
          <w:i/>
        </w:rPr>
        <w:t>P. gingivalis</w:t>
      </w:r>
      <w:r>
        <w:t xml:space="preserve"> exposure was accompanied by a reduction in Y-maze spontaneous alternation at week 5. Scores were higher at week 9 after the HBOT </w:t>
      </w:r>
      <w:r>
        <w:lastRenderedPageBreak/>
        <w:t xml:space="preserve">phase but did not return to baseline. Because an exposure-only comparison group was not included and periodontal injury was not directly measured, the findings should be interpreted as an association over time rather than evidence that HBOT specifically reverses </w:t>
      </w:r>
      <w:r>
        <w:rPr>
          <w:i/>
        </w:rPr>
        <w:t>P. gingivalis</w:t>
      </w:r>
      <w:r>
        <w:t>-related cognitive impairment.</w:t>
      </w:r>
    </w:p>
    <w:p w14:paraId="1D725334" w14:textId="77777777" w:rsidR="00330686" w:rsidRDefault="00000000">
      <w:pPr>
        <w:keepNext/>
      </w:pPr>
      <w:r>
        <w:rPr>
          <w:b/>
        </w:rPr>
        <w:t>Acknowledgments</w:t>
      </w:r>
    </w:p>
    <w:p w14:paraId="45EEA717" w14:textId="77777777" w:rsidR="00330686" w:rsidRDefault="00000000">
      <w:pPr>
        <w:ind w:firstLine="720"/>
        <w:jc w:val="both"/>
      </w:pPr>
      <w:r>
        <w:t>The authors thank the laboratory staff and supporting personnel who assisted with the experimental procedures. The authors also acknowledge the use of GPT-5.5 Thinking (OpenAI, accessed July 4, 2026) for language editing and manuscript formatting. All scientific content, data presentation, references, and conclusions were reviewed and verified by the authors, who take full responsibility for the final manuscript.</w:t>
      </w:r>
    </w:p>
    <w:p w14:paraId="6F8CF5D8" w14:textId="77777777" w:rsidR="00330686" w:rsidRDefault="00000000">
      <w:pPr>
        <w:keepNext/>
      </w:pPr>
      <w:r>
        <w:rPr>
          <w:b/>
        </w:rPr>
        <w:t>Funding</w:t>
      </w:r>
    </w:p>
    <w:p w14:paraId="0DC04D2B" w14:textId="77777777" w:rsidR="00330686" w:rsidRDefault="00000000">
      <w:pPr>
        <w:ind w:firstLine="720"/>
        <w:jc w:val="both"/>
      </w:pPr>
      <w:r>
        <w:t>This research received no specific grant from funding agencies in the public, commercial, or not-for-profit sectors.</w:t>
      </w:r>
    </w:p>
    <w:p w14:paraId="255D1B1A" w14:textId="77777777" w:rsidR="00330686" w:rsidRDefault="00000000">
      <w:pPr>
        <w:keepNext/>
      </w:pPr>
      <w:r>
        <w:rPr>
          <w:b/>
        </w:rPr>
        <w:t>Conflict of Interest</w:t>
      </w:r>
    </w:p>
    <w:p w14:paraId="7FE57BEC" w14:textId="77777777" w:rsidR="00330686" w:rsidRDefault="00000000">
      <w:pPr>
        <w:ind w:firstLine="720"/>
        <w:jc w:val="both"/>
      </w:pPr>
      <w:r>
        <w:t>The authors declare that they have no conflict of interest.</w:t>
      </w:r>
    </w:p>
    <w:p w14:paraId="21D017E1" w14:textId="77777777" w:rsidR="00330686" w:rsidRDefault="00000000">
      <w:pPr>
        <w:keepNext/>
      </w:pPr>
      <w:r>
        <w:rPr>
          <w:b/>
        </w:rPr>
        <w:t>References</w:t>
      </w:r>
    </w:p>
    <w:p w14:paraId="3F2B6067" w14:textId="150A434A" w:rsidR="006C1A01" w:rsidRDefault="00000000" w:rsidP="006C1A01">
      <w:pPr>
        <w:pStyle w:val="ListParagraph"/>
        <w:numPr>
          <w:ilvl w:val="0"/>
          <w:numId w:val="10"/>
        </w:numPr>
        <w:spacing w:after="60"/>
        <w:ind w:left="426" w:hanging="426"/>
        <w:jc w:val="both"/>
      </w:pPr>
      <w:r>
        <w:t>1</w:t>
      </w:r>
      <w:r w:rsidR="006C1A01" w:rsidRPr="006C1A01">
        <w:rPr>
          <w:sz w:val="22"/>
        </w:rPr>
        <w:t xml:space="preserve"> </w:t>
      </w:r>
      <w:r w:rsidR="006C1A01" w:rsidRPr="009D4E5D">
        <w:rPr>
          <w:sz w:val="22"/>
        </w:rPr>
        <w:t xml:space="preserve">Ma X, Yoo JW, Shin YJ, Park HS, Son YH, Kim DH. Alleviation of </w:t>
      </w:r>
      <w:r w:rsidR="006C1A01" w:rsidRPr="009D4E5D">
        <w:rPr>
          <w:i/>
          <w:sz w:val="22"/>
        </w:rPr>
        <w:t>Porphyromonas gingivalis</w:t>
      </w:r>
      <w:r w:rsidR="006C1A01" w:rsidRPr="009D4E5D">
        <w:rPr>
          <w:sz w:val="22"/>
        </w:rPr>
        <w:t xml:space="preserve"> or Its Extracellular Vesicles Provoked Periodontitis and Cognitive Impairment by </w:t>
      </w:r>
      <w:r w:rsidR="006C1A01" w:rsidRPr="009D4E5D">
        <w:rPr>
          <w:i/>
          <w:sz w:val="22"/>
        </w:rPr>
        <w:t xml:space="preserve">Lactobacillus </w:t>
      </w:r>
      <w:proofErr w:type="spellStart"/>
      <w:r w:rsidR="006C1A01" w:rsidRPr="009D4E5D">
        <w:rPr>
          <w:i/>
          <w:sz w:val="22"/>
        </w:rPr>
        <w:t>pentosus</w:t>
      </w:r>
      <w:proofErr w:type="spellEnd"/>
      <w:r w:rsidR="006C1A01" w:rsidRPr="009D4E5D">
        <w:rPr>
          <w:sz w:val="22"/>
        </w:rPr>
        <w:t xml:space="preserve"> NK357 and </w:t>
      </w:r>
      <w:r w:rsidR="006C1A01" w:rsidRPr="009D4E5D">
        <w:rPr>
          <w:i/>
          <w:sz w:val="22"/>
        </w:rPr>
        <w:t>Bifidobacterium bifidum</w:t>
      </w:r>
      <w:r w:rsidR="006C1A01" w:rsidRPr="009D4E5D">
        <w:rPr>
          <w:sz w:val="22"/>
        </w:rPr>
        <w:t xml:space="preserve"> NK391. Nutrients. 2023 Mar 1;15(5). doi:10.3390/NU15051068 PubMed PMID: 36904068.</w:t>
      </w:r>
    </w:p>
    <w:p w14:paraId="7E1E177F" w14:textId="77777777" w:rsidR="006C1A01" w:rsidRDefault="006C1A01" w:rsidP="006C1A01">
      <w:pPr>
        <w:pStyle w:val="ListParagraph"/>
        <w:numPr>
          <w:ilvl w:val="0"/>
          <w:numId w:val="10"/>
        </w:numPr>
        <w:spacing w:after="60"/>
        <w:ind w:left="426" w:hanging="426"/>
        <w:jc w:val="both"/>
      </w:pPr>
      <w:proofErr w:type="spellStart"/>
      <w:r w:rsidRPr="009D4E5D">
        <w:rPr>
          <w:sz w:val="22"/>
        </w:rPr>
        <w:t>Budisulistyo</w:t>
      </w:r>
      <w:proofErr w:type="spellEnd"/>
      <w:r w:rsidRPr="009D4E5D">
        <w:rPr>
          <w:sz w:val="22"/>
        </w:rPr>
        <w:t xml:space="preserve"> T, </w:t>
      </w:r>
      <w:proofErr w:type="spellStart"/>
      <w:r w:rsidRPr="009D4E5D">
        <w:rPr>
          <w:sz w:val="22"/>
        </w:rPr>
        <w:t>Samekto</w:t>
      </w:r>
      <w:proofErr w:type="spellEnd"/>
      <w:r w:rsidRPr="009D4E5D">
        <w:rPr>
          <w:sz w:val="22"/>
        </w:rPr>
        <w:t xml:space="preserve"> W, </w:t>
      </w:r>
      <w:proofErr w:type="spellStart"/>
      <w:r w:rsidRPr="009D4E5D">
        <w:rPr>
          <w:sz w:val="22"/>
        </w:rPr>
        <w:t>Pudjonarko</w:t>
      </w:r>
      <w:proofErr w:type="spellEnd"/>
      <w:r w:rsidRPr="009D4E5D">
        <w:rPr>
          <w:sz w:val="22"/>
        </w:rPr>
        <w:t xml:space="preserve"> D, </w:t>
      </w:r>
      <w:proofErr w:type="spellStart"/>
      <w:r w:rsidRPr="009D4E5D">
        <w:rPr>
          <w:sz w:val="22"/>
        </w:rPr>
        <w:t>Suryawati</w:t>
      </w:r>
      <w:proofErr w:type="spellEnd"/>
      <w:r w:rsidRPr="009D4E5D">
        <w:rPr>
          <w:sz w:val="22"/>
        </w:rPr>
        <w:t xml:space="preserve"> H, </w:t>
      </w:r>
      <w:proofErr w:type="spellStart"/>
      <w:r w:rsidRPr="009D4E5D">
        <w:rPr>
          <w:sz w:val="22"/>
        </w:rPr>
        <w:t>Suryadi</w:t>
      </w:r>
      <w:proofErr w:type="spellEnd"/>
      <w:r w:rsidRPr="009D4E5D">
        <w:rPr>
          <w:sz w:val="22"/>
        </w:rPr>
        <w:t xml:space="preserve"> S, Wahyuni M. Correlation between Chronic Pain with BDNF Levels, </w:t>
      </w:r>
      <w:proofErr w:type="spellStart"/>
      <w:r w:rsidRPr="009D4E5D">
        <w:rPr>
          <w:sz w:val="22"/>
        </w:rPr>
        <w:t>Histophatology</w:t>
      </w:r>
      <w:proofErr w:type="spellEnd"/>
      <w:r w:rsidRPr="009D4E5D">
        <w:rPr>
          <w:sz w:val="22"/>
        </w:rPr>
        <w:t xml:space="preserve"> of Hippocampus, and Spatial Memory in Wistar Rats. Open Access Maced J Med Sci. 2023 Jan 7;11(B):259–63. doi:10.3889/OAMJMS.2023.10710</w:t>
      </w:r>
    </w:p>
    <w:p w14:paraId="6378594C" w14:textId="77777777" w:rsidR="006C1A01" w:rsidRDefault="006C1A01" w:rsidP="006C1A01">
      <w:pPr>
        <w:pStyle w:val="ListParagraph"/>
        <w:numPr>
          <w:ilvl w:val="0"/>
          <w:numId w:val="10"/>
        </w:numPr>
        <w:spacing w:after="60"/>
        <w:ind w:left="426" w:hanging="426"/>
        <w:jc w:val="both"/>
      </w:pPr>
      <w:r w:rsidRPr="009D4E5D">
        <w:rPr>
          <w:sz w:val="22"/>
        </w:rPr>
        <w:lastRenderedPageBreak/>
        <w:t xml:space="preserve">Kong L, Li J, Gao L, Zhao Y, Chen W, Wang X, et al. Periodontitis-induced neuroinflammation triggers IFITM3-Aβ axis to cause </w:t>
      </w:r>
      <w:proofErr w:type="spellStart"/>
      <w:r w:rsidRPr="009D4E5D">
        <w:rPr>
          <w:sz w:val="22"/>
        </w:rPr>
        <w:t>alzheimer’s</w:t>
      </w:r>
      <w:proofErr w:type="spellEnd"/>
      <w:r w:rsidRPr="009D4E5D">
        <w:rPr>
          <w:sz w:val="22"/>
        </w:rPr>
        <w:t xml:space="preserve"> disease-like pathology and cognitive decline. </w:t>
      </w:r>
      <w:proofErr w:type="spellStart"/>
      <w:r w:rsidRPr="009D4E5D">
        <w:rPr>
          <w:sz w:val="22"/>
        </w:rPr>
        <w:t>Alzheimers</w:t>
      </w:r>
      <w:proofErr w:type="spellEnd"/>
      <w:r w:rsidRPr="009D4E5D">
        <w:rPr>
          <w:sz w:val="22"/>
        </w:rPr>
        <w:t xml:space="preserve"> Res Ther. 2025 Dec 1;17(1). doi:10.1186/S13195-025-01818-3 PubMed PMID: 40684176.</w:t>
      </w:r>
    </w:p>
    <w:p w14:paraId="1B06A3AF" w14:textId="77777777" w:rsidR="006C1A01" w:rsidRDefault="006C1A01" w:rsidP="006C1A01">
      <w:pPr>
        <w:pStyle w:val="ListParagraph"/>
        <w:numPr>
          <w:ilvl w:val="0"/>
          <w:numId w:val="10"/>
        </w:numPr>
        <w:spacing w:after="60"/>
        <w:ind w:left="426" w:hanging="426"/>
        <w:jc w:val="both"/>
      </w:pPr>
      <w:r w:rsidRPr="009D4E5D">
        <w:rPr>
          <w:sz w:val="22"/>
        </w:rPr>
        <w:t>Maroon JC. The effect of hyperbaric oxygen therapy on cognition, performance, proteomics, and telomere length—The difference between zero and one: A case report. Front Neurol. 2022 Jul 29;13. doi:10.3389/FNEUR.2022.949536</w:t>
      </w:r>
    </w:p>
    <w:p w14:paraId="68C239B4" w14:textId="77777777" w:rsidR="006C1A01" w:rsidRDefault="006C1A01" w:rsidP="006C1A01">
      <w:pPr>
        <w:pStyle w:val="ListParagraph"/>
        <w:numPr>
          <w:ilvl w:val="0"/>
          <w:numId w:val="10"/>
        </w:numPr>
        <w:spacing w:after="60"/>
        <w:ind w:left="426" w:hanging="426"/>
        <w:jc w:val="both"/>
      </w:pPr>
      <w:r w:rsidRPr="009D4E5D">
        <w:rPr>
          <w:sz w:val="22"/>
        </w:rPr>
        <w:t xml:space="preserve">Gong T, Chen Q, Mao H, Zhang Y, Ren H, Xu M, et al. Outer membrane vesicles of </w:t>
      </w:r>
      <w:r w:rsidRPr="009D4E5D">
        <w:rPr>
          <w:i/>
          <w:sz w:val="22"/>
        </w:rPr>
        <w:t>Porphyromonas gingivalis</w:t>
      </w:r>
      <w:r w:rsidRPr="009D4E5D">
        <w:rPr>
          <w:sz w:val="22"/>
        </w:rPr>
        <w:t xml:space="preserve"> trigger NLRP3 inflammasome and induce neuroinflammation, tau phosphorylation, and memory dysfunction in mice. Front Cell Infect </w:t>
      </w:r>
      <w:proofErr w:type="spellStart"/>
      <w:r w:rsidRPr="009D4E5D">
        <w:rPr>
          <w:sz w:val="22"/>
        </w:rPr>
        <w:t>Microbiol</w:t>
      </w:r>
      <w:proofErr w:type="spellEnd"/>
      <w:r w:rsidRPr="009D4E5D">
        <w:rPr>
          <w:sz w:val="22"/>
        </w:rPr>
        <w:t>. 2022 Aug 9;12. doi:10.3389/FCIMB.2022.925435 PubMed PMID: 36017373.</w:t>
      </w:r>
    </w:p>
    <w:p w14:paraId="7E2C9304" w14:textId="77777777" w:rsidR="006C1A01" w:rsidRDefault="006C1A01" w:rsidP="006C1A01">
      <w:pPr>
        <w:pStyle w:val="ListParagraph"/>
        <w:numPr>
          <w:ilvl w:val="0"/>
          <w:numId w:val="10"/>
        </w:numPr>
        <w:spacing w:after="60"/>
        <w:ind w:left="426" w:hanging="426"/>
        <w:jc w:val="both"/>
      </w:pPr>
      <w:proofErr w:type="spellStart"/>
      <w:r w:rsidRPr="009D4E5D">
        <w:rPr>
          <w:sz w:val="22"/>
        </w:rPr>
        <w:t>Cichońska</w:t>
      </w:r>
      <w:proofErr w:type="spellEnd"/>
      <w:r w:rsidRPr="009D4E5D">
        <w:rPr>
          <w:sz w:val="22"/>
        </w:rPr>
        <w:t xml:space="preserve"> D, Mazuś M, Kusiak A. Recent Aspects of Periodontitis and Alzheimer’s Disease—A Narrative Review. International Journal of Molecular Sciences 2024, Vol 25,. 2024 Feb 23;25(5). doi:10.3390/IJMS25052612 PubMed PMID: 38473858.</w:t>
      </w:r>
    </w:p>
    <w:p w14:paraId="0F10FE7C" w14:textId="77777777" w:rsidR="006C1A01" w:rsidRDefault="006C1A01" w:rsidP="006C1A01">
      <w:pPr>
        <w:pStyle w:val="ListParagraph"/>
        <w:numPr>
          <w:ilvl w:val="0"/>
          <w:numId w:val="10"/>
        </w:numPr>
        <w:spacing w:after="60"/>
        <w:ind w:left="426" w:hanging="426"/>
        <w:jc w:val="both"/>
      </w:pPr>
      <w:r w:rsidRPr="009D4E5D">
        <w:rPr>
          <w:sz w:val="22"/>
        </w:rPr>
        <w:t xml:space="preserve">Bosco G, </w:t>
      </w:r>
      <w:proofErr w:type="spellStart"/>
      <w:r w:rsidRPr="009D4E5D">
        <w:rPr>
          <w:sz w:val="22"/>
        </w:rPr>
        <w:t>Brizzolari</w:t>
      </w:r>
      <w:proofErr w:type="spellEnd"/>
      <w:r w:rsidRPr="009D4E5D">
        <w:rPr>
          <w:sz w:val="22"/>
        </w:rPr>
        <w:t xml:space="preserve"> A, Paganini M, </w:t>
      </w:r>
      <w:proofErr w:type="spellStart"/>
      <w:r w:rsidRPr="009D4E5D">
        <w:rPr>
          <w:sz w:val="22"/>
        </w:rPr>
        <w:t>Camporesi</w:t>
      </w:r>
      <w:proofErr w:type="spellEnd"/>
      <w:r w:rsidRPr="009D4E5D">
        <w:rPr>
          <w:sz w:val="22"/>
        </w:rPr>
        <w:t xml:space="preserve"> E, Vezzoli A, </w:t>
      </w:r>
      <w:proofErr w:type="spellStart"/>
      <w:r w:rsidRPr="009D4E5D">
        <w:rPr>
          <w:sz w:val="22"/>
        </w:rPr>
        <w:t>Mrakic</w:t>
      </w:r>
      <w:proofErr w:type="spellEnd"/>
      <w:r w:rsidRPr="009D4E5D">
        <w:rPr>
          <w:sz w:val="22"/>
        </w:rPr>
        <w:t xml:space="preserve">-Sposta S. Oxy-inflammation in hyperbaric oxygen therapy applications. </w:t>
      </w:r>
      <w:proofErr w:type="spellStart"/>
      <w:r w:rsidRPr="009D4E5D">
        <w:rPr>
          <w:sz w:val="22"/>
        </w:rPr>
        <w:t>Eur</w:t>
      </w:r>
      <w:proofErr w:type="spellEnd"/>
      <w:r w:rsidRPr="009D4E5D">
        <w:rPr>
          <w:sz w:val="22"/>
        </w:rPr>
        <w:t xml:space="preserve"> J </w:t>
      </w:r>
      <w:proofErr w:type="spellStart"/>
      <w:r w:rsidRPr="009D4E5D">
        <w:rPr>
          <w:sz w:val="22"/>
        </w:rPr>
        <w:t>Transl</w:t>
      </w:r>
      <w:proofErr w:type="spellEnd"/>
      <w:r w:rsidRPr="009D4E5D">
        <w:rPr>
          <w:sz w:val="22"/>
        </w:rPr>
        <w:t xml:space="preserve"> </w:t>
      </w:r>
      <w:proofErr w:type="spellStart"/>
      <w:r w:rsidRPr="009D4E5D">
        <w:rPr>
          <w:sz w:val="22"/>
        </w:rPr>
        <w:t>Myol</w:t>
      </w:r>
      <w:proofErr w:type="spellEnd"/>
      <w:r w:rsidRPr="009D4E5D">
        <w:rPr>
          <w:sz w:val="22"/>
        </w:rPr>
        <w:t>. 2025;35(1):12783. doi:10.4081/EJTM.2025.12783 PubMed PMID: 39834265.</w:t>
      </w:r>
    </w:p>
    <w:p w14:paraId="19FFA29B" w14:textId="77777777" w:rsidR="006C1A01" w:rsidRDefault="006C1A01" w:rsidP="006C1A01">
      <w:pPr>
        <w:pStyle w:val="ListParagraph"/>
        <w:numPr>
          <w:ilvl w:val="0"/>
          <w:numId w:val="10"/>
        </w:numPr>
        <w:spacing w:after="60"/>
        <w:ind w:left="426" w:hanging="426"/>
        <w:jc w:val="both"/>
      </w:pPr>
      <w:r w:rsidRPr="009D4E5D">
        <w:rPr>
          <w:sz w:val="22"/>
        </w:rPr>
        <w:t xml:space="preserve">Tan S, Chen W, Kong G, Wei L, Xie Y. Peripheral inflammation and neurocognitive impairment: correlations, underlying mechanisms, and therapeutic implications. Front Aging </w:t>
      </w:r>
      <w:proofErr w:type="spellStart"/>
      <w:r w:rsidRPr="009D4E5D">
        <w:rPr>
          <w:sz w:val="22"/>
        </w:rPr>
        <w:t>Neurosci</w:t>
      </w:r>
      <w:proofErr w:type="spellEnd"/>
      <w:r w:rsidRPr="009D4E5D">
        <w:rPr>
          <w:sz w:val="22"/>
        </w:rPr>
        <w:t>. 2023 Nov 29;15:1305790. doi:10.3389/FNAGI.2023.1305790</w:t>
      </w:r>
    </w:p>
    <w:p w14:paraId="7F0DD9B0" w14:textId="77777777" w:rsidR="006C1A01" w:rsidRDefault="006C1A01" w:rsidP="006C1A01">
      <w:pPr>
        <w:pStyle w:val="ListParagraph"/>
        <w:numPr>
          <w:ilvl w:val="0"/>
          <w:numId w:val="10"/>
        </w:numPr>
        <w:spacing w:after="60"/>
        <w:ind w:left="426" w:hanging="426"/>
        <w:jc w:val="both"/>
      </w:pPr>
      <w:r w:rsidRPr="009D4E5D">
        <w:rPr>
          <w:sz w:val="22"/>
        </w:rPr>
        <w:t xml:space="preserve">Magnusson A, Wu R, Demirel I. </w:t>
      </w:r>
      <w:r w:rsidRPr="009D4E5D">
        <w:rPr>
          <w:i/>
          <w:sz w:val="22"/>
        </w:rPr>
        <w:t>Porphyromonas gingivalis</w:t>
      </w:r>
      <w:r w:rsidRPr="009D4E5D">
        <w:rPr>
          <w:sz w:val="22"/>
        </w:rPr>
        <w:t xml:space="preserve"> triggers microglia activation and neurodegenerative processes through NOX4. Front Cell Infect </w:t>
      </w:r>
      <w:proofErr w:type="spellStart"/>
      <w:r w:rsidRPr="009D4E5D">
        <w:rPr>
          <w:sz w:val="22"/>
        </w:rPr>
        <w:t>Microbiol</w:t>
      </w:r>
      <w:proofErr w:type="spellEnd"/>
      <w:r w:rsidRPr="009D4E5D">
        <w:rPr>
          <w:sz w:val="22"/>
        </w:rPr>
        <w:t>. 2024 Oct 14;14:1451683. doi:10.3389/FCIMB.2024.1451683 PubMed PMID: 39469453.</w:t>
      </w:r>
    </w:p>
    <w:p w14:paraId="51653CC8" w14:textId="77777777" w:rsidR="006C1A01" w:rsidRDefault="006C1A01" w:rsidP="006C1A01">
      <w:pPr>
        <w:pStyle w:val="ListParagraph"/>
        <w:numPr>
          <w:ilvl w:val="0"/>
          <w:numId w:val="10"/>
        </w:numPr>
        <w:spacing w:after="60"/>
        <w:ind w:left="426" w:hanging="426"/>
        <w:jc w:val="both"/>
      </w:pPr>
      <w:r w:rsidRPr="009D4E5D">
        <w:rPr>
          <w:sz w:val="22"/>
        </w:rPr>
        <w:t xml:space="preserve">Jung S, Park H. Pathological implications of </w:t>
      </w:r>
      <w:r w:rsidRPr="009D4E5D">
        <w:rPr>
          <w:i/>
          <w:sz w:val="22"/>
        </w:rPr>
        <w:t>Porphyromonas gingivalis</w:t>
      </w:r>
      <w:r w:rsidRPr="009D4E5D">
        <w:rPr>
          <w:sz w:val="22"/>
        </w:rPr>
        <w:t xml:space="preserve"> in Alzheimer’s disease and therapeutic potential of gingipain inhibitors. Oral Biology Research. 2025 Mar 31;49(1). doi:10.21851/OBR.25.002</w:t>
      </w:r>
    </w:p>
    <w:p w14:paraId="33D9AAA2" w14:textId="77777777" w:rsidR="006C1A01" w:rsidRDefault="006C1A01" w:rsidP="006C1A01">
      <w:pPr>
        <w:pStyle w:val="ListParagraph"/>
        <w:numPr>
          <w:ilvl w:val="0"/>
          <w:numId w:val="10"/>
        </w:numPr>
        <w:spacing w:after="60"/>
        <w:ind w:left="426" w:hanging="426"/>
        <w:jc w:val="both"/>
      </w:pPr>
      <w:r w:rsidRPr="009D4E5D">
        <w:rPr>
          <w:sz w:val="22"/>
        </w:rPr>
        <w:lastRenderedPageBreak/>
        <w:t xml:space="preserve">Shapira R, </w:t>
      </w:r>
      <w:proofErr w:type="spellStart"/>
      <w:r w:rsidRPr="009D4E5D">
        <w:rPr>
          <w:sz w:val="22"/>
        </w:rPr>
        <w:t>Gdalyahu</w:t>
      </w:r>
      <w:proofErr w:type="spellEnd"/>
      <w:r w:rsidRPr="009D4E5D">
        <w:rPr>
          <w:sz w:val="22"/>
        </w:rPr>
        <w:t xml:space="preserve"> A, Gottfried I, Sasson E, </w:t>
      </w:r>
      <w:proofErr w:type="spellStart"/>
      <w:r w:rsidRPr="009D4E5D">
        <w:rPr>
          <w:sz w:val="22"/>
        </w:rPr>
        <w:t>Hadanny</w:t>
      </w:r>
      <w:proofErr w:type="spellEnd"/>
      <w:r w:rsidRPr="009D4E5D">
        <w:rPr>
          <w:sz w:val="22"/>
        </w:rPr>
        <w:t xml:space="preserve"> A, Efrati S, et al. Hyperbaric oxygen therapy alleviates vascular dysfunction and amyloid burden in an Alzheimer’s disease mouse model and in elderly patients. Aging (Albany NY). 2021 Sep 15;13(17):20935. doi:10.18632/AGING.203485 PubMed PMID: 34499614.</w:t>
      </w:r>
    </w:p>
    <w:p w14:paraId="4073EADC" w14:textId="77777777" w:rsidR="006C1A01" w:rsidRDefault="006C1A01" w:rsidP="006C1A01">
      <w:pPr>
        <w:pStyle w:val="ListParagraph"/>
        <w:numPr>
          <w:ilvl w:val="0"/>
          <w:numId w:val="10"/>
        </w:numPr>
        <w:spacing w:after="60"/>
        <w:ind w:left="426" w:hanging="426"/>
        <w:jc w:val="both"/>
      </w:pPr>
      <w:r w:rsidRPr="009D4E5D">
        <w:rPr>
          <w:sz w:val="22"/>
        </w:rPr>
        <w:t xml:space="preserve">Lin G, Zhao L, Lin J, Li X, Xu L. Clinical evidence of hyperbaric oxygen therapy for Alzheimer’s disease: a systematic review and meta-analysis of randomized controlled trials. Front Aging </w:t>
      </w:r>
      <w:proofErr w:type="spellStart"/>
      <w:r w:rsidRPr="009D4E5D">
        <w:rPr>
          <w:sz w:val="22"/>
        </w:rPr>
        <w:t>Neurosci</w:t>
      </w:r>
      <w:proofErr w:type="spellEnd"/>
      <w:r w:rsidRPr="009D4E5D">
        <w:rPr>
          <w:sz w:val="22"/>
        </w:rPr>
        <w:t>. 2024;16. doi:10.3389/FNAGI.2024.1360148</w:t>
      </w:r>
    </w:p>
    <w:p w14:paraId="3A05C3E0" w14:textId="77777777" w:rsidR="006C1A01" w:rsidRDefault="006C1A01" w:rsidP="006C1A01">
      <w:pPr>
        <w:pStyle w:val="ListParagraph"/>
        <w:numPr>
          <w:ilvl w:val="0"/>
          <w:numId w:val="10"/>
        </w:numPr>
        <w:spacing w:after="60"/>
        <w:ind w:left="426" w:hanging="426"/>
        <w:jc w:val="both"/>
      </w:pPr>
      <w:r w:rsidRPr="009D4E5D">
        <w:rPr>
          <w:sz w:val="22"/>
        </w:rPr>
        <w:t xml:space="preserve">Marcinkowska AB, Mankowska ND, Kot J, </w:t>
      </w:r>
      <w:proofErr w:type="spellStart"/>
      <w:r w:rsidRPr="009D4E5D">
        <w:rPr>
          <w:sz w:val="22"/>
        </w:rPr>
        <w:t>Winklewski</w:t>
      </w:r>
      <w:proofErr w:type="spellEnd"/>
      <w:r w:rsidRPr="009D4E5D">
        <w:rPr>
          <w:sz w:val="22"/>
        </w:rPr>
        <w:t xml:space="preserve"> PJ. Impact of Hyperbaric Oxygen Therapy on Cognitive Functions: a Systematic Review. </w:t>
      </w:r>
      <w:proofErr w:type="spellStart"/>
      <w:r w:rsidRPr="009D4E5D">
        <w:rPr>
          <w:sz w:val="22"/>
        </w:rPr>
        <w:t>Neuropsychol</w:t>
      </w:r>
      <w:proofErr w:type="spellEnd"/>
      <w:r w:rsidRPr="009D4E5D">
        <w:rPr>
          <w:sz w:val="22"/>
        </w:rPr>
        <w:t xml:space="preserve"> Rev. 2022 Mar 1;32(1):99–126. doi:10.1007/S11065-021-09500-9 PubMed PMID: 33847854.</w:t>
      </w:r>
    </w:p>
    <w:p w14:paraId="0A384CEF" w14:textId="77777777" w:rsidR="006C1A01" w:rsidRDefault="006C1A01" w:rsidP="006C1A01">
      <w:pPr>
        <w:pStyle w:val="ListParagraph"/>
        <w:numPr>
          <w:ilvl w:val="0"/>
          <w:numId w:val="10"/>
        </w:numPr>
        <w:spacing w:after="60"/>
        <w:ind w:left="426" w:hanging="426"/>
        <w:jc w:val="both"/>
      </w:pPr>
      <w:r w:rsidRPr="009D4E5D">
        <w:rPr>
          <w:sz w:val="22"/>
        </w:rPr>
        <w:t xml:space="preserve">Li B, Li H, Chen H, Sui Y, Zeng J, Lin X, et al. Utilizing Hyperbaric Oxygen Therapy to Improve Cognitive Function in Patients With Alzheimer’s Disease by Activating Autophagy-Related Signaling Pathways. </w:t>
      </w:r>
      <w:proofErr w:type="spellStart"/>
      <w:r w:rsidRPr="009D4E5D">
        <w:rPr>
          <w:sz w:val="22"/>
        </w:rPr>
        <w:t>Physiol</w:t>
      </w:r>
      <w:proofErr w:type="spellEnd"/>
      <w:r w:rsidRPr="009D4E5D">
        <w:rPr>
          <w:sz w:val="22"/>
        </w:rPr>
        <w:t xml:space="preserve"> Res. 2025;74(1):141–7. doi:10.33549/PHYSIOLRES.935447 PubMed PMID: 40126150.</w:t>
      </w:r>
    </w:p>
    <w:p w14:paraId="2CEC1729" w14:textId="77777777" w:rsidR="006C1A01" w:rsidRDefault="006C1A01" w:rsidP="006C1A01">
      <w:pPr>
        <w:pStyle w:val="ListParagraph"/>
        <w:numPr>
          <w:ilvl w:val="0"/>
          <w:numId w:val="10"/>
        </w:numPr>
        <w:spacing w:after="60"/>
        <w:ind w:left="426" w:hanging="426"/>
        <w:jc w:val="both"/>
      </w:pPr>
      <w:r w:rsidRPr="009D4E5D">
        <w:rPr>
          <w:sz w:val="22"/>
        </w:rPr>
        <w:t>Kim J, Kang H, Lee YB, Lee B, Lee D. A quantitative analysis of spontaneous alternation behaviors on a Y-maze reveals adverse effects of acute social isolation on spatial working memory. Sci Rep. 2023 Dec 1;13(1). doi:10.1038/S41598-023-41996-4 PubMed PMID: 37679447.</w:t>
      </w:r>
    </w:p>
    <w:p w14:paraId="78414B6B" w14:textId="77777777" w:rsidR="006C1A01" w:rsidRDefault="006C1A01" w:rsidP="006C1A01">
      <w:pPr>
        <w:pStyle w:val="ListParagraph"/>
        <w:numPr>
          <w:ilvl w:val="0"/>
          <w:numId w:val="10"/>
        </w:numPr>
        <w:spacing w:after="60"/>
        <w:ind w:left="426" w:hanging="426"/>
        <w:jc w:val="both"/>
      </w:pPr>
      <w:proofErr w:type="spellStart"/>
      <w:r w:rsidRPr="009D4E5D">
        <w:rPr>
          <w:sz w:val="22"/>
        </w:rPr>
        <w:t>Hadanny</w:t>
      </w:r>
      <w:proofErr w:type="spellEnd"/>
      <w:r w:rsidRPr="009D4E5D">
        <w:rPr>
          <w:sz w:val="22"/>
        </w:rPr>
        <w:t xml:space="preserve"> A, Catalogna M, Yaniv S, Stolar O, Rothstein L, Shabi A, et al. Hyperbaric oxygen therapy in children with post-concussion syndrome improves cognitive and behavioral function: a randomized controlled trial. Sci Rep. 2022 Dec 1;12(1). doi:10.1038/S41598-022-19395-Y PubMed PMID: 36151105.</w:t>
      </w:r>
    </w:p>
    <w:p w14:paraId="7BF74BAB" w14:textId="77777777" w:rsidR="006C1A01" w:rsidRDefault="006C1A01" w:rsidP="006C1A01">
      <w:pPr>
        <w:pStyle w:val="ListParagraph"/>
        <w:numPr>
          <w:ilvl w:val="0"/>
          <w:numId w:val="10"/>
        </w:numPr>
        <w:spacing w:after="60"/>
        <w:ind w:left="426" w:hanging="426"/>
        <w:jc w:val="both"/>
      </w:pPr>
      <w:r w:rsidRPr="009D4E5D">
        <w:rPr>
          <w:sz w:val="22"/>
        </w:rPr>
        <w:t xml:space="preserve">Cheng X, Chi L, Lin T, Liang F, Pei Z, Sun J, et al. Exogenous monocyte myeloid-derived suppressor cells ameliorate immune imbalance, neuroinflammation and cognitive impairment in 5xFAD mice infected with </w:t>
      </w:r>
      <w:r w:rsidRPr="009D4E5D">
        <w:rPr>
          <w:i/>
          <w:sz w:val="22"/>
        </w:rPr>
        <w:t>Porphyromonas gingivalis</w:t>
      </w:r>
      <w:r w:rsidRPr="009D4E5D">
        <w:rPr>
          <w:sz w:val="22"/>
        </w:rPr>
        <w:t xml:space="preserve">. J </w:t>
      </w:r>
      <w:r w:rsidRPr="009D4E5D">
        <w:rPr>
          <w:sz w:val="22"/>
        </w:rPr>
        <w:lastRenderedPageBreak/>
        <w:t>Neuroinflammation. 2023 Dec 1;20(1). doi:10.1186/S12974-023-02743-8 PubMed PMID: 36864466.</w:t>
      </w:r>
    </w:p>
    <w:p w14:paraId="591ECC71" w14:textId="77777777" w:rsidR="006C1A01" w:rsidRDefault="006C1A01" w:rsidP="006C1A01">
      <w:pPr>
        <w:pStyle w:val="ListParagraph"/>
        <w:numPr>
          <w:ilvl w:val="0"/>
          <w:numId w:val="10"/>
        </w:numPr>
        <w:spacing w:after="60"/>
        <w:ind w:left="426" w:hanging="426"/>
        <w:jc w:val="both"/>
      </w:pPr>
      <w:r w:rsidRPr="009D4E5D">
        <w:rPr>
          <w:sz w:val="22"/>
        </w:rPr>
        <w:t xml:space="preserve">Wang S, Chen B, Yuan M, Liu S, Fan H, Yang X, et al. Enriched oxygen improves age-related cognitive impairment through enhancing autophagy. Front Aging </w:t>
      </w:r>
      <w:proofErr w:type="spellStart"/>
      <w:r w:rsidRPr="009D4E5D">
        <w:rPr>
          <w:sz w:val="22"/>
        </w:rPr>
        <w:t>Neurosci</w:t>
      </w:r>
      <w:proofErr w:type="spellEnd"/>
      <w:r w:rsidRPr="009D4E5D">
        <w:rPr>
          <w:sz w:val="22"/>
        </w:rPr>
        <w:t>. 2024;16. doi:10.3389/FNAGI.2024.1340117</w:t>
      </w:r>
    </w:p>
    <w:p w14:paraId="0D95E57E" w14:textId="77777777" w:rsidR="006C1A01" w:rsidRDefault="006C1A01" w:rsidP="006C1A01">
      <w:pPr>
        <w:pStyle w:val="ListParagraph"/>
        <w:numPr>
          <w:ilvl w:val="0"/>
          <w:numId w:val="10"/>
        </w:numPr>
        <w:spacing w:after="60"/>
        <w:ind w:left="426" w:hanging="426"/>
        <w:jc w:val="both"/>
      </w:pPr>
      <w:proofErr w:type="spellStart"/>
      <w:r w:rsidRPr="009D4E5D">
        <w:rPr>
          <w:sz w:val="22"/>
        </w:rPr>
        <w:t>d’Isa</w:t>
      </w:r>
      <w:proofErr w:type="spellEnd"/>
      <w:r w:rsidRPr="009D4E5D">
        <w:rPr>
          <w:sz w:val="22"/>
        </w:rPr>
        <w:t xml:space="preserve"> R, Comi G, </w:t>
      </w:r>
      <w:proofErr w:type="spellStart"/>
      <w:r w:rsidRPr="009D4E5D">
        <w:rPr>
          <w:sz w:val="22"/>
        </w:rPr>
        <w:t>Leocani</w:t>
      </w:r>
      <w:proofErr w:type="spellEnd"/>
      <w:r w:rsidRPr="009D4E5D">
        <w:rPr>
          <w:sz w:val="22"/>
        </w:rPr>
        <w:t xml:space="preserve"> L. Apparatus design and </w:t>
      </w:r>
      <w:proofErr w:type="spellStart"/>
      <w:r w:rsidRPr="009D4E5D">
        <w:rPr>
          <w:sz w:val="22"/>
        </w:rPr>
        <w:t>behavioural</w:t>
      </w:r>
      <w:proofErr w:type="spellEnd"/>
      <w:r w:rsidRPr="009D4E5D">
        <w:rPr>
          <w:sz w:val="22"/>
        </w:rPr>
        <w:t xml:space="preserve"> testing protocol for the evaluation of spatial working memory in mice through the spontaneous alternation T-maze. Sci Rep. 2021 Dec 1;11(1). doi:10.1038/S41598-021-00402-7 PubMed PMID: 34707108.</w:t>
      </w:r>
    </w:p>
    <w:p w14:paraId="4A91CF77" w14:textId="77777777" w:rsidR="006C1A01" w:rsidRDefault="006C1A01" w:rsidP="006C1A01">
      <w:pPr>
        <w:pStyle w:val="ListParagraph"/>
        <w:numPr>
          <w:ilvl w:val="0"/>
          <w:numId w:val="10"/>
        </w:numPr>
        <w:spacing w:after="60"/>
        <w:ind w:left="426" w:hanging="426"/>
        <w:jc w:val="both"/>
      </w:pPr>
      <w:r w:rsidRPr="009D4E5D">
        <w:rPr>
          <w:sz w:val="22"/>
        </w:rPr>
        <w:t xml:space="preserve">Ma X, Shin YJ, Yoo JW, Park HS, Kim DH. Extracellular vesicles derived from </w:t>
      </w:r>
      <w:r w:rsidRPr="009D4E5D">
        <w:rPr>
          <w:i/>
          <w:sz w:val="22"/>
        </w:rPr>
        <w:t>Porphyromonas gingivalis</w:t>
      </w:r>
      <w:r w:rsidRPr="009D4E5D">
        <w:rPr>
          <w:sz w:val="22"/>
        </w:rPr>
        <w:t xml:space="preserve"> induce trigeminal nerve-mediated cognitive impairment. J Adv Res. 2023 Dec 1;54:293–303. doi:10.1016/J.JARE.2023.02.006 PubMed PMID: 36796586.</w:t>
      </w:r>
    </w:p>
    <w:p w14:paraId="56D0E704" w14:textId="77777777" w:rsidR="006C1A01" w:rsidRDefault="006C1A01" w:rsidP="006C1A01">
      <w:pPr>
        <w:pStyle w:val="ListParagraph"/>
        <w:numPr>
          <w:ilvl w:val="0"/>
          <w:numId w:val="10"/>
        </w:numPr>
        <w:spacing w:after="60"/>
        <w:ind w:left="426" w:hanging="426"/>
        <w:jc w:val="both"/>
      </w:pPr>
      <w:r w:rsidRPr="009D4E5D">
        <w:rPr>
          <w:sz w:val="22"/>
        </w:rPr>
        <w:t xml:space="preserve">Gottfried I, </w:t>
      </w:r>
      <w:proofErr w:type="spellStart"/>
      <w:r w:rsidRPr="009D4E5D">
        <w:rPr>
          <w:sz w:val="22"/>
        </w:rPr>
        <w:t>Schottlender</w:t>
      </w:r>
      <w:proofErr w:type="spellEnd"/>
      <w:r w:rsidRPr="009D4E5D">
        <w:rPr>
          <w:sz w:val="22"/>
        </w:rPr>
        <w:t xml:space="preserve"> N, Ashery U. Hyperbaric Oxygen Treatment—From Mechanisms to Cognitive Improvement. Biomolecules. 2021 Oct 1;11(10). doi:10.3390/BIOM11101520 PubMed PMID: 34680155.</w:t>
      </w:r>
    </w:p>
    <w:p w14:paraId="273B55AD" w14:textId="77777777" w:rsidR="006C1A01" w:rsidRDefault="006C1A01" w:rsidP="006C1A01">
      <w:pPr>
        <w:pStyle w:val="ListParagraph"/>
        <w:numPr>
          <w:ilvl w:val="0"/>
          <w:numId w:val="10"/>
        </w:numPr>
        <w:spacing w:after="60"/>
        <w:ind w:left="426" w:hanging="426"/>
        <w:jc w:val="both"/>
      </w:pPr>
      <w:proofErr w:type="spellStart"/>
      <w:r w:rsidRPr="009D4E5D">
        <w:rPr>
          <w:sz w:val="22"/>
        </w:rPr>
        <w:t>Gl</w:t>
      </w:r>
      <w:proofErr w:type="spellEnd"/>
      <w:r w:rsidRPr="009D4E5D">
        <w:rPr>
          <w:sz w:val="22"/>
        </w:rPr>
        <w:t xml:space="preserve"> S. Current Review: Hyperbaric Oxygen Analysis with Appropriate Cognitive Assessment. Journal of Clinical Medical Research. 2024 Dec 9;1–5. doi:10.46889/JCMR.2024.5315</w:t>
      </w:r>
    </w:p>
    <w:p w14:paraId="2A52A3CB" w14:textId="77777777" w:rsidR="006C1A01" w:rsidRDefault="006C1A01" w:rsidP="006C1A01">
      <w:pPr>
        <w:pStyle w:val="ListParagraph"/>
        <w:numPr>
          <w:ilvl w:val="0"/>
          <w:numId w:val="10"/>
        </w:numPr>
        <w:spacing w:after="60"/>
        <w:ind w:left="426" w:hanging="426"/>
        <w:jc w:val="both"/>
      </w:pPr>
      <w:r w:rsidRPr="009D4E5D">
        <w:rPr>
          <w:sz w:val="22"/>
        </w:rPr>
        <w:t xml:space="preserve">Shabi Shlifer A, </w:t>
      </w:r>
      <w:proofErr w:type="spellStart"/>
      <w:r w:rsidRPr="009D4E5D">
        <w:rPr>
          <w:sz w:val="22"/>
        </w:rPr>
        <w:t>Suzin</w:t>
      </w:r>
      <w:proofErr w:type="spellEnd"/>
      <w:r w:rsidRPr="009D4E5D">
        <w:rPr>
          <w:sz w:val="22"/>
        </w:rPr>
        <w:t xml:space="preserve"> G, Shorer R, Lang E, </w:t>
      </w:r>
      <w:proofErr w:type="spellStart"/>
      <w:r w:rsidRPr="009D4E5D">
        <w:rPr>
          <w:sz w:val="22"/>
        </w:rPr>
        <w:t>Finci</w:t>
      </w:r>
      <w:proofErr w:type="spellEnd"/>
      <w:r w:rsidRPr="009D4E5D">
        <w:rPr>
          <w:sz w:val="22"/>
        </w:rPr>
        <w:t xml:space="preserve"> S, Elman-Shina K, et al. Hyperbaric oxygen therapy improves post-concussion symptoms in adults with childhood traumatic brain injury: a retrospective cohort study. Front Neurol. 2025;16. doi:10.3389/FNEUR.2025.1641033</w:t>
      </w:r>
    </w:p>
    <w:p w14:paraId="3F626356" w14:textId="77777777" w:rsidR="006C1A01" w:rsidRPr="009D4E5D" w:rsidRDefault="006C1A01" w:rsidP="006C1A01">
      <w:pPr>
        <w:pStyle w:val="ListParagraph"/>
        <w:numPr>
          <w:ilvl w:val="0"/>
          <w:numId w:val="10"/>
        </w:numPr>
        <w:spacing w:after="60"/>
        <w:ind w:left="426" w:hanging="426"/>
        <w:jc w:val="both"/>
        <w:rPr>
          <w:sz w:val="22"/>
        </w:rPr>
      </w:pPr>
      <w:r w:rsidRPr="009D4E5D">
        <w:rPr>
          <w:sz w:val="22"/>
        </w:rPr>
        <w:t xml:space="preserve">Huang Z, Hao M, Shi N, Wang X, Yuan L, Yuan H, et al. </w:t>
      </w:r>
      <w:r w:rsidRPr="009D4E5D">
        <w:rPr>
          <w:i/>
          <w:sz w:val="22"/>
        </w:rPr>
        <w:t>Porphyromonas gingivalis</w:t>
      </w:r>
      <w:r w:rsidRPr="009D4E5D">
        <w:rPr>
          <w:sz w:val="22"/>
        </w:rPr>
        <w:t>: a potential trigger of neurodegenerative disease. Front Immunol. 2025;16. doi:10.3389/FIMMU.2025.1482033 PubMed PMID: 40028317.</w:t>
      </w:r>
    </w:p>
    <w:p w14:paraId="3C89A3BF" w14:textId="77777777" w:rsidR="006C1A01" w:rsidRPr="009D4E5D" w:rsidRDefault="006C1A01" w:rsidP="006C1A01">
      <w:pPr>
        <w:pStyle w:val="ListParagraph"/>
        <w:numPr>
          <w:ilvl w:val="0"/>
          <w:numId w:val="10"/>
        </w:numPr>
        <w:ind w:left="426" w:hanging="426"/>
        <w:rPr>
          <w:rFonts w:cs="Times New Roman"/>
          <w:szCs w:val="24"/>
          <w:lang w:val="en-ID" w:eastAsia="en-ID"/>
        </w:rPr>
      </w:pPr>
      <w:proofErr w:type="spellStart"/>
      <w:r w:rsidRPr="009D4E5D">
        <w:rPr>
          <w:rFonts w:cs="Times New Roman"/>
          <w:szCs w:val="24"/>
          <w:lang w:val="en-ID" w:eastAsia="en-ID"/>
        </w:rPr>
        <w:t>Widjiastuti</w:t>
      </w:r>
      <w:proofErr w:type="spellEnd"/>
      <w:r w:rsidRPr="009D4E5D">
        <w:rPr>
          <w:rFonts w:cs="Times New Roman"/>
          <w:szCs w:val="24"/>
          <w:lang w:val="en-ID" w:eastAsia="en-ID"/>
        </w:rPr>
        <w:t xml:space="preserve"> I, </w:t>
      </w:r>
      <w:proofErr w:type="spellStart"/>
      <w:r w:rsidRPr="009D4E5D">
        <w:rPr>
          <w:rFonts w:cs="Times New Roman"/>
          <w:szCs w:val="24"/>
          <w:lang w:val="en-ID" w:eastAsia="en-ID"/>
        </w:rPr>
        <w:t>Setyabudi</w:t>
      </w:r>
      <w:proofErr w:type="spellEnd"/>
      <w:r w:rsidRPr="009D4E5D">
        <w:rPr>
          <w:rFonts w:cs="Times New Roman"/>
          <w:szCs w:val="24"/>
          <w:lang w:val="en-ID" w:eastAsia="en-ID"/>
        </w:rPr>
        <w:t xml:space="preserve">, Samuel GA, </w:t>
      </w:r>
      <w:proofErr w:type="spellStart"/>
      <w:r w:rsidRPr="009D4E5D">
        <w:rPr>
          <w:rFonts w:cs="Times New Roman"/>
          <w:szCs w:val="24"/>
          <w:lang w:val="en-ID" w:eastAsia="en-ID"/>
        </w:rPr>
        <w:t>Basalamah</w:t>
      </w:r>
      <w:proofErr w:type="spellEnd"/>
      <w:r w:rsidRPr="009D4E5D">
        <w:rPr>
          <w:rFonts w:cs="Times New Roman"/>
          <w:szCs w:val="24"/>
          <w:lang w:val="en-ID" w:eastAsia="en-ID"/>
        </w:rPr>
        <w:t xml:space="preserve"> KF. The effect of calcium hydroxide in combination with propolis extract on decreasing nerve growth factor </w:t>
      </w:r>
      <w:r w:rsidRPr="009D4E5D">
        <w:rPr>
          <w:rFonts w:cs="Times New Roman"/>
          <w:szCs w:val="24"/>
          <w:lang w:val="en-ID" w:eastAsia="en-ID"/>
        </w:rPr>
        <w:lastRenderedPageBreak/>
        <w:t>and substance P expression in rat dental pulp neuron. Braz Dent Sci. 2024 Apr 1;27(1). doi:10.4322/BDS.2024.E4023</w:t>
      </w:r>
    </w:p>
    <w:p w14:paraId="075BB77F" w14:textId="77777777" w:rsidR="006C1A01" w:rsidRPr="009D4E5D" w:rsidRDefault="006C1A01" w:rsidP="006C1A01">
      <w:pPr>
        <w:pStyle w:val="ListParagraph"/>
        <w:numPr>
          <w:ilvl w:val="0"/>
          <w:numId w:val="10"/>
        </w:numPr>
        <w:ind w:left="426" w:hanging="426"/>
        <w:rPr>
          <w:rFonts w:cs="Times New Roman"/>
          <w:szCs w:val="24"/>
          <w:lang w:val="en-ID" w:eastAsia="en-ID"/>
        </w:rPr>
      </w:pPr>
      <w:r w:rsidRPr="009D4E5D">
        <w:rPr>
          <w:rFonts w:cs="Times New Roman"/>
          <w:szCs w:val="24"/>
          <w:lang w:val="en-ID" w:eastAsia="en-ID"/>
        </w:rPr>
        <w:t>Almeida TM de O, Borges MHN, Sette-De-</w:t>
      </w:r>
      <w:proofErr w:type="spellStart"/>
      <w:r w:rsidRPr="009D4E5D">
        <w:rPr>
          <w:rFonts w:cs="Times New Roman"/>
          <w:szCs w:val="24"/>
          <w:lang w:val="en-ID" w:eastAsia="en-ID"/>
        </w:rPr>
        <w:t>souza</w:t>
      </w:r>
      <w:proofErr w:type="spellEnd"/>
      <w:r w:rsidRPr="009D4E5D">
        <w:rPr>
          <w:rFonts w:cs="Times New Roman"/>
          <w:szCs w:val="24"/>
          <w:lang w:val="en-ID" w:eastAsia="en-ID"/>
        </w:rPr>
        <w:t xml:space="preserve"> PH, Pinheiro MA, Vieira BR, Sampaio GA de M. Incorporation of red propolis into ionomer restorative cements: an antimicrobial and fluoride release analysis. Braz Dent Sci. 2025 Nov 25;28(4):e4697–e4697. doi:10.4322/BDS.2025.E4697</w:t>
      </w:r>
    </w:p>
    <w:p w14:paraId="76449186" w14:textId="77777777" w:rsidR="006C1A01" w:rsidRDefault="006C1A01" w:rsidP="006C1A01">
      <w:pPr>
        <w:pStyle w:val="ListParagraph"/>
        <w:numPr>
          <w:ilvl w:val="0"/>
          <w:numId w:val="10"/>
        </w:numPr>
        <w:ind w:left="426" w:hanging="426"/>
      </w:pPr>
      <w:r w:rsidRPr="006C1A01">
        <w:rPr>
          <w:rFonts w:cs="Times New Roman"/>
          <w:szCs w:val="24"/>
          <w:lang w:val="en-ID" w:eastAsia="en-ID"/>
        </w:rPr>
        <w:t>Alwan AM, Al-</w:t>
      </w:r>
      <w:proofErr w:type="spellStart"/>
      <w:r w:rsidRPr="006C1A01">
        <w:rPr>
          <w:rFonts w:cs="Times New Roman"/>
          <w:szCs w:val="24"/>
          <w:lang w:val="en-ID" w:eastAsia="en-ID"/>
        </w:rPr>
        <w:t>Karawi</w:t>
      </w:r>
      <w:proofErr w:type="spellEnd"/>
      <w:r w:rsidRPr="006C1A01">
        <w:rPr>
          <w:rFonts w:cs="Times New Roman"/>
          <w:szCs w:val="24"/>
          <w:lang w:val="en-ID" w:eastAsia="en-ID"/>
        </w:rPr>
        <w:t xml:space="preserve"> SI, Abdul-Wahab GA. The impact of traditional smokers versus electronic cigarette smokers on periodontal parameters in </w:t>
      </w:r>
      <w:proofErr w:type="spellStart"/>
      <w:r w:rsidRPr="006C1A01">
        <w:rPr>
          <w:rFonts w:cs="Times New Roman"/>
          <w:szCs w:val="24"/>
          <w:lang w:val="en-ID" w:eastAsia="en-ID"/>
        </w:rPr>
        <w:t>iraqi</w:t>
      </w:r>
      <w:proofErr w:type="spellEnd"/>
      <w:r w:rsidRPr="006C1A01">
        <w:rPr>
          <w:rFonts w:cs="Times New Roman"/>
          <w:szCs w:val="24"/>
          <w:lang w:val="en-ID" w:eastAsia="en-ID"/>
        </w:rPr>
        <w:t xml:space="preserve"> males. Braz Dent Sci. 2024 Jun 11;27(1). doi:10.4322/BDS.2024.E4166</w:t>
      </w:r>
    </w:p>
    <w:p w14:paraId="247322C9" w14:textId="77777777" w:rsidR="006C1A01" w:rsidRDefault="006C1A01" w:rsidP="006C1A01">
      <w:pPr>
        <w:pStyle w:val="ListParagraph"/>
        <w:ind w:left="426"/>
      </w:pPr>
    </w:p>
    <w:p w14:paraId="7E480A8C" w14:textId="346F1486" w:rsidR="00330686" w:rsidRDefault="00000000" w:rsidP="006C1A01">
      <w:pPr>
        <w:pStyle w:val="ListParagraph"/>
        <w:ind w:left="0"/>
      </w:pPr>
      <w:r w:rsidRPr="006C1A01">
        <w:rPr>
          <w:b/>
        </w:rPr>
        <w:t>Table 1. Y-Maze Spontaneous Alternation Scores Across Study Time Points.</w:t>
      </w:r>
    </w:p>
    <w:tbl>
      <w:tblPr>
        <w:tblStyle w:val="TableGrid"/>
        <w:tblW w:w="0" w:type="auto"/>
        <w:jc w:val="center"/>
        <w:tblLayout w:type="fixed"/>
        <w:tblLook w:val="04A0" w:firstRow="1" w:lastRow="0" w:firstColumn="1" w:lastColumn="0" w:noHBand="0" w:noVBand="1"/>
      </w:tblPr>
      <w:tblGrid>
        <w:gridCol w:w="3118"/>
        <w:gridCol w:w="1797"/>
        <w:gridCol w:w="1797"/>
        <w:gridCol w:w="1797"/>
      </w:tblGrid>
      <w:tr w:rsidR="00330686" w14:paraId="13B03544" w14:textId="77777777">
        <w:trPr>
          <w:jc w:val="center"/>
        </w:trPr>
        <w:tc>
          <w:tcPr>
            <w:tcW w:w="3118" w:type="dxa"/>
            <w:vAlign w:val="center"/>
          </w:tcPr>
          <w:p w14:paraId="2CC9A8E7" w14:textId="77777777" w:rsidR="00330686" w:rsidRDefault="00000000">
            <w:pPr>
              <w:jc w:val="center"/>
            </w:pPr>
            <w:r>
              <w:rPr>
                <w:b/>
              </w:rPr>
              <w:t>Group</w:t>
            </w:r>
          </w:p>
        </w:tc>
        <w:tc>
          <w:tcPr>
            <w:tcW w:w="1797" w:type="dxa"/>
            <w:vAlign w:val="center"/>
          </w:tcPr>
          <w:p w14:paraId="4F616C20" w14:textId="77777777" w:rsidR="00330686" w:rsidRDefault="00000000">
            <w:pPr>
              <w:jc w:val="center"/>
            </w:pPr>
            <w:r>
              <w:rPr>
                <w:b/>
              </w:rPr>
              <w:t>Baseline</w:t>
            </w:r>
          </w:p>
        </w:tc>
        <w:tc>
          <w:tcPr>
            <w:tcW w:w="1797" w:type="dxa"/>
            <w:vAlign w:val="center"/>
          </w:tcPr>
          <w:p w14:paraId="677DE908" w14:textId="77777777" w:rsidR="00330686" w:rsidRDefault="00000000">
            <w:pPr>
              <w:jc w:val="center"/>
            </w:pPr>
            <w:r>
              <w:rPr>
                <w:b/>
              </w:rPr>
              <w:t>Week 5</w:t>
            </w:r>
          </w:p>
        </w:tc>
        <w:tc>
          <w:tcPr>
            <w:tcW w:w="1797" w:type="dxa"/>
            <w:vAlign w:val="center"/>
          </w:tcPr>
          <w:p w14:paraId="6461B6D7" w14:textId="77777777" w:rsidR="00330686" w:rsidRDefault="00000000">
            <w:pPr>
              <w:jc w:val="center"/>
            </w:pPr>
            <w:r>
              <w:rPr>
                <w:b/>
              </w:rPr>
              <w:t>Week 9</w:t>
            </w:r>
          </w:p>
        </w:tc>
      </w:tr>
      <w:tr w:rsidR="00330686" w14:paraId="17897E46" w14:textId="77777777">
        <w:trPr>
          <w:jc w:val="center"/>
        </w:trPr>
        <w:tc>
          <w:tcPr>
            <w:tcW w:w="3118" w:type="dxa"/>
            <w:vAlign w:val="center"/>
          </w:tcPr>
          <w:p w14:paraId="69F83F67" w14:textId="77777777" w:rsidR="00330686" w:rsidRDefault="00000000">
            <w:r>
              <w:t>Control</w:t>
            </w:r>
          </w:p>
        </w:tc>
        <w:tc>
          <w:tcPr>
            <w:tcW w:w="1797" w:type="dxa"/>
            <w:vAlign w:val="center"/>
          </w:tcPr>
          <w:p w14:paraId="73A53A1E" w14:textId="77777777" w:rsidR="00330686" w:rsidRDefault="00000000">
            <w:pPr>
              <w:jc w:val="center"/>
            </w:pPr>
            <w:r>
              <w:t>70.85±4.97</w:t>
            </w:r>
          </w:p>
        </w:tc>
        <w:tc>
          <w:tcPr>
            <w:tcW w:w="1797" w:type="dxa"/>
            <w:vAlign w:val="center"/>
          </w:tcPr>
          <w:p w14:paraId="24B379BA" w14:textId="77777777" w:rsidR="00330686" w:rsidRDefault="00000000">
            <w:pPr>
              <w:jc w:val="center"/>
            </w:pPr>
            <w:r>
              <w:t>65.45±9.60</w:t>
            </w:r>
          </w:p>
        </w:tc>
        <w:tc>
          <w:tcPr>
            <w:tcW w:w="1797" w:type="dxa"/>
            <w:vAlign w:val="center"/>
          </w:tcPr>
          <w:p w14:paraId="14518C8B" w14:textId="77777777" w:rsidR="00330686" w:rsidRDefault="00000000">
            <w:pPr>
              <w:jc w:val="center"/>
            </w:pPr>
            <w:r>
              <w:t>68.00±5.08</w:t>
            </w:r>
          </w:p>
        </w:tc>
      </w:tr>
      <w:tr w:rsidR="00330686" w14:paraId="7D6C1AAE" w14:textId="77777777">
        <w:trPr>
          <w:jc w:val="center"/>
        </w:trPr>
        <w:tc>
          <w:tcPr>
            <w:tcW w:w="3118" w:type="dxa"/>
            <w:vAlign w:val="center"/>
          </w:tcPr>
          <w:p w14:paraId="10BE0BBD" w14:textId="77777777" w:rsidR="00330686" w:rsidRDefault="00000000">
            <w:r>
              <w:rPr>
                <w:i/>
              </w:rPr>
              <w:t>Porphyromonas gingivalis</w:t>
            </w:r>
            <w:r>
              <w:t xml:space="preserve"> exposure followed by hyperbaric oxygen therapy</w:t>
            </w:r>
          </w:p>
        </w:tc>
        <w:tc>
          <w:tcPr>
            <w:tcW w:w="1797" w:type="dxa"/>
            <w:vAlign w:val="center"/>
          </w:tcPr>
          <w:p w14:paraId="65D51000" w14:textId="77777777" w:rsidR="00330686" w:rsidRDefault="00000000">
            <w:pPr>
              <w:jc w:val="center"/>
            </w:pPr>
            <w:r>
              <w:t>68.02±1.67</w:t>
            </w:r>
          </w:p>
        </w:tc>
        <w:tc>
          <w:tcPr>
            <w:tcW w:w="1797" w:type="dxa"/>
            <w:vAlign w:val="center"/>
          </w:tcPr>
          <w:p w14:paraId="39D3AEA3" w14:textId="77777777" w:rsidR="00330686" w:rsidRDefault="00000000">
            <w:pPr>
              <w:jc w:val="center"/>
            </w:pPr>
            <w:r>
              <w:t>32.01±24.71</w:t>
            </w:r>
          </w:p>
        </w:tc>
        <w:tc>
          <w:tcPr>
            <w:tcW w:w="1797" w:type="dxa"/>
            <w:vAlign w:val="center"/>
          </w:tcPr>
          <w:p w14:paraId="08DF6681" w14:textId="77777777" w:rsidR="00330686" w:rsidRDefault="00000000">
            <w:pPr>
              <w:jc w:val="center"/>
            </w:pPr>
            <w:r>
              <w:t>52.09±14.03</w:t>
            </w:r>
          </w:p>
        </w:tc>
      </w:tr>
    </w:tbl>
    <w:p w14:paraId="374891C7" w14:textId="77777777" w:rsidR="00330686" w:rsidRDefault="00000000">
      <w:pPr>
        <w:jc w:val="both"/>
      </w:pPr>
      <w:r>
        <w:rPr>
          <w:i/>
        </w:rPr>
        <w:t xml:space="preserve">Note. </w:t>
      </w:r>
      <w:r>
        <w:t xml:space="preserve">Values are presented as mean±standard deviation. Week 5 indicates the end of the five-week gingival </w:t>
      </w:r>
      <w:r>
        <w:rPr>
          <w:i/>
        </w:rPr>
        <w:t>Porphyromonas gingivalis</w:t>
      </w:r>
      <w:r>
        <w:t xml:space="preserve"> exposure phase. Week 9 indicates the end of the four-week hyperbaric oxygen therapy phase.</w:t>
      </w:r>
    </w:p>
    <w:p w14:paraId="12EA63D6" w14:textId="77777777" w:rsidR="006C1A01" w:rsidRDefault="006C1A01" w:rsidP="006C1A01"/>
    <w:p w14:paraId="77BCCF0F" w14:textId="71B39F12" w:rsidR="00330686" w:rsidRDefault="00000000" w:rsidP="006C1A01">
      <w:r>
        <w:rPr>
          <w:b/>
        </w:rPr>
        <w:t>Table 2. Pairwise Comparisons of Y-Maze Spontaneous Alternation Scores in the Control Group.</w:t>
      </w:r>
    </w:p>
    <w:tbl>
      <w:tblPr>
        <w:tblStyle w:val="TableGrid"/>
        <w:tblW w:w="0" w:type="auto"/>
        <w:jc w:val="center"/>
        <w:tblLayout w:type="fixed"/>
        <w:tblLook w:val="04A0" w:firstRow="1" w:lastRow="0" w:firstColumn="1" w:lastColumn="0" w:noHBand="0" w:noVBand="1"/>
      </w:tblPr>
      <w:tblGrid>
        <w:gridCol w:w="6236"/>
        <w:gridCol w:w="2268"/>
      </w:tblGrid>
      <w:tr w:rsidR="00330686" w14:paraId="6BFE235A" w14:textId="77777777">
        <w:trPr>
          <w:jc w:val="center"/>
        </w:trPr>
        <w:tc>
          <w:tcPr>
            <w:tcW w:w="6236" w:type="dxa"/>
            <w:vAlign w:val="center"/>
          </w:tcPr>
          <w:p w14:paraId="21605847" w14:textId="77777777" w:rsidR="00330686" w:rsidRDefault="00000000">
            <w:pPr>
              <w:jc w:val="center"/>
            </w:pPr>
            <w:r>
              <w:rPr>
                <w:b/>
              </w:rPr>
              <w:t>Comparison</w:t>
            </w:r>
          </w:p>
        </w:tc>
        <w:tc>
          <w:tcPr>
            <w:tcW w:w="2268" w:type="dxa"/>
            <w:vAlign w:val="center"/>
          </w:tcPr>
          <w:p w14:paraId="08276FF1" w14:textId="77777777" w:rsidR="00330686" w:rsidRDefault="00000000">
            <w:pPr>
              <w:jc w:val="center"/>
            </w:pPr>
            <w:r>
              <w:rPr>
                <w:b/>
              </w:rPr>
              <w:t>P value</w:t>
            </w:r>
          </w:p>
        </w:tc>
      </w:tr>
      <w:tr w:rsidR="00330686" w14:paraId="666275C8" w14:textId="77777777">
        <w:trPr>
          <w:jc w:val="center"/>
        </w:trPr>
        <w:tc>
          <w:tcPr>
            <w:tcW w:w="6236" w:type="dxa"/>
            <w:vAlign w:val="center"/>
          </w:tcPr>
          <w:p w14:paraId="0F9F1362" w14:textId="77777777" w:rsidR="00330686" w:rsidRDefault="00000000">
            <w:r>
              <w:t>Baseline versus week 5</w:t>
            </w:r>
          </w:p>
        </w:tc>
        <w:tc>
          <w:tcPr>
            <w:tcW w:w="2268" w:type="dxa"/>
            <w:vAlign w:val="center"/>
          </w:tcPr>
          <w:p w14:paraId="64B7486D" w14:textId="77777777" w:rsidR="00330686" w:rsidRDefault="00000000">
            <w:pPr>
              <w:jc w:val="center"/>
            </w:pPr>
            <w:r>
              <w:t>0.063</w:t>
            </w:r>
          </w:p>
        </w:tc>
      </w:tr>
      <w:tr w:rsidR="00330686" w14:paraId="337352E9" w14:textId="77777777">
        <w:trPr>
          <w:jc w:val="center"/>
        </w:trPr>
        <w:tc>
          <w:tcPr>
            <w:tcW w:w="6236" w:type="dxa"/>
            <w:vAlign w:val="center"/>
          </w:tcPr>
          <w:p w14:paraId="6A4D60FB" w14:textId="77777777" w:rsidR="00330686" w:rsidRDefault="00000000">
            <w:r>
              <w:lastRenderedPageBreak/>
              <w:t>Baseline versus week 9</w:t>
            </w:r>
          </w:p>
        </w:tc>
        <w:tc>
          <w:tcPr>
            <w:tcW w:w="2268" w:type="dxa"/>
            <w:vAlign w:val="center"/>
          </w:tcPr>
          <w:p w14:paraId="358E6988" w14:textId="77777777" w:rsidR="00330686" w:rsidRDefault="00000000">
            <w:pPr>
              <w:jc w:val="center"/>
            </w:pPr>
            <w:r>
              <w:t>0.069</w:t>
            </w:r>
          </w:p>
        </w:tc>
      </w:tr>
      <w:tr w:rsidR="00330686" w14:paraId="777C90BC" w14:textId="77777777">
        <w:trPr>
          <w:jc w:val="center"/>
        </w:trPr>
        <w:tc>
          <w:tcPr>
            <w:tcW w:w="6236" w:type="dxa"/>
            <w:vAlign w:val="center"/>
          </w:tcPr>
          <w:p w14:paraId="6A407994" w14:textId="77777777" w:rsidR="00330686" w:rsidRDefault="00000000">
            <w:r>
              <w:t>Week 5 versus week 9</w:t>
            </w:r>
          </w:p>
        </w:tc>
        <w:tc>
          <w:tcPr>
            <w:tcW w:w="2268" w:type="dxa"/>
            <w:vAlign w:val="center"/>
          </w:tcPr>
          <w:p w14:paraId="468500CD" w14:textId="77777777" w:rsidR="00330686" w:rsidRDefault="00000000">
            <w:pPr>
              <w:jc w:val="center"/>
            </w:pPr>
            <w:r>
              <w:t>0.231</w:t>
            </w:r>
          </w:p>
        </w:tc>
      </w:tr>
    </w:tbl>
    <w:p w14:paraId="00C97B74" w14:textId="77777777" w:rsidR="00330686" w:rsidRDefault="00000000">
      <w:pPr>
        <w:jc w:val="both"/>
      </w:pPr>
      <w:r>
        <w:rPr>
          <w:i/>
        </w:rPr>
        <w:t xml:space="preserve">Note. </w:t>
      </w:r>
      <w:r>
        <w:t>Pairwise comparisons were performed with paired t-tests. Statistical significance was set at P&lt;0.05.</w:t>
      </w:r>
    </w:p>
    <w:p w14:paraId="1DB4CFA1" w14:textId="77777777" w:rsidR="006C1A01" w:rsidRDefault="006C1A01" w:rsidP="006C1A01"/>
    <w:p w14:paraId="109AE2C8" w14:textId="401917DA" w:rsidR="00330686" w:rsidRDefault="00000000" w:rsidP="006C1A01">
      <w:r>
        <w:rPr>
          <w:b/>
        </w:rPr>
        <w:t>Table 3. Pairwise Comparisons of Y-Maze Spontaneous Alternation Scores in the Porphyromonas gingivalis Exposure Followed by Hyperbaric Oxygen Therapy Group.</w:t>
      </w:r>
    </w:p>
    <w:tbl>
      <w:tblPr>
        <w:tblStyle w:val="TableGrid"/>
        <w:tblW w:w="0" w:type="auto"/>
        <w:jc w:val="center"/>
        <w:tblLayout w:type="fixed"/>
        <w:tblLook w:val="04A0" w:firstRow="1" w:lastRow="0" w:firstColumn="1" w:lastColumn="0" w:noHBand="0" w:noVBand="1"/>
      </w:tblPr>
      <w:tblGrid>
        <w:gridCol w:w="6236"/>
        <w:gridCol w:w="2268"/>
      </w:tblGrid>
      <w:tr w:rsidR="00330686" w14:paraId="2770AF75" w14:textId="77777777">
        <w:trPr>
          <w:jc w:val="center"/>
        </w:trPr>
        <w:tc>
          <w:tcPr>
            <w:tcW w:w="6236" w:type="dxa"/>
            <w:vAlign w:val="center"/>
          </w:tcPr>
          <w:p w14:paraId="20FABC9E" w14:textId="77777777" w:rsidR="00330686" w:rsidRDefault="00000000">
            <w:pPr>
              <w:jc w:val="center"/>
            </w:pPr>
            <w:r>
              <w:rPr>
                <w:b/>
              </w:rPr>
              <w:t>Comparison</w:t>
            </w:r>
          </w:p>
        </w:tc>
        <w:tc>
          <w:tcPr>
            <w:tcW w:w="2268" w:type="dxa"/>
            <w:vAlign w:val="center"/>
          </w:tcPr>
          <w:p w14:paraId="4E22C872" w14:textId="77777777" w:rsidR="00330686" w:rsidRDefault="00000000">
            <w:pPr>
              <w:jc w:val="center"/>
            </w:pPr>
            <w:r>
              <w:rPr>
                <w:b/>
              </w:rPr>
              <w:t>P value</w:t>
            </w:r>
          </w:p>
        </w:tc>
      </w:tr>
      <w:tr w:rsidR="00330686" w14:paraId="7167295C" w14:textId="77777777">
        <w:trPr>
          <w:jc w:val="center"/>
        </w:trPr>
        <w:tc>
          <w:tcPr>
            <w:tcW w:w="6236" w:type="dxa"/>
            <w:vAlign w:val="center"/>
          </w:tcPr>
          <w:p w14:paraId="2907E084" w14:textId="77777777" w:rsidR="00330686" w:rsidRDefault="00000000">
            <w:r>
              <w:t>Baseline versus week 5</w:t>
            </w:r>
          </w:p>
        </w:tc>
        <w:tc>
          <w:tcPr>
            <w:tcW w:w="2268" w:type="dxa"/>
            <w:vAlign w:val="center"/>
          </w:tcPr>
          <w:p w14:paraId="2E3CE698" w14:textId="77777777" w:rsidR="00330686" w:rsidRDefault="00000000">
            <w:pPr>
              <w:jc w:val="center"/>
            </w:pPr>
            <w:r>
              <w:t>&lt;0.005</w:t>
            </w:r>
          </w:p>
        </w:tc>
      </w:tr>
      <w:tr w:rsidR="00330686" w14:paraId="2CAFCF3A" w14:textId="77777777">
        <w:trPr>
          <w:jc w:val="center"/>
        </w:trPr>
        <w:tc>
          <w:tcPr>
            <w:tcW w:w="6236" w:type="dxa"/>
            <w:vAlign w:val="center"/>
          </w:tcPr>
          <w:p w14:paraId="1DAAADF4" w14:textId="77777777" w:rsidR="00330686" w:rsidRDefault="00000000">
            <w:r>
              <w:t>Baseline versus week 9</w:t>
            </w:r>
          </w:p>
        </w:tc>
        <w:tc>
          <w:tcPr>
            <w:tcW w:w="2268" w:type="dxa"/>
            <w:vAlign w:val="center"/>
          </w:tcPr>
          <w:p w14:paraId="37E0231D" w14:textId="77777777" w:rsidR="00330686" w:rsidRDefault="00000000">
            <w:pPr>
              <w:jc w:val="center"/>
            </w:pPr>
            <w:r>
              <w:t>&lt;0.010</w:t>
            </w:r>
          </w:p>
        </w:tc>
      </w:tr>
      <w:tr w:rsidR="00330686" w14:paraId="7F0673B5" w14:textId="77777777">
        <w:trPr>
          <w:jc w:val="center"/>
        </w:trPr>
        <w:tc>
          <w:tcPr>
            <w:tcW w:w="6236" w:type="dxa"/>
            <w:vAlign w:val="center"/>
          </w:tcPr>
          <w:p w14:paraId="6FADA6AE" w14:textId="77777777" w:rsidR="00330686" w:rsidRDefault="00000000">
            <w:r>
              <w:t>Week 5 versus week 9</w:t>
            </w:r>
          </w:p>
        </w:tc>
        <w:tc>
          <w:tcPr>
            <w:tcW w:w="2268" w:type="dxa"/>
            <w:vAlign w:val="center"/>
          </w:tcPr>
          <w:p w14:paraId="73E04D68" w14:textId="77777777" w:rsidR="00330686" w:rsidRDefault="00000000">
            <w:pPr>
              <w:jc w:val="center"/>
            </w:pPr>
            <w:r>
              <w:t>0.041</w:t>
            </w:r>
          </w:p>
        </w:tc>
      </w:tr>
    </w:tbl>
    <w:p w14:paraId="3591DA5F" w14:textId="77777777" w:rsidR="00330686" w:rsidRDefault="00000000">
      <w:pPr>
        <w:jc w:val="both"/>
      </w:pPr>
      <w:r>
        <w:rPr>
          <w:i/>
        </w:rPr>
        <w:t xml:space="preserve">Note. </w:t>
      </w:r>
      <w:r>
        <w:t>Pairwise comparisons were performed with Wilcoxon signed-rank tests. Statistical significance was set at P&lt;0.05.</w:t>
      </w:r>
    </w:p>
    <w:sectPr w:rsidR="00330686" w:rsidSect="00034616">
      <w:footerReference w:type="default" r:id="rId8"/>
      <w:pgSz w:w="11906" w:h="16838"/>
      <w:pgMar w:top="1701" w:right="1701" w:bottom="1701"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14DFA" w14:textId="77777777" w:rsidR="00CC02EE" w:rsidRDefault="00CC02EE">
      <w:pPr>
        <w:spacing w:line="240" w:lineRule="auto"/>
      </w:pPr>
      <w:r>
        <w:separator/>
      </w:r>
    </w:p>
  </w:endnote>
  <w:endnote w:type="continuationSeparator" w:id="0">
    <w:p w14:paraId="25BA34EF" w14:textId="77777777" w:rsidR="00CC02EE" w:rsidRDefault="00CC02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F7D9" w14:textId="77777777" w:rsidR="00330686" w:rsidRDefault="00000000">
    <w:pPr>
      <w:pStyle w:val="Footer"/>
      <w:jc w:val="center"/>
    </w:pPr>
    <w:r>
      <w:fldChar w:fldCharType="begin"/>
    </w:r>
    <w:r>
      <w:instrText>PAGE</w:instrText>
    </w:r>
    <w:r w:rsidR="006C1A01">
      <w:fldChar w:fldCharType="separate"/>
    </w:r>
    <w:r w:rsidR="006C1A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6EFAE" w14:textId="77777777" w:rsidR="00CC02EE" w:rsidRDefault="00CC02EE">
      <w:pPr>
        <w:spacing w:line="240" w:lineRule="auto"/>
      </w:pPr>
      <w:r>
        <w:separator/>
      </w:r>
    </w:p>
  </w:footnote>
  <w:footnote w:type="continuationSeparator" w:id="0">
    <w:p w14:paraId="6C5DFAAF" w14:textId="77777777" w:rsidR="00CC02EE" w:rsidRDefault="00CC02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213D90"/>
    <w:multiLevelType w:val="hybridMultilevel"/>
    <w:tmpl w:val="8F7AAF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92987993">
    <w:abstractNumId w:val="8"/>
  </w:num>
  <w:num w:numId="2" w16cid:durableId="2093968197">
    <w:abstractNumId w:val="6"/>
  </w:num>
  <w:num w:numId="3" w16cid:durableId="20934997">
    <w:abstractNumId w:val="5"/>
  </w:num>
  <w:num w:numId="4" w16cid:durableId="1255940384">
    <w:abstractNumId w:val="4"/>
  </w:num>
  <w:num w:numId="5" w16cid:durableId="787311736">
    <w:abstractNumId w:val="7"/>
  </w:num>
  <w:num w:numId="6" w16cid:durableId="464933669">
    <w:abstractNumId w:val="3"/>
  </w:num>
  <w:num w:numId="7" w16cid:durableId="1108046847">
    <w:abstractNumId w:val="2"/>
  </w:num>
  <w:num w:numId="8" w16cid:durableId="1489712507">
    <w:abstractNumId w:val="1"/>
  </w:num>
  <w:num w:numId="9" w16cid:durableId="1343781986">
    <w:abstractNumId w:val="0"/>
  </w:num>
  <w:num w:numId="10" w16cid:durableId="19893587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686"/>
    <w:rsid w:val="006C1A01"/>
    <w:rsid w:val="00AA1D8D"/>
    <w:rsid w:val="00B47730"/>
    <w:rsid w:val="00CB0664"/>
    <w:rsid w:val="00CC02EE"/>
    <w:rsid w:val="00D35A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091B1"/>
  <w14:defaultImageDpi w14:val="300"/>
  <w15:docId w15:val="{FC73261E-49C3-4B76-BA8D-982529CC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3334</Words>
  <Characters>19009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Blinded Main Text for Frontiers in Dentistry</dc:title>
  <dc:subject>Original Research</dc:subject>
  <dc:creator/>
  <cp:keywords/>
  <dc:description>Prepared as blinded main text.</dc:description>
  <cp:lastModifiedBy>.</cp:lastModifiedBy>
  <cp:revision>2</cp:revision>
  <dcterms:created xsi:type="dcterms:W3CDTF">2013-12-23T23:15:00Z</dcterms:created>
  <dcterms:modified xsi:type="dcterms:W3CDTF">2026-07-04T07:18:00Z</dcterms:modified>
  <cp:category/>
</cp:coreProperties>
</file>