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C701F" w14:textId="77777777" w:rsidR="00AC37D0" w:rsidRDefault="00000000">
      <w:pPr>
        <w:spacing w:after="60"/>
        <w:jc w:val="center"/>
      </w:pPr>
      <w:r>
        <w:rPr>
          <w:b/>
          <w:sz w:val="28"/>
          <w:lang w:val="en-GB"/>
        </w:rPr>
        <w:t>Association of Glycaemic Control With Lipid Profiles Among Adults With Type 2 Diabetes Mellitus in Indonesia: A Retrospective Cross-Sectional Study</w:t>
      </w:r>
    </w:p>
    <w:p w14:paraId="14462CEE" w14:textId="77777777" w:rsidR="00AC37D0" w:rsidRDefault="00000000">
      <w:pPr>
        <w:keepNext/>
      </w:pPr>
      <w:r>
        <w:rPr>
          <w:b/>
          <w:lang w:val="en-GB"/>
        </w:rPr>
        <w:t>Abstract</w:t>
      </w:r>
    </w:p>
    <w:p w14:paraId="63366DDE" w14:textId="77777777" w:rsidR="00AC37D0" w:rsidRDefault="00000000">
      <w:pPr>
        <w:jc w:val="both"/>
      </w:pPr>
      <w:r>
        <w:rPr>
          <w:b/>
          <w:lang w:val="en-GB"/>
        </w:rPr>
        <w:t xml:space="preserve">Background: </w:t>
      </w:r>
      <w:r>
        <w:rPr>
          <w:lang w:val="en-GB"/>
        </w:rPr>
        <w:t>Dyslipidaemia commonly accompanies type 2 diabetes mellitus and adds to its cardiovascular burden. This study compared lipid profiles between adults with controlled and uncontrolled glycaemia.</w:t>
      </w:r>
    </w:p>
    <w:p w14:paraId="3A21BB76" w14:textId="77777777" w:rsidR="00AC37D0" w:rsidRDefault="00000000">
      <w:pPr>
        <w:jc w:val="both"/>
      </w:pPr>
      <w:r>
        <w:rPr>
          <w:b/>
          <w:lang w:val="en-GB"/>
        </w:rPr>
        <w:t xml:space="preserve">Methods: </w:t>
      </w:r>
      <w:r>
        <w:rPr>
          <w:lang w:val="en-GB"/>
        </w:rPr>
        <w:t>This retrospective cross-sectional study reviewed consecutive, de-identified medical records of 120 adults with type 2 diabetes mellitus treated at a tertiary care hospital in Indonesia between January 2022 and December 2023. Glycaemic control was classified as controlled (glycated haemoglobin &lt; 7%) or uncontrolled (glycated haemoglobin ≥ 7%). Total cholesterol, low-density lipoprotein cholesterol, high-density lipoprotein cholesterol, and triglycerides were compared using independent-samples t tests or the Mann-Whitney U test, as appropriate.</w:t>
      </w:r>
    </w:p>
    <w:p w14:paraId="3B21613A" w14:textId="77777777" w:rsidR="00AC37D0" w:rsidRDefault="00000000">
      <w:pPr>
        <w:jc w:val="both"/>
      </w:pPr>
      <w:r>
        <w:rPr>
          <w:b/>
          <w:lang w:val="en-GB"/>
        </w:rPr>
        <w:t xml:space="preserve">Results: </w:t>
      </w:r>
      <w:r>
        <w:rPr>
          <w:lang w:val="en-GB"/>
        </w:rPr>
        <w:t>Of 120 patients, 77 (64.2%) had uncontrolled glycaemia. The uncontrolled group had higher mean total cholesterol than the controlled group (210.86 ± 51.64 vs. 179.23 ± 43.24 mg/dL; mean difference, 31.63 mg/dL; 95% confidence interval, 13.23 to 50.03; p = 0.001). Median triglycerides were also higher (156 [range 57-828] vs. 128 [range 49-385] mg/dL; p = 0.013). Low-density lipoprotein cholesterol was numerically higher but did not differ significantly (p = 0.077), and high-density lipoprotein cholesterol was similar between groups (p = 0.585).</w:t>
      </w:r>
    </w:p>
    <w:p w14:paraId="0A9BD33A" w14:textId="77777777" w:rsidR="00AC37D0" w:rsidRDefault="00000000">
      <w:pPr>
        <w:jc w:val="both"/>
      </w:pPr>
      <w:r>
        <w:rPr>
          <w:b/>
          <w:lang w:val="en-GB"/>
        </w:rPr>
        <w:t xml:space="preserve">Conclusion: </w:t>
      </w:r>
      <w:r>
        <w:rPr>
          <w:lang w:val="en-GB"/>
        </w:rPr>
        <w:t>Uncontrolled glycaemia was associated with higher total cholesterol and triglyceride levels. Concurrent assessment of glycaemic status and lipid profiles may help identify patients who require broader cardiometabolic risk management.</w:t>
      </w:r>
    </w:p>
    <w:p w14:paraId="170313CA" w14:textId="6078920A" w:rsidR="00AC37D0" w:rsidRDefault="00000000">
      <w:pPr>
        <w:jc w:val="both"/>
      </w:pPr>
      <w:r>
        <w:rPr>
          <w:b/>
          <w:lang w:val="en-GB"/>
        </w:rPr>
        <w:t xml:space="preserve">Keywords: </w:t>
      </w:r>
      <w:r>
        <w:rPr>
          <w:lang w:val="en-GB"/>
        </w:rPr>
        <w:t xml:space="preserve">Diabetes Mellitus, Type 2; </w:t>
      </w:r>
      <w:proofErr w:type="spellStart"/>
      <w:r>
        <w:rPr>
          <w:lang w:val="en-GB"/>
        </w:rPr>
        <w:t>Hemoglobin</w:t>
      </w:r>
      <w:proofErr w:type="spellEnd"/>
      <w:r>
        <w:rPr>
          <w:lang w:val="en-GB"/>
        </w:rPr>
        <w:t xml:space="preserve"> A</w:t>
      </w:r>
      <w:r w:rsidR="00FB77D9">
        <w:rPr>
          <w:lang w:val="en-GB"/>
        </w:rPr>
        <w:t>;</w:t>
      </w:r>
      <w:r>
        <w:rPr>
          <w:lang w:val="en-GB"/>
        </w:rPr>
        <w:t xml:space="preserve"> Cholesterol; Cholesterol, LDL; Cholesterol, HDL; Triglycerides; Dyslipidemias; Cross-Sectional Studies.</w:t>
      </w:r>
    </w:p>
    <w:p w14:paraId="3E76697B" w14:textId="77777777" w:rsidR="00CE3BFC" w:rsidRDefault="00CE3BFC">
      <w:pPr>
        <w:keepNext/>
        <w:rPr>
          <w:b/>
          <w:lang w:val="en-GB"/>
        </w:rPr>
      </w:pPr>
    </w:p>
    <w:p w14:paraId="6C1AFD4E" w14:textId="029C3A54" w:rsidR="00AC37D0" w:rsidRDefault="00000000">
      <w:pPr>
        <w:keepNext/>
      </w:pPr>
      <w:r>
        <w:rPr>
          <w:b/>
          <w:lang w:val="en-GB"/>
        </w:rPr>
        <w:t>Introduction</w:t>
      </w:r>
    </w:p>
    <w:p w14:paraId="627479C4" w14:textId="77777777" w:rsidR="00AC37D0" w:rsidRDefault="00000000">
      <w:pPr>
        <w:jc w:val="both"/>
      </w:pPr>
      <w:r>
        <w:rPr>
          <w:lang w:val="en-GB"/>
        </w:rPr>
        <w:t>Type 2 diabetes mellitus (T2DM) is an important and growing public-health problem. The International Diabetes Federation estimated that approximately 19.5 million adults in Indonesia were living with diabetes in 2021, while national survey data showed that diagnosed diabetes became more common between 2013 and 2018.</w:t>
      </w:r>
      <w:r>
        <w:rPr>
          <w:vertAlign w:val="superscript"/>
          <w:lang w:val="en-GB"/>
        </w:rPr>
        <w:t>1,2</w:t>
      </w:r>
    </w:p>
    <w:p w14:paraId="29704BB7" w14:textId="77777777" w:rsidR="00AC37D0" w:rsidRDefault="00000000">
      <w:pPr>
        <w:jc w:val="both"/>
      </w:pPr>
      <w:r>
        <w:rPr>
          <w:lang w:val="en-GB"/>
        </w:rPr>
        <w:lastRenderedPageBreak/>
        <w:t>Dyslipidaemia is common in T2DM. The characteristic pattern includes raised triglycerides and triglyceride-rich remnants, reduced high-density lipoprotein cholesterol (HDL-C), and qualitative changes in low-density lipoprotein cholesterol (LDL-C) that may increase atherogenicity even when LDL-C is not markedly elevated.</w:t>
      </w:r>
      <w:r>
        <w:rPr>
          <w:vertAlign w:val="superscript"/>
          <w:lang w:val="en-GB"/>
        </w:rPr>
        <w:t>3,4,12-16</w:t>
      </w:r>
    </w:p>
    <w:p w14:paraId="54157A74" w14:textId="77777777" w:rsidR="00AC37D0" w:rsidRDefault="00000000">
      <w:pPr>
        <w:jc w:val="both"/>
      </w:pPr>
      <w:r>
        <w:rPr>
          <w:lang w:val="en-GB"/>
        </w:rPr>
        <w:t>Glycated haemoglobin (HbA1c) reflects average glycaemic exposure over the preceding months and is widely used to guide clinical management. A target below 7% is appropriate for many non-pregnant adults, although individual treatment targets should account for the person’s clinical circumstances. Lipid management is also a central part of cardiovascular risk reduction in T2DM.</w:t>
      </w:r>
      <w:r>
        <w:rPr>
          <w:vertAlign w:val="superscript"/>
          <w:lang w:val="en-GB"/>
        </w:rPr>
        <w:t>5,6</w:t>
      </w:r>
    </w:p>
    <w:p w14:paraId="57079F36" w14:textId="77777777" w:rsidR="00AC37D0" w:rsidRDefault="00000000">
      <w:pPr>
        <w:jc w:val="both"/>
      </w:pPr>
      <w:r>
        <w:rPr>
          <w:lang w:val="en-GB"/>
        </w:rPr>
        <w:t>Observational studies have reported variable associations between HbA1c and individual lipid measures. Differences in total cholesterol and triglycerides are reported more consistently than changes in HDL-C or LDL-C; however, the direction and strength of association differ across populations and care settings.</w:t>
      </w:r>
      <w:r>
        <w:rPr>
          <w:vertAlign w:val="superscript"/>
          <w:lang w:val="en-GB"/>
        </w:rPr>
        <w:t>7-9,17-20</w:t>
      </w:r>
    </w:p>
    <w:p w14:paraId="5A73CA1C" w14:textId="77777777" w:rsidR="00AC37D0" w:rsidRDefault="00000000">
      <w:pPr>
        <w:jc w:val="both"/>
      </w:pPr>
      <w:r>
        <w:rPr>
          <w:lang w:val="en-GB"/>
        </w:rPr>
        <w:t>Evidence from Indonesian hospital populations remains limited, particularly among patients who are not taking lipid-lowering therapy. This study therefore compared routinely measured lipid profiles between adults with controlled and uncontrolled T2DM in an Indonesian hospital setting.</w:t>
      </w:r>
    </w:p>
    <w:p w14:paraId="64B1D8A0" w14:textId="77777777" w:rsidR="00CE3BFC" w:rsidRDefault="00CE3BFC">
      <w:pPr>
        <w:keepNext/>
        <w:rPr>
          <w:b/>
          <w:lang w:val="en-GB"/>
        </w:rPr>
      </w:pPr>
    </w:p>
    <w:p w14:paraId="271D78CD" w14:textId="5FB959AB" w:rsidR="00AC37D0" w:rsidRDefault="00000000">
      <w:pPr>
        <w:keepNext/>
      </w:pPr>
      <w:r>
        <w:rPr>
          <w:b/>
          <w:lang w:val="en-GB"/>
        </w:rPr>
        <w:t>Methods</w:t>
      </w:r>
    </w:p>
    <w:p w14:paraId="30B02824" w14:textId="77777777" w:rsidR="00AC37D0" w:rsidRDefault="00000000">
      <w:pPr>
        <w:jc w:val="both"/>
      </w:pPr>
      <w:r>
        <w:rPr>
          <w:b/>
          <w:lang w:val="en-GB"/>
        </w:rPr>
        <w:t xml:space="preserve">Study design and setting. </w:t>
      </w:r>
      <w:r>
        <w:rPr>
          <w:lang w:val="en-GB"/>
        </w:rPr>
        <w:t>This retrospective cross-sectional study used de-identified secondary medical-record data from a tertiary care hospital in Indonesia. The source records covered January 2022 to December 2023. The report was prepared with reference to the Strengthening the Reporting of Observational Studies in Epidemiology (STROBE) statement.</w:t>
      </w:r>
      <w:r>
        <w:rPr>
          <w:vertAlign w:val="superscript"/>
          <w:lang w:val="en-GB"/>
        </w:rPr>
        <w:t>10</w:t>
      </w:r>
    </w:p>
    <w:p w14:paraId="7100B47B" w14:textId="77777777" w:rsidR="00AC37D0" w:rsidRDefault="00000000">
      <w:pPr>
        <w:jc w:val="both"/>
      </w:pPr>
      <w:r>
        <w:rPr>
          <w:b/>
          <w:lang w:val="en-GB"/>
        </w:rPr>
        <w:t xml:space="preserve">Participants and data source. </w:t>
      </w:r>
      <w:r>
        <w:rPr>
          <w:lang w:val="en-GB"/>
        </w:rPr>
        <w:t>Eligible records were selected consecutively from adults with documented T2DM who had both an HbA1c result and complete lipid-profile data. T2DM had been recorded on the basis of HbA1c ≥ 6.5% and/or fasting plasma glucose ≥ 126 mg/dL. Records were excluded if patients were receiving lipid-lowering treatment (statins, fibrates, niacin, or ezetimibe) or had chronic kidney disease, hyperthyroidism, or liver cirrhosis. A total of 120 records met the eligibility criteria and were included in the analysis.</w:t>
      </w:r>
    </w:p>
    <w:p w14:paraId="4318D6DB" w14:textId="77777777" w:rsidR="00AC37D0" w:rsidRDefault="00000000">
      <w:pPr>
        <w:jc w:val="both"/>
      </w:pPr>
      <w:r>
        <w:rPr>
          <w:b/>
          <w:lang w:val="en-GB"/>
        </w:rPr>
        <w:t xml:space="preserve">Variables. </w:t>
      </w:r>
      <w:r>
        <w:rPr>
          <w:lang w:val="en-GB"/>
        </w:rPr>
        <w:t xml:space="preserve">Glycaemic control was the exposure of interest and was categorised as controlled (HbA1c &lt; 7%) or uncontrolled (HbA1c ≥ 7%). Lipid outcomes were total cholesterol, LDL-C, </w:t>
      </w:r>
      <w:r>
        <w:rPr>
          <w:lang w:val="en-GB"/>
        </w:rPr>
        <w:lastRenderedPageBreak/>
        <w:t>HDL-C, and triglycerides, expressed in mg/dL. Age, sex, and body mass index (BMI) were extracted as descriptive characteristics. BMI was classified using Asian-specific cut-offs: underweight (&lt; 18.5 kg/m²), normal weight (18.5-22.9 kg/m²), overweight (23.0-24.9 kg/m²), obesity class I (25.0-29.9 kg/m²), and obesity class II (≥ 30.0 kg/m²).</w:t>
      </w:r>
      <w:r>
        <w:rPr>
          <w:vertAlign w:val="superscript"/>
          <w:lang w:val="en-GB"/>
        </w:rPr>
        <w:t>5,11</w:t>
      </w:r>
    </w:p>
    <w:p w14:paraId="2AF77949" w14:textId="77777777" w:rsidR="00AC37D0" w:rsidRDefault="00000000">
      <w:pPr>
        <w:jc w:val="both"/>
      </w:pPr>
      <w:r>
        <w:rPr>
          <w:b/>
          <w:lang w:val="en-GB"/>
        </w:rPr>
        <w:t xml:space="preserve">Statistical analysis. </w:t>
      </w:r>
      <w:r>
        <w:rPr>
          <w:lang w:val="en-GB"/>
        </w:rPr>
        <w:t>Analyses were performed using SPSS version 24. Normality was assessed before hypothesis testing. Normally distributed lipid parameters were presented as mean ± standard deviation (SD) and compared using independent-samples t tests. Triglycerides were presented as median (range) and compared using the Mann-Whitney U test. Categorical variables were summarised as frequencies and percentages. All tests were two-sided, and p &lt; 0.05 was considered statistically significant. Because the available records permitted only an unadjusted comparison, the results are interpreted as associations rather than causal effects.</w:t>
      </w:r>
    </w:p>
    <w:p w14:paraId="72F4A44F" w14:textId="77777777" w:rsidR="00AC37D0" w:rsidRDefault="00000000">
      <w:pPr>
        <w:jc w:val="both"/>
      </w:pPr>
      <w:r>
        <w:rPr>
          <w:b/>
          <w:lang w:val="en-GB"/>
        </w:rPr>
        <w:t xml:space="preserve">Ethical considerations. </w:t>
      </w:r>
      <w:r>
        <w:rPr>
          <w:lang w:val="en-GB"/>
        </w:rPr>
        <w:t>Ethical approval was obtained from the relevant university-based medical and health research ethics committee, and ethical eligibility for the use of hospital data was granted by the participating hospital’s health research ethics committee. The study used de-identified secondary medical-record data and involved no direct contact with participants. Patient confidentiality was maintained throughout the study.</w:t>
      </w:r>
    </w:p>
    <w:p w14:paraId="744105EA" w14:textId="77777777" w:rsidR="00CE3BFC" w:rsidRDefault="00CE3BFC">
      <w:pPr>
        <w:keepNext/>
        <w:rPr>
          <w:b/>
          <w:lang w:val="en-GB"/>
        </w:rPr>
      </w:pPr>
    </w:p>
    <w:p w14:paraId="2E504CC8" w14:textId="15D0545C" w:rsidR="00AC37D0" w:rsidRDefault="00000000">
      <w:pPr>
        <w:keepNext/>
      </w:pPr>
      <w:r>
        <w:rPr>
          <w:b/>
          <w:lang w:val="en-GB"/>
        </w:rPr>
        <w:t>Results</w:t>
      </w:r>
    </w:p>
    <w:p w14:paraId="599E65A7" w14:textId="77777777" w:rsidR="00AC37D0" w:rsidRDefault="00000000">
      <w:pPr>
        <w:jc w:val="both"/>
      </w:pPr>
      <w:r>
        <w:rPr>
          <w:lang w:val="en-GB"/>
        </w:rPr>
        <w:t>A total of 120 adults with T2DM were analysed. Most participants were aged 45-59 years (n = 62, 51.7%), female (n = 73, 60.8%), and had obesity class I (n = 49, 40.8%). Uncontrolled glycaemia was present in 77 participants (64.2%) (Table 1).</w:t>
      </w:r>
    </w:p>
    <w:p w14:paraId="2CAE9F12" w14:textId="77777777" w:rsidR="00AC37D0" w:rsidRDefault="00000000">
      <w:pPr>
        <w:keepNext/>
      </w:pPr>
      <w:r>
        <w:rPr>
          <w:b/>
          <w:lang w:val="en-GB"/>
        </w:rPr>
        <w:t>Table 1: Demographic and clinical characteristics of the study participants (N = 120).</w:t>
      </w:r>
    </w:p>
    <w:tbl>
      <w:tblPr>
        <w:tblW w:w="9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66"/>
        <w:gridCol w:w="4416"/>
      </w:tblGrid>
      <w:tr w:rsidR="00AC37D0" w14:paraId="725E57D6" w14:textId="77777777" w:rsidTr="00CE3BFC">
        <w:trPr>
          <w:cantSplit/>
          <w:tblHeader/>
          <w:jc w:val="center"/>
        </w:trPr>
        <w:tc>
          <w:tcPr>
            <w:tcW w:w="4866" w:type="dxa"/>
            <w:shd w:val="clear" w:color="auto" w:fill="D9EAD3"/>
            <w:tcMar>
              <w:top w:w="80" w:type="dxa"/>
              <w:left w:w="80" w:type="dxa"/>
              <w:bottom w:w="80" w:type="dxa"/>
              <w:right w:w="80" w:type="dxa"/>
            </w:tcMar>
            <w:vAlign w:val="center"/>
          </w:tcPr>
          <w:p w14:paraId="4219427E" w14:textId="77777777" w:rsidR="00AC37D0" w:rsidRDefault="00000000">
            <w:pPr>
              <w:spacing w:line="240" w:lineRule="auto"/>
              <w:jc w:val="center"/>
            </w:pPr>
            <w:r>
              <w:rPr>
                <w:b/>
                <w:sz w:val="22"/>
              </w:rPr>
              <w:t>Characteristic</w:t>
            </w:r>
          </w:p>
        </w:tc>
        <w:tc>
          <w:tcPr>
            <w:tcW w:w="4416" w:type="dxa"/>
            <w:shd w:val="clear" w:color="auto" w:fill="D9EAD3"/>
            <w:tcMar>
              <w:top w:w="80" w:type="dxa"/>
              <w:left w:w="80" w:type="dxa"/>
              <w:bottom w:w="80" w:type="dxa"/>
              <w:right w:w="80" w:type="dxa"/>
            </w:tcMar>
            <w:vAlign w:val="center"/>
          </w:tcPr>
          <w:p w14:paraId="5E18A427" w14:textId="77777777" w:rsidR="00AC37D0" w:rsidRDefault="00000000">
            <w:pPr>
              <w:spacing w:line="240" w:lineRule="auto"/>
              <w:jc w:val="center"/>
            </w:pPr>
            <w:r>
              <w:rPr>
                <w:b/>
                <w:sz w:val="22"/>
              </w:rPr>
              <w:t>n (%)</w:t>
            </w:r>
          </w:p>
        </w:tc>
      </w:tr>
      <w:tr w:rsidR="00AC37D0" w14:paraId="154EB9E7" w14:textId="77777777" w:rsidTr="00CE3BFC">
        <w:trPr>
          <w:cantSplit/>
          <w:jc w:val="center"/>
        </w:trPr>
        <w:tc>
          <w:tcPr>
            <w:tcW w:w="4866" w:type="dxa"/>
            <w:shd w:val="clear" w:color="auto" w:fill="F2F2F2"/>
            <w:tcMar>
              <w:top w:w="80" w:type="dxa"/>
              <w:left w:w="80" w:type="dxa"/>
              <w:bottom w:w="80" w:type="dxa"/>
              <w:right w:w="80" w:type="dxa"/>
            </w:tcMar>
            <w:vAlign w:val="center"/>
          </w:tcPr>
          <w:p w14:paraId="285CAD9F" w14:textId="77777777" w:rsidR="00AC37D0" w:rsidRDefault="00000000">
            <w:pPr>
              <w:spacing w:line="240" w:lineRule="auto"/>
            </w:pPr>
            <w:r>
              <w:rPr>
                <w:b/>
                <w:sz w:val="22"/>
              </w:rPr>
              <w:t>Age, years</w:t>
            </w:r>
          </w:p>
        </w:tc>
        <w:tc>
          <w:tcPr>
            <w:tcW w:w="4416" w:type="dxa"/>
            <w:shd w:val="clear" w:color="auto" w:fill="F2F2F2"/>
            <w:tcMar>
              <w:top w:w="80" w:type="dxa"/>
              <w:left w:w="80" w:type="dxa"/>
              <w:bottom w:w="80" w:type="dxa"/>
              <w:right w:w="80" w:type="dxa"/>
            </w:tcMar>
            <w:vAlign w:val="center"/>
          </w:tcPr>
          <w:p w14:paraId="067D706D" w14:textId="77777777" w:rsidR="00AC37D0" w:rsidRDefault="00AC37D0">
            <w:pPr>
              <w:spacing w:line="240" w:lineRule="auto"/>
              <w:jc w:val="center"/>
            </w:pPr>
          </w:p>
        </w:tc>
      </w:tr>
      <w:tr w:rsidR="00AC37D0" w14:paraId="543E2333" w14:textId="77777777" w:rsidTr="00CE3BFC">
        <w:trPr>
          <w:cantSplit/>
          <w:jc w:val="center"/>
        </w:trPr>
        <w:tc>
          <w:tcPr>
            <w:tcW w:w="4866" w:type="dxa"/>
            <w:tcMar>
              <w:top w:w="80" w:type="dxa"/>
              <w:left w:w="80" w:type="dxa"/>
              <w:bottom w:w="80" w:type="dxa"/>
              <w:right w:w="80" w:type="dxa"/>
            </w:tcMar>
            <w:vAlign w:val="center"/>
          </w:tcPr>
          <w:p w14:paraId="083E7E28" w14:textId="77777777" w:rsidR="00AC37D0" w:rsidRDefault="00000000">
            <w:pPr>
              <w:spacing w:line="240" w:lineRule="auto"/>
            </w:pPr>
            <w:r>
              <w:rPr>
                <w:sz w:val="22"/>
              </w:rPr>
              <w:t xml:space="preserve">  19-44</w:t>
            </w:r>
          </w:p>
        </w:tc>
        <w:tc>
          <w:tcPr>
            <w:tcW w:w="4416" w:type="dxa"/>
            <w:tcMar>
              <w:top w:w="80" w:type="dxa"/>
              <w:left w:w="80" w:type="dxa"/>
              <w:bottom w:w="80" w:type="dxa"/>
              <w:right w:w="80" w:type="dxa"/>
            </w:tcMar>
            <w:vAlign w:val="center"/>
          </w:tcPr>
          <w:p w14:paraId="607A7096" w14:textId="77777777" w:rsidR="00AC37D0" w:rsidRDefault="00000000">
            <w:pPr>
              <w:spacing w:line="240" w:lineRule="auto"/>
              <w:jc w:val="center"/>
            </w:pPr>
            <w:r>
              <w:rPr>
                <w:sz w:val="22"/>
              </w:rPr>
              <w:t>10 (8.3)</w:t>
            </w:r>
          </w:p>
        </w:tc>
      </w:tr>
      <w:tr w:rsidR="00AC37D0" w14:paraId="4BA5CCE0" w14:textId="77777777" w:rsidTr="00CE3BFC">
        <w:trPr>
          <w:cantSplit/>
          <w:jc w:val="center"/>
        </w:trPr>
        <w:tc>
          <w:tcPr>
            <w:tcW w:w="4866" w:type="dxa"/>
            <w:tcMar>
              <w:top w:w="80" w:type="dxa"/>
              <w:left w:w="80" w:type="dxa"/>
              <w:bottom w:w="80" w:type="dxa"/>
              <w:right w:w="80" w:type="dxa"/>
            </w:tcMar>
            <w:vAlign w:val="center"/>
          </w:tcPr>
          <w:p w14:paraId="6ED94D44" w14:textId="77777777" w:rsidR="00AC37D0" w:rsidRDefault="00000000">
            <w:pPr>
              <w:spacing w:line="240" w:lineRule="auto"/>
            </w:pPr>
            <w:r>
              <w:rPr>
                <w:sz w:val="22"/>
              </w:rPr>
              <w:t xml:space="preserve">  45-59</w:t>
            </w:r>
          </w:p>
        </w:tc>
        <w:tc>
          <w:tcPr>
            <w:tcW w:w="4416" w:type="dxa"/>
            <w:tcMar>
              <w:top w:w="80" w:type="dxa"/>
              <w:left w:w="80" w:type="dxa"/>
              <w:bottom w:w="80" w:type="dxa"/>
              <w:right w:w="80" w:type="dxa"/>
            </w:tcMar>
            <w:vAlign w:val="center"/>
          </w:tcPr>
          <w:p w14:paraId="21761F91" w14:textId="77777777" w:rsidR="00AC37D0" w:rsidRDefault="00000000">
            <w:pPr>
              <w:spacing w:line="240" w:lineRule="auto"/>
              <w:jc w:val="center"/>
            </w:pPr>
            <w:r>
              <w:rPr>
                <w:sz w:val="22"/>
              </w:rPr>
              <w:t>62 (51.7)</w:t>
            </w:r>
          </w:p>
        </w:tc>
      </w:tr>
      <w:tr w:rsidR="00AC37D0" w14:paraId="5E411462" w14:textId="77777777" w:rsidTr="00CE3BFC">
        <w:trPr>
          <w:cantSplit/>
          <w:jc w:val="center"/>
        </w:trPr>
        <w:tc>
          <w:tcPr>
            <w:tcW w:w="4866" w:type="dxa"/>
            <w:tcMar>
              <w:top w:w="80" w:type="dxa"/>
              <w:left w:w="80" w:type="dxa"/>
              <w:bottom w:w="80" w:type="dxa"/>
              <w:right w:w="80" w:type="dxa"/>
            </w:tcMar>
            <w:vAlign w:val="center"/>
          </w:tcPr>
          <w:p w14:paraId="32B186FE" w14:textId="77777777" w:rsidR="00AC37D0" w:rsidRDefault="00000000">
            <w:pPr>
              <w:spacing w:line="240" w:lineRule="auto"/>
            </w:pPr>
            <w:r>
              <w:rPr>
                <w:sz w:val="22"/>
              </w:rPr>
              <w:t xml:space="preserve">  ≥ 60</w:t>
            </w:r>
          </w:p>
        </w:tc>
        <w:tc>
          <w:tcPr>
            <w:tcW w:w="4416" w:type="dxa"/>
            <w:tcMar>
              <w:top w:w="80" w:type="dxa"/>
              <w:left w:w="80" w:type="dxa"/>
              <w:bottom w:w="80" w:type="dxa"/>
              <w:right w:w="80" w:type="dxa"/>
            </w:tcMar>
            <w:vAlign w:val="center"/>
          </w:tcPr>
          <w:p w14:paraId="5F947B0A" w14:textId="77777777" w:rsidR="00AC37D0" w:rsidRDefault="00000000">
            <w:pPr>
              <w:spacing w:line="240" w:lineRule="auto"/>
              <w:jc w:val="center"/>
            </w:pPr>
            <w:r>
              <w:rPr>
                <w:sz w:val="22"/>
              </w:rPr>
              <w:t>48 (40.0)</w:t>
            </w:r>
          </w:p>
        </w:tc>
      </w:tr>
      <w:tr w:rsidR="00AC37D0" w14:paraId="3031BE35" w14:textId="77777777" w:rsidTr="00CE3BFC">
        <w:trPr>
          <w:cantSplit/>
          <w:jc w:val="center"/>
        </w:trPr>
        <w:tc>
          <w:tcPr>
            <w:tcW w:w="4866" w:type="dxa"/>
            <w:shd w:val="clear" w:color="auto" w:fill="F2F2F2"/>
            <w:tcMar>
              <w:top w:w="80" w:type="dxa"/>
              <w:left w:w="80" w:type="dxa"/>
              <w:bottom w:w="80" w:type="dxa"/>
              <w:right w:w="80" w:type="dxa"/>
            </w:tcMar>
            <w:vAlign w:val="center"/>
          </w:tcPr>
          <w:p w14:paraId="01B7E712" w14:textId="77777777" w:rsidR="00AC37D0" w:rsidRDefault="00000000">
            <w:pPr>
              <w:spacing w:line="240" w:lineRule="auto"/>
            </w:pPr>
            <w:r>
              <w:rPr>
                <w:b/>
                <w:sz w:val="22"/>
              </w:rPr>
              <w:t>Sex</w:t>
            </w:r>
          </w:p>
        </w:tc>
        <w:tc>
          <w:tcPr>
            <w:tcW w:w="4416" w:type="dxa"/>
            <w:shd w:val="clear" w:color="auto" w:fill="F2F2F2"/>
            <w:tcMar>
              <w:top w:w="80" w:type="dxa"/>
              <w:left w:w="80" w:type="dxa"/>
              <w:bottom w:w="80" w:type="dxa"/>
              <w:right w:w="80" w:type="dxa"/>
            </w:tcMar>
            <w:vAlign w:val="center"/>
          </w:tcPr>
          <w:p w14:paraId="07284D7F" w14:textId="77777777" w:rsidR="00AC37D0" w:rsidRDefault="00AC37D0">
            <w:pPr>
              <w:spacing w:line="240" w:lineRule="auto"/>
              <w:jc w:val="center"/>
            </w:pPr>
          </w:p>
        </w:tc>
      </w:tr>
      <w:tr w:rsidR="00AC37D0" w14:paraId="2C780FEA" w14:textId="77777777" w:rsidTr="00CE3BFC">
        <w:trPr>
          <w:cantSplit/>
          <w:jc w:val="center"/>
        </w:trPr>
        <w:tc>
          <w:tcPr>
            <w:tcW w:w="4866" w:type="dxa"/>
            <w:tcMar>
              <w:top w:w="80" w:type="dxa"/>
              <w:left w:w="80" w:type="dxa"/>
              <w:bottom w:w="80" w:type="dxa"/>
              <w:right w:w="80" w:type="dxa"/>
            </w:tcMar>
            <w:vAlign w:val="center"/>
          </w:tcPr>
          <w:p w14:paraId="7F5AC325" w14:textId="77777777" w:rsidR="00AC37D0" w:rsidRDefault="00000000">
            <w:pPr>
              <w:spacing w:line="240" w:lineRule="auto"/>
            </w:pPr>
            <w:r>
              <w:rPr>
                <w:sz w:val="22"/>
              </w:rPr>
              <w:t xml:space="preserve">  Male</w:t>
            </w:r>
          </w:p>
        </w:tc>
        <w:tc>
          <w:tcPr>
            <w:tcW w:w="4416" w:type="dxa"/>
            <w:tcMar>
              <w:top w:w="80" w:type="dxa"/>
              <w:left w:w="80" w:type="dxa"/>
              <w:bottom w:w="80" w:type="dxa"/>
              <w:right w:w="80" w:type="dxa"/>
            </w:tcMar>
            <w:vAlign w:val="center"/>
          </w:tcPr>
          <w:p w14:paraId="57FD5378" w14:textId="77777777" w:rsidR="00AC37D0" w:rsidRDefault="00000000">
            <w:pPr>
              <w:spacing w:line="240" w:lineRule="auto"/>
              <w:jc w:val="center"/>
            </w:pPr>
            <w:r>
              <w:rPr>
                <w:sz w:val="22"/>
              </w:rPr>
              <w:t>47 (39.2)</w:t>
            </w:r>
          </w:p>
        </w:tc>
      </w:tr>
      <w:tr w:rsidR="00AC37D0" w14:paraId="0EBA567E" w14:textId="77777777" w:rsidTr="00CE3BFC">
        <w:trPr>
          <w:cantSplit/>
          <w:jc w:val="center"/>
        </w:trPr>
        <w:tc>
          <w:tcPr>
            <w:tcW w:w="4866" w:type="dxa"/>
            <w:tcMar>
              <w:top w:w="80" w:type="dxa"/>
              <w:left w:w="80" w:type="dxa"/>
              <w:bottom w:w="80" w:type="dxa"/>
              <w:right w:w="80" w:type="dxa"/>
            </w:tcMar>
            <w:vAlign w:val="center"/>
          </w:tcPr>
          <w:p w14:paraId="15075E60" w14:textId="77777777" w:rsidR="00AC37D0" w:rsidRDefault="00000000">
            <w:pPr>
              <w:spacing w:line="240" w:lineRule="auto"/>
            </w:pPr>
            <w:r>
              <w:rPr>
                <w:sz w:val="22"/>
              </w:rPr>
              <w:t xml:space="preserve">  Female</w:t>
            </w:r>
          </w:p>
        </w:tc>
        <w:tc>
          <w:tcPr>
            <w:tcW w:w="4416" w:type="dxa"/>
            <w:tcMar>
              <w:top w:w="80" w:type="dxa"/>
              <w:left w:w="80" w:type="dxa"/>
              <w:bottom w:w="80" w:type="dxa"/>
              <w:right w:w="80" w:type="dxa"/>
            </w:tcMar>
            <w:vAlign w:val="center"/>
          </w:tcPr>
          <w:p w14:paraId="56BC3E99" w14:textId="77777777" w:rsidR="00AC37D0" w:rsidRDefault="00000000">
            <w:pPr>
              <w:spacing w:line="240" w:lineRule="auto"/>
              <w:jc w:val="center"/>
            </w:pPr>
            <w:r>
              <w:rPr>
                <w:sz w:val="22"/>
              </w:rPr>
              <w:t>73 (60.8)</w:t>
            </w:r>
          </w:p>
        </w:tc>
      </w:tr>
      <w:tr w:rsidR="00AC37D0" w14:paraId="1B63073F" w14:textId="77777777" w:rsidTr="00CE3BFC">
        <w:trPr>
          <w:cantSplit/>
          <w:jc w:val="center"/>
        </w:trPr>
        <w:tc>
          <w:tcPr>
            <w:tcW w:w="4866" w:type="dxa"/>
            <w:shd w:val="clear" w:color="auto" w:fill="F2F2F2"/>
            <w:tcMar>
              <w:top w:w="80" w:type="dxa"/>
              <w:left w:w="80" w:type="dxa"/>
              <w:bottom w:w="80" w:type="dxa"/>
              <w:right w:w="80" w:type="dxa"/>
            </w:tcMar>
            <w:vAlign w:val="center"/>
          </w:tcPr>
          <w:p w14:paraId="1D94CA43" w14:textId="77777777" w:rsidR="00AC37D0" w:rsidRDefault="00000000">
            <w:pPr>
              <w:spacing w:line="240" w:lineRule="auto"/>
            </w:pPr>
            <w:r>
              <w:rPr>
                <w:b/>
                <w:sz w:val="22"/>
              </w:rPr>
              <w:lastRenderedPageBreak/>
              <w:t>Body mass index, kg/m²</w:t>
            </w:r>
          </w:p>
        </w:tc>
        <w:tc>
          <w:tcPr>
            <w:tcW w:w="4416" w:type="dxa"/>
            <w:shd w:val="clear" w:color="auto" w:fill="F2F2F2"/>
            <w:tcMar>
              <w:top w:w="80" w:type="dxa"/>
              <w:left w:w="80" w:type="dxa"/>
              <w:bottom w:w="80" w:type="dxa"/>
              <w:right w:w="80" w:type="dxa"/>
            </w:tcMar>
            <w:vAlign w:val="center"/>
          </w:tcPr>
          <w:p w14:paraId="70201F70" w14:textId="77777777" w:rsidR="00AC37D0" w:rsidRDefault="00AC37D0">
            <w:pPr>
              <w:spacing w:line="240" w:lineRule="auto"/>
              <w:jc w:val="center"/>
            </w:pPr>
          </w:p>
        </w:tc>
      </w:tr>
      <w:tr w:rsidR="00AC37D0" w14:paraId="5F1D945F" w14:textId="77777777" w:rsidTr="00CE3BFC">
        <w:trPr>
          <w:cantSplit/>
          <w:jc w:val="center"/>
        </w:trPr>
        <w:tc>
          <w:tcPr>
            <w:tcW w:w="4866" w:type="dxa"/>
            <w:tcMar>
              <w:top w:w="80" w:type="dxa"/>
              <w:left w:w="80" w:type="dxa"/>
              <w:bottom w:w="80" w:type="dxa"/>
              <w:right w:w="80" w:type="dxa"/>
            </w:tcMar>
            <w:vAlign w:val="center"/>
          </w:tcPr>
          <w:p w14:paraId="4119C398" w14:textId="77777777" w:rsidR="00AC37D0" w:rsidRDefault="00000000">
            <w:pPr>
              <w:spacing w:line="240" w:lineRule="auto"/>
            </w:pPr>
            <w:r>
              <w:rPr>
                <w:sz w:val="22"/>
              </w:rPr>
              <w:t xml:space="preserve">  Underweight (&lt; 18.5)</w:t>
            </w:r>
          </w:p>
        </w:tc>
        <w:tc>
          <w:tcPr>
            <w:tcW w:w="4416" w:type="dxa"/>
            <w:tcMar>
              <w:top w:w="80" w:type="dxa"/>
              <w:left w:w="80" w:type="dxa"/>
              <w:bottom w:w="80" w:type="dxa"/>
              <w:right w:w="80" w:type="dxa"/>
            </w:tcMar>
            <w:vAlign w:val="center"/>
          </w:tcPr>
          <w:p w14:paraId="1471718B" w14:textId="77777777" w:rsidR="00AC37D0" w:rsidRDefault="00000000">
            <w:pPr>
              <w:spacing w:line="240" w:lineRule="auto"/>
              <w:jc w:val="center"/>
            </w:pPr>
            <w:r>
              <w:rPr>
                <w:sz w:val="22"/>
              </w:rPr>
              <w:t>7 (5.8)</w:t>
            </w:r>
          </w:p>
        </w:tc>
      </w:tr>
      <w:tr w:rsidR="00AC37D0" w14:paraId="28FC2AD8" w14:textId="77777777" w:rsidTr="00CE3BFC">
        <w:trPr>
          <w:cantSplit/>
          <w:jc w:val="center"/>
        </w:trPr>
        <w:tc>
          <w:tcPr>
            <w:tcW w:w="4866" w:type="dxa"/>
            <w:tcMar>
              <w:top w:w="80" w:type="dxa"/>
              <w:left w:w="80" w:type="dxa"/>
              <w:bottom w:w="80" w:type="dxa"/>
              <w:right w:w="80" w:type="dxa"/>
            </w:tcMar>
            <w:vAlign w:val="center"/>
          </w:tcPr>
          <w:p w14:paraId="0CD1E72B" w14:textId="77777777" w:rsidR="00AC37D0" w:rsidRDefault="00000000">
            <w:pPr>
              <w:spacing w:line="240" w:lineRule="auto"/>
            </w:pPr>
            <w:r>
              <w:rPr>
                <w:sz w:val="22"/>
              </w:rPr>
              <w:t xml:space="preserve">  Normal weight (18.5-22.9)</w:t>
            </w:r>
          </w:p>
        </w:tc>
        <w:tc>
          <w:tcPr>
            <w:tcW w:w="4416" w:type="dxa"/>
            <w:tcMar>
              <w:top w:w="80" w:type="dxa"/>
              <w:left w:w="80" w:type="dxa"/>
              <w:bottom w:w="80" w:type="dxa"/>
              <w:right w:w="80" w:type="dxa"/>
            </w:tcMar>
            <w:vAlign w:val="center"/>
          </w:tcPr>
          <w:p w14:paraId="6B9E0A40" w14:textId="77777777" w:rsidR="00AC37D0" w:rsidRDefault="00000000">
            <w:pPr>
              <w:spacing w:line="240" w:lineRule="auto"/>
              <w:jc w:val="center"/>
            </w:pPr>
            <w:r>
              <w:rPr>
                <w:sz w:val="22"/>
              </w:rPr>
              <w:t>14 (11.7)</w:t>
            </w:r>
          </w:p>
        </w:tc>
      </w:tr>
      <w:tr w:rsidR="00AC37D0" w14:paraId="7777E379" w14:textId="77777777" w:rsidTr="00CE3BFC">
        <w:trPr>
          <w:cantSplit/>
          <w:jc w:val="center"/>
        </w:trPr>
        <w:tc>
          <w:tcPr>
            <w:tcW w:w="4866" w:type="dxa"/>
            <w:tcMar>
              <w:top w:w="80" w:type="dxa"/>
              <w:left w:w="80" w:type="dxa"/>
              <w:bottom w:w="80" w:type="dxa"/>
              <w:right w:w="80" w:type="dxa"/>
            </w:tcMar>
            <w:vAlign w:val="center"/>
          </w:tcPr>
          <w:p w14:paraId="6D046207" w14:textId="77777777" w:rsidR="00AC37D0" w:rsidRDefault="00000000">
            <w:pPr>
              <w:spacing w:line="240" w:lineRule="auto"/>
            </w:pPr>
            <w:r>
              <w:rPr>
                <w:sz w:val="22"/>
              </w:rPr>
              <w:t xml:space="preserve">  Overweight (23.0-24.9)</w:t>
            </w:r>
          </w:p>
        </w:tc>
        <w:tc>
          <w:tcPr>
            <w:tcW w:w="4416" w:type="dxa"/>
            <w:tcMar>
              <w:top w:w="80" w:type="dxa"/>
              <w:left w:w="80" w:type="dxa"/>
              <w:bottom w:w="80" w:type="dxa"/>
              <w:right w:w="80" w:type="dxa"/>
            </w:tcMar>
            <w:vAlign w:val="center"/>
          </w:tcPr>
          <w:p w14:paraId="5C31A445" w14:textId="77777777" w:rsidR="00AC37D0" w:rsidRDefault="00000000">
            <w:pPr>
              <w:spacing w:line="240" w:lineRule="auto"/>
              <w:jc w:val="center"/>
            </w:pPr>
            <w:r>
              <w:rPr>
                <w:sz w:val="22"/>
              </w:rPr>
              <w:t>24 (20.0)</w:t>
            </w:r>
          </w:p>
        </w:tc>
      </w:tr>
      <w:tr w:rsidR="00AC37D0" w14:paraId="2A36E69A" w14:textId="77777777" w:rsidTr="00CE3BFC">
        <w:trPr>
          <w:cantSplit/>
          <w:jc w:val="center"/>
        </w:trPr>
        <w:tc>
          <w:tcPr>
            <w:tcW w:w="4866" w:type="dxa"/>
            <w:tcMar>
              <w:top w:w="80" w:type="dxa"/>
              <w:left w:w="80" w:type="dxa"/>
              <w:bottom w:w="80" w:type="dxa"/>
              <w:right w:w="80" w:type="dxa"/>
            </w:tcMar>
            <w:vAlign w:val="center"/>
          </w:tcPr>
          <w:p w14:paraId="4D5E9530" w14:textId="77777777" w:rsidR="00AC37D0" w:rsidRDefault="00000000">
            <w:pPr>
              <w:spacing w:line="240" w:lineRule="auto"/>
            </w:pPr>
            <w:r>
              <w:rPr>
                <w:sz w:val="22"/>
              </w:rPr>
              <w:t xml:space="preserve">  Obesity class I (25.0-29.9)</w:t>
            </w:r>
          </w:p>
        </w:tc>
        <w:tc>
          <w:tcPr>
            <w:tcW w:w="4416" w:type="dxa"/>
            <w:tcMar>
              <w:top w:w="80" w:type="dxa"/>
              <w:left w:w="80" w:type="dxa"/>
              <w:bottom w:w="80" w:type="dxa"/>
              <w:right w:w="80" w:type="dxa"/>
            </w:tcMar>
            <w:vAlign w:val="center"/>
          </w:tcPr>
          <w:p w14:paraId="408E3292" w14:textId="77777777" w:rsidR="00AC37D0" w:rsidRDefault="00000000">
            <w:pPr>
              <w:spacing w:line="240" w:lineRule="auto"/>
              <w:jc w:val="center"/>
            </w:pPr>
            <w:r>
              <w:rPr>
                <w:sz w:val="22"/>
              </w:rPr>
              <w:t>49 (40.8)</w:t>
            </w:r>
          </w:p>
        </w:tc>
      </w:tr>
      <w:tr w:rsidR="00AC37D0" w14:paraId="095DB0A9" w14:textId="77777777" w:rsidTr="00CE3BFC">
        <w:trPr>
          <w:cantSplit/>
          <w:jc w:val="center"/>
        </w:trPr>
        <w:tc>
          <w:tcPr>
            <w:tcW w:w="4866" w:type="dxa"/>
            <w:tcMar>
              <w:top w:w="80" w:type="dxa"/>
              <w:left w:w="80" w:type="dxa"/>
              <w:bottom w:w="80" w:type="dxa"/>
              <w:right w:w="80" w:type="dxa"/>
            </w:tcMar>
            <w:vAlign w:val="center"/>
          </w:tcPr>
          <w:p w14:paraId="17397A70" w14:textId="77777777" w:rsidR="00AC37D0" w:rsidRDefault="00000000">
            <w:pPr>
              <w:spacing w:line="240" w:lineRule="auto"/>
            </w:pPr>
            <w:r>
              <w:rPr>
                <w:sz w:val="22"/>
              </w:rPr>
              <w:t xml:space="preserve">  Obesity class II (≥ 30.0)</w:t>
            </w:r>
          </w:p>
        </w:tc>
        <w:tc>
          <w:tcPr>
            <w:tcW w:w="4416" w:type="dxa"/>
            <w:tcMar>
              <w:top w:w="80" w:type="dxa"/>
              <w:left w:w="80" w:type="dxa"/>
              <w:bottom w:w="80" w:type="dxa"/>
              <w:right w:w="80" w:type="dxa"/>
            </w:tcMar>
            <w:vAlign w:val="center"/>
          </w:tcPr>
          <w:p w14:paraId="131AE206" w14:textId="77777777" w:rsidR="00AC37D0" w:rsidRDefault="00000000">
            <w:pPr>
              <w:spacing w:line="240" w:lineRule="auto"/>
              <w:jc w:val="center"/>
            </w:pPr>
            <w:r>
              <w:rPr>
                <w:sz w:val="22"/>
              </w:rPr>
              <w:t>26 (21.7)</w:t>
            </w:r>
          </w:p>
        </w:tc>
      </w:tr>
      <w:tr w:rsidR="00AC37D0" w14:paraId="28E875C6" w14:textId="77777777" w:rsidTr="00CE3BFC">
        <w:trPr>
          <w:cantSplit/>
          <w:jc w:val="center"/>
        </w:trPr>
        <w:tc>
          <w:tcPr>
            <w:tcW w:w="4866" w:type="dxa"/>
            <w:shd w:val="clear" w:color="auto" w:fill="F2F2F2"/>
            <w:tcMar>
              <w:top w:w="80" w:type="dxa"/>
              <w:left w:w="80" w:type="dxa"/>
              <w:bottom w:w="80" w:type="dxa"/>
              <w:right w:w="80" w:type="dxa"/>
            </w:tcMar>
            <w:vAlign w:val="center"/>
          </w:tcPr>
          <w:p w14:paraId="6A4F0AE0" w14:textId="77777777" w:rsidR="00AC37D0" w:rsidRDefault="00000000">
            <w:pPr>
              <w:spacing w:line="240" w:lineRule="auto"/>
            </w:pPr>
            <w:r>
              <w:rPr>
                <w:b/>
                <w:sz w:val="22"/>
              </w:rPr>
              <w:t>Glycaemic control</w:t>
            </w:r>
          </w:p>
        </w:tc>
        <w:tc>
          <w:tcPr>
            <w:tcW w:w="4416" w:type="dxa"/>
            <w:shd w:val="clear" w:color="auto" w:fill="F2F2F2"/>
            <w:tcMar>
              <w:top w:w="80" w:type="dxa"/>
              <w:left w:w="80" w:type="dxa"/>
              <w:bottom w:w="80" w:type="dxa"/>
              <w:right w:w="80" w:type="dxa"/>
            </w:tcMar>
            <w:vAlign w:val="center"/>
          </w:tcPr>
          <w:p w14:paraId="75611827" w14:textId="77777777" w:rsidR="00AC37D0" w:rsidRDefault="00AC37D0">
            <w:pPr>
              <w:spacing w:line="240" w:lineRule="auto"/>
              <w:jc w:val="center"/>
            </w:pPr>
          </w:p>
        </w:tc>
      </w:tr>
      <w:tr w:rsidR="00AC37D0" w14:paraId="32FC0DA0" w14:textId="77777777" w:rsidTr="00CE3BFC">
        <w:trPr>
          <w:cantSplit/>
          <w:jc w:val="center"/>
        </w:trPr>
        <w:tc>
          <w:tcPr>
            <w:tcW w:w="4866" w:type="dxa"/>
            <w:tcMar>
              <w:top w:w="80" w:type="dxa"/>
              <w:left w:w="80" w:type="dxa"/>
              <w:bottom w:w="80" w:type="dxa"/>
              <w:right w:w="80" w:type="dxa"/>
            </w:tcMar>
            <w:vAlign w:val="center"/>
          </w:tcPr>
          <w:p w14:paraId="78FAEC17" w14:textId="77777777" w:rsidR="00AC37D0" w:rsidRDefault="00000000">
            <w:pPr>
              <w:spacing w:line="240" w:lineRule="auto"/>
            </w:pPr>
            <w:r>
              <w:rPr>
                <w:sz w:val="22"/>
              </w:rPr>
              <w:t xml:space="preserve">  Controlled (HbA1c &lt; 7%)</w:t>
            </w:r>
          </w:p>
        </w:tc>
        <w:tc>
          <w:tcPr>
            <w:tcW w:w="4416" w:type="dxa"/>
            <w:tcMar>
              <w:top w:w="80" w:type="dxa"/>
              <w:left w:w="80" w:type="dxa"/>
              <w:bottom w:w="80" w:type="dxa"/>
              <w:right w:w="80" w:type="dxa"/>
            </w:tcMar>
            <w:vAlign w:val="center"/>
          </w:tcPr>
          <w:p w14:paraId="4D403347" w14:textId="77777777" w:rsidR="00AC37D0" w:rsidRDefault="00000000">
            <w:pPr>
              <w:spacing w:line="240" w:lineRule="auto"/>
              <w:jc w:val="center"/>
            </w:pPr>
            <w:r>
              <w:rPr>
                <w:sz w:val="22"/>
              </w:rPr>
              <w:t>43 (35.8)</w:t>
            </w:r>
          </w:p>
        </w:tc>
      </w:tr>
      <w:tr w:rsidR="00AC37D0" w14:paraId="2E037B19" w14:textId="77777777" w:rsidTr="00CE3BFC">
        <w:trPr>
          <w:cantSplit/>
          <w:jc w:val="center"/>
        </w:trPr>
        <w:tc>
          <w:tcPr>
            <w:tcW w:w="4866" w:type="dxa"/>
            <w:tcMar>
              <w:top w:w="80" w:type="dxa"/>
              <w:left w:w="80" w:type="dxa"/>
              <w:bottom w:w="80" w:type="dxa"/>
              <w:right w:w="80" w:type="dxa"/>
            </w:tcMar>
            <w:vAlign w:val="center"/>
          </w:tcPr>
          <w:p w14:paraId="0AA37D02" w14:textId="77777777" w:rsidR="00AC37D0" w:rsidRDefault="00000000">
            <w:pPr>
              <w:spacing w:line="240" w:lineRule="auto"/>
            </w:pPr>
            <w:r>
              <w:rPr>
                <w:sz w:val="22"/>
              </w:rPr>
              <w:t xml:space="preserve">  Uncontrolled (HbA1c ≥ 7%)</w:t>
            </w:r>
          </w:p>
        </w:tc>
        <w:tc>
          <w:tcPr>
            <w:tcW w:w="4416" w:type="dxa"/>
            <w:tcMar>
              <w:top w:w="80" w:type="dxa"/>
              <w:left w:w="80" w:type="dxa"/>
              <w:bottom w:w="80" w:type="dxa"/>
              <w:right w:w="80" w:type="dxa"/>
            </w:tcMar>
            <w:vAlign w:val="center"/>
          </w:tcPr>
          <w:p w14:paraId="3CFF6CF3" w14:textId="77777777" w:rsidR="00AC37D0" w:rsidRDefault="00000000">
            <w:pPr>
              <w:spacing w:line="240" w:lineRule="auto"/>
              <w:jc w:val="center"/>
            </w:pPr>
            <w:r>
              <w:rPr>
                <w:sz w:val="22"/>
              </w:rPr>
              <w:t>77 (64.2)</w:t>
            </w:r>
          </w:p>
        </w:tc>
      </w:tr>
    </w:tbl>
    <w:p w14:paraId="5696393C" w14:textId="77777777" w:rsidR="00AC37D0" w:rsidRDefault="00000000">
      <w:r>
        <w:rPr>
          <w:sz w:val="22"/>
          <w:lang w:val="en-GB"/>
        </w:rPr>
        <w:t>HbA1c: glycated haemoglobin.</w:t>
      </w:r>
    </w:p>
    <w:p w14:paraId="5C1E93C1" w14:textId="77777777" w:rsidR="00AC37D0" w:rsidRDefault="00000000">
      <w:pPr>
        <w:jc w:val="both"/>
      </w:pPr>
      <w:r>
        <w:rPr>
          <w:lang w:val="en-GB"/>
        </w:rPr>
        <w:t>Total cholesterol and triglyceride levels were higher in the uncontrolled group (Table 2). LDL-C was numerically higher in the uncontrolled group, but the difference was not statistically significant. HDL-C did not differ significantly between groups.</w:t>
      </w:r>
    </w:p>
    <w:p w14:paraId="1C172E9A" w14:textId="77777777" w:rsidR="00AC37D0" w:rsidRDefault="00000000">
      <w:pPr>
        <w:keepNext/>
      </w:pPr>
      <w:r>
        <w:rPr>
          <w:b/>
          <w:lang w:val="en-GB"/>
        </w:rPr>
        <w:t>Table 2: Lipid profiles according to glycaemic-control status.</w:t>
      </w:r>
    </w:p>
    <w:tbl>
      <w:tblPr>
        <w:tblW w:w="92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8"/>
        <w:gridCol w:w="1872"/>
        <w:gridCol w:w="1872"/>
        <w:gridCol w:w="1872"/>
        <w:gridCol w:w="1758"/>
      </w:tblGrid>
      <w:tr w:rsidR="00AC37D0" w14:paraId="1D292F79" w14:textId="77777777" w:rsidTr="00CE3BFC">
        <w:trPr>
          <w:cantSplit/>
          <w:tblHeader/>
          <w:jc w:val="center"/>
        </w:trPr>
        <w:tc>
          <w:tcPr>
            <w:tcW w:w="1868" w:type="dxa"/>
            <w:shd w:val="clear" w:color="auto" w:fill="D9EAD3"/>
            <w:tcMar>
              <w:top w:w="80" w:type="dxa"/>
              <w:left w:w="80" w:type="dxa"/>
              <w:bottom w:w="80" w:type="dxa"/>
              <w:right w:w="80" w:type="dxa"/>
            </w:tcMar>
            <w:vAlign w:val="center"/>
          </w:tcPr>
          <w:p w14:paraId="40639B78" w14:textId="77777777" w:rsidR="00AC37D0" w:rsidRDefault="00000000">
            <w:pPr>
              <w:spacing w:line="240" w:lineRule="auto"/>
              <w:jc w:val="center"/>
            </w:pPr>
            <w:r>
              <w:rPr>
                <w:b/>
                <w:sz w:val="22"/>
              </w:rPr>
              <w:t>Lipid profile</w:t>
            </w:r>
          </w:p>
        </w:tc>
        <w:tc>
          <w:tcPr>
            <w:tcW w:w="1872" w:type="dxa"/>
            <w:shd w:val="clear" w:color="auto" w:fill="D9EAD3"/>
            <w:tcMar>
              <w:top w:w="80" w:type="dxa"/>
              <w:left w:w="80" w:type="dxa"/>
              <w:bottom w:w="80" w:type="dxa"/>
              <w:right w:w="80" w:type="dxa"/>
            </w:tcMar>
            <w:vAlign w:val="center"/>
          </w:tcPr>
          <w:p w14:paraId="4850160C" w14:textId="77777777" w:rsidR="00AC37D0" w:rsidRDefault="00000000">
            <w:pPr>
              <w:spacing w:line="240" w:lineRule="auto"/>
              <w:jc w:val="center"/>
            </w:pPr>
            <w:r>
              <w:rPr>
                <w:b/>
                <w:sz w:val="22"/>
              </w:rPr>
              <w:t>Controlled</w:t>
            </w:r>
            <w:r>
              <w:rPr>
                <w:b/>
                <w:sz w:val="22"/>
              </w:rPr>
              <w:br/>
              <w:t>(n = 43)</w:t>
            </w:r>
          </w:p>
        </w:tc>
        <w:tc>
          <w:tcPr>
            <w:tcW w:w="1872" w:type="dxa"/>
            <w:shd w:val="clear" w:color="auto" w:fill="D9EAD3"/>
            <w:tcMar>
              <w:top w:w="80" w:type="dxa"/>
              <w:left w:w="80" w:type="dxa"/>
              <w:bottom w:w="80" w:type="dxa"/>
              <w:right w:w="80" w:type="dxa"/>
            </w:tcMar>
            <w:vAlign w:val="center"/>
          </w:tcPr>
          <w:p w14:paraId="436AA0D4" w14:textId="77777777" w:rsidR="00AC37D0" w:rsidRDefault="00000000">
            <w:pPr>
              <w:spacing w:line="240" w:lineRule="auto"/>
              <w:jc w:val="center"/>
            </w:pPr>
            <w:r>
              <w:rPr>
                <w:b/>
                <w:sz w:val="22"/>
              </w:rPr>
              <w:t>Uncontrolled</w:t>
            </w:r>
            <w:r>
              <w:rPr>
                <w:b/>
                <w:sz w:val="22"/>
              </w:rPr>
              <w:br/>
              <w:t>(n = 77)</w:t>
            </w:r>
          </w:p>
        </w:tc>
        <w:tc>
          <w:tcPr>
            <w:tcW w:w="1872" w:type="dxa"/>
            <w:shd w:val="clear" w:color="auto" w:fill="D9EAD3"/>
            <w:tcMar>
              <w:top w:w="80" w:type="dxa"/>
              <w:left w:w="80" w:type="dxa"/>
              <w:bottom w:w="80" w:type="dxa"/>
              <w:right w:w="80" w:type="dxa"/>
            </w:tcMar>
            <w:vAlign w:val="center"/>
          </w:tcPr>
          <w:p w14:paraId="6CA8B004" w14:textId="77777777" w:rsidR="00AC37D0" w:rsidRDefault="00000000">
            <w:pPr>
              <w:spacing w:line="240" w:lineRule="auto"/>
              <w:jc w:val="center"/>
            </w:pPr>
            <w:r>
              <w:rPr>
                <w:b/>
                <w:sz w:val="22"/>
              </w:rPr>
              <w:t>Difference</w:t>
            </w:r>
            <w:r>
              <w:rPr>
                <w:b/>
                <w:sz w:val="22"/>
              </w:rPr>
              <w:br/>
              <w:t>(95% CI)</w:t>
            </w:r>
          </w:p>
        </w:tc>
        <w:tc>
          <w:tcPr>
            <w:tcW w:w="1758" w:type="dxa"/>
            <w:shd w:val="clear" w:color="auto" w:fill="D9EAD3"/>
            <w:tcMar>
              <w:top w:w="80" w:type="dxa"/>
              <w:left w:w="80" w:type="dxa"/>
              <w:bottom w:w="80" w:type="dxa"/>
              <w:right w:w="80" w:type="dxa"/>
            </w:tcMar>
            <w:vAlign w:val="center"/>
          </w:tcPr>
          <w:p w14:paraId="1E7582D7" w14:textId="77777777" w:rsidR="00AC37D0" w:rsidRDefault="00000000">
            <w:pPr>
              <w:spacing w:line="240" w:lineRule="auto"/>
              <w:jc w:val="center"/>
            </w:pPr>
            <w:r>
              <w:rPr>
                <w:b/>
                <w:sz w:val="22"/>
              </w:rPr>
              <w:t>p-value</w:t>
            </w:r>
          </w:p>
        </w:tc>
      </w:tr>
      <w:tr w:rsidR="00AC37D0" w14:paraId="2C7CD830" w14:textId="77777777" w:rsidTr="00CE3BFC">
        <w:trPr>
          <w:cantSplit/>
          <w:jc w:val="center"/>
        </w:trPr>
        <w:tc>
          <w:tcPr>
            <w:tcW w:w="1868" w:type="dxa"/>
            <w:tcMar>
              <w:top w:w="80" w:type="dxa"/>
              <w:left w:w="80" w:type="dxa"/>
              <w:bottom w:w="80" w:type="dxa"/>
              <w:right w:w="80" w:type="dxa"/>
            </w:tcMar>
            <w:vAlign w:val="center"/>
          </w:tcPr>
          <w:p w14:paraId="500F05BB" w14:textId="77777777" w:rsidR="00AC37D0" w:rsidRDefault="00000000">
            <w:pPr>
              <w:spacing w:line="240" w:lineRule="auto"/>
            </w:pPr>
            <w:r>
              <w:rPr>
                <w:sz w:val="22"/>
              </w:rPr>
              <w:t>LDL-C, mg/dL</w:t>
            </w:r>
          </w:p>
        </w:tc>
        <w:tc>
          <w:tcPr>
            <w:tcW w:w="1872" w:type="dxa"/>
            <w:tcMar>
              <w:top w:w="80" w:type="dxa"/>
              <w:left w:w="80" w:type="dxa"/>
              <w:bottom w:w="80" w:type="dxa"/>
              <w:right w:w="80" w:type="dxa"/>
            </w:tcMar>
            <w:vAlign w:val="center"/>
          </w:tcPr>
          <w:p w14:paraId="6B5BA96D" w14:textId="77777777" w:rsidR="00AC37D0" w:rsidRDefault="00000000">
            <w:pPr>
              <w:spacing w:line="240" w:lineRule="auto"/>
              <w:jc w:val="center"/>
            </w:pPr>
            <w:r>
              <w:rPr>
                <w:sz w:val="22"/>
              </w:rPr>
              <w:t>109.70 ± 38.66</w:t>
            </w:r>
          </w:p>
        </w:tc>
        <w:tc>
          <w:tcPr>
            <w:tcW w:w="1872" w:type="dxa"/>
            <w:tcMar>
              <w:top w:w="80" w:type="dxa"/>
              <w:left w:w="80" w:type="dxa"/>
              <w:bottom w:w="80" w:type="dxa"/>
              <w:right w:w="80" w:type="dxa"/>
            </w:tcMar>
            <w:vAlign w:val="center"/>
          </w:tcPr>
          <w:p w14:paraId="367FBA47" w14:textId="77777777" w:rsidR="00AC37D0" w:rsidRDefault="00000000">
            <w:pPr>
              <w:spacing w:line="240" w:lineRule="auto"/>
              <w:jc w:val="center"/>
            </w:pPr>
            <w:r>
              <w:rPr>
                <w:sz w:val="22"/>
              </w:rPr>
              <w:t>122.62 ± 37.72</w:t>
            </w:r>
          </w:p>
        </w:tc>
        <w:tc>
          <w:tcPr>
            <w:tcW w:w="1872" w:type="dxa"/>
            <w:tcMar>
              <w:top w:w="80" w:type="dxa"/>
              <w:left w:w="80" w:type="dxa"/>
              <w:bottom w:w="80" w:type="dxa"/>
              <w:right w:w="80" w:type="dxa"/>
            </w:tcMar>
            <w:vAlign w:val="center"/>
          </w:tcPr>
          <w:p w14:paraId="5D19FD0C" w14:textId="77777777" w:rsidR="00AC37D0" w:rsidRDefault="00000000">
            <w:pPr>
              <w:spacing w:line="240" w:lineRule="auto"/>
              <w:jc w:val="center"/>
            </w:pPr>
            <w:r>
              <w:rPr>
                <w:sz w:val="22"/>
              </w:rPr>
              <w:t>12.92</w:t>
            </w:r>
            <w:r>
              <w:rPr>
                <w:sz w:val="22"/>
              </w:rPr>
              <w:br/>
              <w:t>(-1.43 to 27.27)</w:t>
            </w:r>
          </w:p>
        </w:tc>
        <w:tc>
          <w:tcPr>
            <w:tcW w:w="1758" w:type="dxa"/>
            <w:tcMar>
              <w:top w:w="80" w:type="dxa"/>
              <w:left w:w="80" w:type="dxa"/>
              <w:bottom w:w="80" w:type="dxa"/>
              <w:right w:w="80" w:type="dxa"/>
            </w:tcMar>
            <w:vAlign w:val="center"/>
          </w:tcPr>
          <w:p w14:paraId="490DAB99" w14:textId="77777777" w:rsidR="00AC37D0" w:rsidRDefault="00000000">
            <w:pPr>
              <w:spacing w:line="240" w:lineRule="auto"/>
              <w:jc w:val="center"/>
            </w:pPr>
            <w:r>
              <w:rPr>
                <w:sz w:val="22"/>
              </w:rPr>
              <w:t>0.077</w:t>
            </w:r>
            <w:r>
              <w:rPr>
                <w:sz w:val="22"/>
                <w:vertAlign w:val="superscript"/>
              </w:rPr>
              <w:t>a</w:t>
            </w:r>
          </w:p>
        </w:tc>
      </w:tr>
      <w:tr w:rsidR="00AC37D0" w14:paraId="6BF2AB71" w14:textId="77777777" w:rsidTr="00CE3BFC">
        <w:trPr>
          <w:cantSplit/>
          <w:jc w:val="center"/>
        </w:trPr>
        <w:tc>
          <w:tcPr>
            <w:tcW w:w="1868" w:type="dxa"/>
            <w:tcMar>
              <w:top w:w="80" w:type="dxa"/>
              <w:left w:w="80" w:type="dxa"/>
              <w:bottom w:w="80" w:type="dxa"/>
              <w:right w:w="80" w:type="dxa"/>
            </w:tcMar>
            <w:vAlign w:val="center"/>
          </w:tcPr>
          <w:p w14:paraId="4C7E677A" w14:textId="77777777" w:rsidR="00AC37D0" w:rsidRDefault="00000000">
            <w:pPr>
              <w:spacing w:line="240" w:lineRule="auto"/>
            </w:pPr>
            <w:r>
              <w:rPr>
                <w:sz w:val="22"/>
              </w:rPr>
              <w:t>HDL-C, mg/dL</w:t>
            </w:r>
          </w:p>
        </w:tc>
        <w:tc>
          <w:tcPr>
            <w:tcW w:w="1872" w:type="dxa"/>
            <w:tcMar>
              <w:top w:w="80" w:type="dxa"/>
              <w:left w:w="80" w:type="dxa"/>
              <w:bottom w:w="80" w:type="dxa"/>
              <w:right w:w="80" w:type="dxa"/>
            </w:tcMar>
            <w:vAlign w:val="center"/>
          </w:tcPr>
          <w:p w14:paraId="28549C72" w14:textId="77777777" w:rsidR="00AC37D0" w:rsidRDefault="00000000">
            <w:pPr>
              <w:spacing w:line="240" w:lineRule="auto"/>
              <w:jc w:val="center"/>
            </w:pPr>
            <w:r>
              <w:rPr>
                <w:sz w:val="22"/>
              </w:rPr>
              <w:t>45.86 ± 13.66</w:t>
            </w:r>
          </w:p>
        </w:tc>
        <w:tc>
          <w:tcPr>
            <w:tcW w:w="1872" w:type="dxa"/>
            <w:tcMar>
              <w:top w:w="80" w:type="dxa"/>
              <w:left w:w="80" w:type="dxa"/>
              <w:bottom w:w="80" w:type="dxa"/>
              <w:right w:w="80" w:type="dxa"/>
            </w:tcMar>
            <w:vAlign w:val="center"/>
          </w:tcPr>
          <w:p w14:paraId="5102952F" w14:textId="77777777" w:rsidR="00AC37D0" w:rsidRDefault="00000000">
            <w:pPr>
              <w:spacing w:line="240" w:lineRule="auto"/>
              <w:jc w:val="center"/>
            </w:pPr>
            <w:r>
              <w:rPr>
                <w:sz w:val="22"/>
              </w:rPr>
              <w:t>47.29 ± 13.68</w:t>
            </w:r>
          </w:p>
        </w:tc>
        <w:tc>
          <w:tcPr>
            <w:tcW w:w="1872" w:type="dxa"/>
            <w:tcMar>
              <w:top w:w="80" w:type="dxa"/>
              <w:left w:w="80" w:type="dxa"/>
              <w:bottom w:w="80" w:type="dxa"/>
              <w:right w:w="80" w:type="dxa"/>
            </w:tcMar>
            <w:vAlign w:val="center"/>
          </w:tcPr>
          <w:p w14:paraId="6B2208C2" w14:textId="77777777" w:rsidR="00AC37D0" w:rsidRDefault="00000000">
            <w:pPr>
              <w:spacing w:line="240" w:lineRule="auto"/>
              <w:jc w:val="center"/>
            </w:pPr>
            <w:r>
              <w:rPr>
                <w:sz w:val="22"/>
              </w:rPr>
              <w:t>1.43</w:t>
            </w:r>
            <w:r>
              <w:rPr>
                <w:sz w:val="22"/>
              </w:rPr>
              <w:br/>
              <w:t>(-3.72 to 6.58)</w:t>
            </w:r>
          </w:p>
        </w:tc>
        <w:tc>
          <w:tcPr>
            <w:tcW w:w="1758" w:type="dxa"/>
            <w:tcMar>
              <w:top w:w="80" w:type="dxa"/>
              <w:left w:w="80" w:type="dxa"/>
              <w:bottom w:w="80" w:type="dxa"/>
              <w:right w:w="80" w:type="dxa"/>
            </w:tcMar>
            <w:vAlign w:val="center"/>
          </w:tcPr>
          <w:p w14:paraId="13B6EEC5" w14:textId="77777777" w:rsidR="00AC37D0" w:rsidRDefault="00000000">
            <w:pPr>
              <w:spacing w:line="240" w:lineRule="auto"/>
              <w:jc w:val="center"/>
            </w:pPr>
            <w:r>
              <w:rPr>
                <w:sz w:val="22"/>
              </w:rPr>
              <w:t>0.585</w:t>
            </w:r>
            <w:r>
              <w:rPr>
                <w:sz w:val="22"/>
                <w:vertAlign w:val="superscript"/>
              </w:rPr>
              <w:t>a</w:t>
            </w:r>
          </w:p>
        </w:tc>
      </w:tr>
      <w:tr w:rsidR="00AC37D0" w14:paraId="12D3B7A6" w14:textId="77777777" w:rsidTr="00CE3BFC">
        <w:trPr>
          <w:cantSplit/>
          <w:jc w:val="center"/>
        </w:trPr>
        <w:tc>
          <w:tcPr>
            <w:tcW w:w="1868" w:type="dxa"/>
            <w:tcMar>
              <w:top w:w="80" w:type="dxa"/>
              <w:left w:w="80" w:type="dxa"/>
              <w:bottom w:w="80" w:type="dxa"/>
              <w:right w:w="80" w:type="dxa"/>
            </w:tcMar>
            <w:vAlign w:val="center"/>
          </w:tcPr>
          <w:p w14:paraId="57A810E0" w14:textId="77777777" w:rsidR="00AC37D0" w:rsidRDefault="00000000">
            <w:pPr>
              <w:spacing w:line="240" w:lineRule="auto"/>
            </w:pPr>
            <w:r>
              <w:rPr>
                <w:sz w:val="22"/>
              </w:rPr>
              <w:t>Total cholesterol, mg/dL</w:t>
            </w:r>
          </w:p>
        </w:tc>
        <w:tc>
          <w:tcPr>
            <w:tcW w:w="1872" w:type="dxa"/>
            <w:tcMar>
              <w:top w:w="80" w:type="dxa"/>
              <w:left w:w="80" w:type="dxa"/>
              <w:bottom w:w="80" w:type="dxa"/>
              <w:right w:w="80" w:type="dxa"/>
            </w:tcMar>
            <w:vAlign w:val="center"/>
          </w:tcPr>
          <w:p w14:paraId="659C40E8" w14:textId="77777777" w:rsidR="00AC37D0" w:rsidRDefault="00000000">
            <w:pPr>
              <w:spacing w:line="240" w:lineRule="auto"/>
              <w:jc w:val="center"/>
            </w:pPr>
            <w:r>
              <w:rPr>
                <w:sz w:val="22"/>
              </w:rPr>
              <w:t>179.23 ± 43.24</w:t>
            </w:r>
          </w:p>
        </w:tc>
        <w:tc>
          <w:tcPr>
            <w:tcW w:w="1872" w:type="dxa"/>
            <w:tcMar>
              <w:top w:w="80" w:type="dxa"/>
              <w:left w:w="80" w:type="dxa"/>
              <w:bottom w:w="80" w:type="dxa"/>
              <w:right w:w="80" w:type="dxa"/>
            </w:tcMar>
            <w:vAlign w:val="center"/>
          </w:tcPr>
          <w:p w14:paraId="3672F4D3" w14:textId="77777777" w:rsidR="00AC37D0" w:rsidRDefault="00000000">
            <w:pPr>
              <w:spacing w:line="240" w:lineRule="auto"/>
              <w:jc w:val="center"/>
            </w:pPr>
            <w:r>
              <w:rPr>
                <w:sz w:val="22"/>
              </w:rPr>
              <w:t>210.86 ± 51.64</w:t>
            </w:r>
          </w:p>
        </w:tc>
        <w:tc>
          <w:tcPr>
            <w:tcW w:w="1872" w:type="dxa"/>
            <w:tcMar>
              <w:top w:w="80" w:type="dxa"/>
              <w:left w:w="80" w:type="dxa"/>
              <w:bottom w:w="80" w:type="dxa"/>
              <w:right w:w="80" w:type="dxa"/>
            </w:tcMar>
            <w:vAlign w:val="center"/>
          </w:tcPr>
          <w:p w14:paraId="732715BF" w14:textId="77777777" w:rsidR="00AC37D0" w:rsidRDefault="00000000">
            <w:pPr>
              <w:spacing w:line="240" w:lineRule="auto"/>
              <w:jc w:val="center"/>
            </w:pPr>
            <w:r>
              <w:rPr>
                <w:sz w:val="22"/>
              </w:rPr>
              <w:t>31.63</w:t>
            </w:r>
            <w:r>
              <w:rPr>
                <w:sz w:val="22"/>
              </w:rPr>
              <w:br/>
              <w:t>(13.23 to 50.03)</w:t>
            </w:r>
          </w:p>
        </w:tc>
        <w:tc>
          <w:tcPr>
            <w:tcW w:w="1758" w:type="dxa"/>
            <w:tcMar>
              <w:top w:w="80" w:type="dxa"/>
              <w:left w:w="80" w:type="dxa"/>
              <w:bottom w:w="80" w:type="dxa"/>
              <w:right w:w="80" w:type="dxa"/>
            </w:tcMar>
            <w:vAlign w:val="center"/>
          </w:tcPr>
          <w:p w14:paraId="3D7A2B16" w14:textId="77777777" w:rsidR="00AC37D0" w:rsidRDefault="00000000">
            <w:pPr>
              <w:spacing w:line="240" w:lineRule="auto"/>
              <w:jc w:val="center"/>
            </w:pPr>
            <w:r>
              <w:rPr>
                <w:sz w:val="22"/>
              </w:rPr>
              <w:t>0.001</w:t>
            </w:r>
            <w:r>
              <w:rPr>
                <w:sz w:val="22"/>
                <w:vertAlign w:val="superscript"/>
              </w:rPr>
              <w:t>a</w:t>
            </w:r>
          </w:p>
        </w:tc>
      </w:tr>
      <w:tr w:rsidR="00AC37D0" w14:paraId="72D335DC" w14:textId="77777777" w:rsidTr="00CE3BFC">
        <w:trPr>
          <w:cantSplit/>
          <w:jc w:val="center"/>
        </w:trPr>
        <w:tc>
          <w:tcPr>
            <w:tcW w:w="1868" w:type="dxa"/>
            <w:tcMar>
              <w:top w:w="80" w:type="dxa"/>
              <w:left w:w="80" w:type="dxa"/>
              <w:bottom w:w="80" w:type="dxa"/>
              <w:right w:w="80" w:type="dxa"/>
            </w:tcMar>
            <w:vAlign w:val="center"/>
          </w:tcPr>
          <w:p w14:paraId="5F3907CF" w14:textId="77777777" w:rsidR="00AC37D0" w:rsidRDefault="00000000">
            <w:pPr>
              <w:spacing w:line="240" w:lineRule="auto"/>
            </w:pPr>
            <w:r>
              <w:rPr>
                <w:sz w:val="22"/>
              </w:rPr>
              <w:t>Triglycerides, mg/dL</w:t>
            </w:r>
          </w:p>
        </w:tc>
        <w:tc>
          <w:tcPr>
            <w:tcW w:w="1872" w:type="dxa"/>
            <w:tcMar>
              <w:top w:w="80" w:type="dxa"/>
              <w:left w:w="80" w:type="dxa"/>
              <w:bottom w:w="80" w:type="dxa"/>
              <w:right w:w="80" w:type="dxa"/>
            </w:tcMar>
            <w:vAlign w:val="center"/>
          </w:tcPr>
          <w:p w14:paraId="29ED8C5B" w14:textId="77777777" w:rsidR="00AC37D0" w:rsidRDefault="00000000">
            <w:pPr>
              <w:spacing w:line="240" w:lineRule="auto"/>
              <w:jc w:val="center"/>
            </w:pPr>
            <w:r>
              <w:rPr>
                <w:sz w:val="22"/>
              </w:rPr>
              <w:t>128 (49-385)</w:t>
            </w:r>
          </w:p>
        </w:tc>
        <w:tc>
          <w:tcPr>
            <w:tcW w:w="1872" w:type="dxa"/>
            <w:tcMar>
              <w:top w:w="80" w:type="dxa"/>
              <w:left w:w="80" w:type="dxa"/>
              <w:bottom w:w="80" w:type="dxa"/>
              <w:right w:w="80" w:type="dxa"/>
            </w:tcMar>
            <w:vAlign w:val="center"/>
          </w:tcPr>
          <w:p w14:paraId="192E5813" w14:textId="77777777" w:rsidR="00AC37D0" w:rsidRDefault="00000000">
            <w:pPr>
              <w:spacing w:line="240" w:lineRule="auto"/>
              <w:jc w:val="center"/>
            </w:pPr>
            <w:r>
              <w:rPr>
                <w:sz w:val="22"/>
              </w:rPr>
              <w:t>156 (57-828)</w:t>
            </w:r>
          </w:p>
        </w:tc>
        <w:tc>
          <w:tcPr>
            <w:tcW w:w="1872" w:type="dxa"/>
            <w:tcMar>
              <w:top w:w="80" w:type="dxa"/>
              <w:left w:w="80" w:type="dxa"/>
              <w:bottom w:w="80" w:type="dxa"/>
              <w:right w:w="80" w:type="dxa"/>
            </w:tcMar>
            <w:vAlign w:val="center"/>
          </w:tcPr>
          <w:p w14:paraId="21F5A2A7" w14:textId="77777777" w:rsidR="00AC37D0" w:rsidRDefault="00000000">
            <w:pPr>
              <w:spacing w:line="240" w:lineRule="auto"/>
              <w:jc w:val="center"/>
            </w:pPr>
            <w:r>
              <w:rPr>
                <w:sz w:val="22"/>
              </w:rPr>
              <w:t>Not applicable</w:t>
            </w:r>
          </w:p>
        </w:tc>
        <w:tc>
          <w:tcPr>
            <w:tcW w:w="1758" w:type="dxa"/>
            <w:tcMar>
              <w:top w:w="80" w:type="dxa"/>
              <w:left w:w="80" w:type="dxa"/>
              <w:bottom w:w="80" w:type="dxa"/>
              <w:right w:w="80" w:type="dxa"/>
            </w:tcMar>
            <w:vAlign w:val="center"/>
          </w:tcPr>
          <w:p w14:paraId="676D9AA9" w14:textId="77777777" w:rsidR="00AC37D0" w:rsidRDefault="00000000">
            <w:pPr>
              <w:spacing w:line="240" w:lineRule="auto"/>
              <w:jc w:val="center"/>
            </w:pPr>
            <w:r>
              <w:rPr>
                <w:sz w:val="22"/>
              </w:rPr>
              <w:t>0.013</w:t>
            </w:r>
            <w:r>
              <w:rPr>
                <w:sz w:val="22"/>
                <w:vertAlign w:val="superscript"/>
              </w:rPr>
              <w:t>b</w:t>
            </w:r>
          </w:p>
        </w:tc>
      </w:tr>
    </w:tbl>
    <w:p w14:paraId="2BC62B6A" w14:textId="77777777" w:rsidR="00AC37D0" w:rsidRDefault="00000000">
      <w:r>
        <w:rPr>
          <w:sz w:val="22"/>
          <w:lang w:val="en-GB"/>
        </w:rPr>
        <w:t xml:space="preserve">Values are mean ± SD, except triglycerides, which are median (range). Difference was calculated as uncontrolled minus controlled for normally distributed variables. LDL-C: low-density lipoprotein cholesterol; HDL-C: high-density lipoprotein cholesterol; CI: confidence interval. </w:t>
      </w:r>
      <w:r>
        <w:rPr>
          <w:i/>
          <w:sz w:val="22"/>
          <w:lang w:val="en-GB"/>
        </w:rPr>
        <w:t>a</w:t>
      </w:r>
      <w:r>
        <w:rPr>
          <w:sz w:val="22"/>
          <w:lang w:val="en-GB"/>
        </w:rPr>
        <w:t xml:space="preserve"> Independent-samples t test. </w:t>
      </w:r>
      <w:r>
        <w:rPr>
          <w:i/>
          <w:sz w:val="22"/>
          <w:lang w:val="en-GB"/>
        </w:rPr>
        <w:t>b</w:t>
      </w:r>
      <w:r>
        <w:rPr>
          <w:sz w:val="22"/>
          <w:lang w:val="en-GB"/>
        </w:rPr>
        <w:t xml:space="preserve"> Mann-Whitney U test.</w:t>
      </w:r>
    </w:p>
    <w:p w14:paraId="72AD6F85" w14:textId="77777777" w:rsidR="00CE3BFC" w:rsidRDefault="00CE3BFC">
      <w:pPr>
        <w:keepNext/>
        <w:rPr>
          <w:b/>
          <w:lang w:val="en-GB"/>
        </w:rPr>
      </w:pPr>
    </w:p>
    <w:p w14:paraId="6C7C49F6" w14:textId="12D78F9F" w:rsidR="00AC37D0" w:rsidRDefault="00000000">
      <w:pPr>
        <w:keepNext/>
      </w:pPr>
      <w:r>
        <w:rPr>
          <w:b/>
          <w:lang w:val="en-GB"/>
        </w:rPr>
        <w:t>Discussion</w:t>
      </w:r>
    </w:p>
    <w:p w14:paraId="772E5501" w14:textId="77777777" w:rsidR="00AC37D0" w:rsidRDefault="00000000">
      <w:pPr>
        <w:jc w:val="both"/>
      </w:pPr>
      <w:r>
        <w:rPr>
          <w:lang w:val="en-GB"/>
        </w:rPr>
        <w:t xml:space="preserve">In this retrospective cross-sectional study, adults with uncontrolled glycaemia had higher total cholesterol and triglyceride levels than those with controlled glycaemia. LDL-C was numerically </w:t>
      </w:r>
      <w:r>
        <w:rPr>
          <w:lang w:val="en-GB"/>
        </w:rPr>
        <w:lastRenderedPageBreak/>
        <w:t>higher in the uncontrolled group but did not reach statistical significance, while HDL-C was similar in the two groups. These findings point to a clinically relevant clustering of glycaemic and lipid abnormalities, but the study design does not establish a causal relationship.</w:t>
      </w:r>
    </w:p>
    <w:p w14:paraId="47800445" w14:textId="77777777" w:rsidR="00AC37D0" w:rsidRDefault="00000000">
      <w:pPr>
        <w:jc w:val="both"/>
      </w:pPr>
      <w:r>
        <w:rPr>
          <w:lang w:val="en-GB"/>
        </w:rPr>
        <w:t>The overall pattern is consistent with reports from other low- and middle-income settings, where poor glycaemic control has often been accompanied by higher total cholesterol or triglycerides. At the same time, studies have not consistently shown differences in every lipid fraction. Differences in participant characteristics, medication use, adiposity, and the timing of laboratory testing may partly explain this variation.</w:t>
      </w:r>
      <w:r>
        <w:rPr>
          <w:vertAlign w:val="superscript"/>
          <w:lang w:val="en-GB"/>
        </w:rPr>
        <w:t>7-9,17,18</w:t>
      </w:r>
    </w:p>
    <w:p w14:paraId="15309D1E" w14:textId="77777777" w:rsidR="00AC37D0" w:rsidRDefault="00000000">
      <w:pPr>
        <w:jc w:val="both"/>
      </w:pPr>
      <w:r>
        <w:rPr>
          <w:lang w:val="en-GB"/>
        </w:rPr>
        <w:t>Several metabolic mechanisms may underlie the observed pattern. Insulin resistance and persistent hyperglycaemia can increase adipose-tissue lipolysis and hepatic production of very-low-density lipoprotein. This promotes hypertriglyceridaemia and the accumulation of atherogenic remnant particles. Glycation and oxidative modification of lipoproteins may further alter their clearance and atherogenic properties.</w:t>
      </w:r>
      <w:r>
        <w:rPr>
          <w:vertAlign w:val="superscript"/>
          <w:lang w:val="en-GB"/>
        </w:rPr>
        <w:t>3,4,12-16</w:t>
      </w:r>
    </w:p>
    <w:p w14:paraId="05083768" w14:textId="77777777" w:rsidR="00AC37D0" w:rsidRDefault="00000000">
      <w:pPr>
        <w:jc w:val="both"/>
      </w:pPr>
      <w:r>
        <w:rPr>
          <w:lang w:val="en-GB"/>
        </w:rPr>
        <w:t>The absence of statistically significant differences in LDL-C and HDL-C should be interpreted cautiously. LDL-C alone does not fully reflect the burden of triglyceride-rich and remnant lipoproteins in T2DM, and both LDL-C and HDL-C can be influenced by sex, adiposity, diet, physical activity, smoking, and medication use. These factors were not available for adjustment in the present analysis. The lack of a significant between-group difference should therefore not be interpreted as evidence of low cardiovascular risk.</w:t>
      </w:r>
      <w:r>
        <w:rPr>
          <w:vertAlign w:val="superscript"/>
          <w:lang w:val="en-GB"/>
        </w:rPr>
        <w:t>6,13,19,20</w:t>
      </w:r>
    </w:p>
    <w:p w14:paraId="27424A67" w14:textId="77777777" w:rsidR="00AC37D0" w:rsidRDefault="00000000">
      <w:pPr>
        <w:jc w:val="both"/>
      </w:pPr>
      <w:r>
        <w:rPr>
          <w:lang w:val="en-GB"/>
        </w:rPr>
        <w:t>This study has several limitations. Its retrospective cross-sectional design precludes temporal or causal inference, and the single-hospital setting may limit generalisability. The analyses were not adjusted for diabetes duration, antihyperglycaemic therapy, dietary intake, physical activity, smoking, or socioeconomic factors. The timing of HbA1c and lipid measurements was determined by the available medical records and may have introduced measurement heterogeneity. Excluding patients who received lipid-lowering therapy reduced direct pharmacological influence on the lipid profile but may also limit the applicability of the findings to the broader T2DM population. Despite these limitations, the study contributes hospital-based evidence from Indonesia using routinely available clinical measures.</w:t>
      </w:r>
    </w:p>
    <w:p w14:paraId="1EC57B27" w14:textId="77777777" w:rsidR="00834531" w:rsidRDefault="00834531">
      <w:pPr>
        <w:keepNext/>
        <w:rPr>
          <w:b/>
          <w:lang w:val="en-GB"/>
        </w:rPr>
      </w:pPr>
    </w:p>
    <w:p w14:paraId="352D1F0B" w14:textId="20B01940" w:rsidR="00AC37D0" w:rsidRDefault="00000000">
      <w:pPr>
        <w:keepNext/>
      </w:pPr>
      <w:r>
        <w:rPr>
          <w:b/>
          <w:lang w:val="en-GB"/>
        </w:rPr>
        <w:t>Conclusion</w:t>
      </w:r>
    </w:p>
    <w:p w14:paraId="1F0CC9BB" w14:textId="77777777" w:rsidR="00AC37D0" w:rsidRDefault="00000000">
      <w:pPr>
        <w:jc w:val="both"/>
      </w:pPr>
      <w:r>
        <w:t>Among adults with T2DM in an Indonesian hospital setting, uncontrolled glycaemia was associated with higher total cholesterol and triglyceride levels, whereas LDL-C and HDL-C did not differ significantly. Routine assessment of HbA1c alongside lipid parameters may support a more complete cardiometabolic risk assessment. Prospective studies are needed to clarify these relationships.</w:t>
      </w:r>
    </w:p>
    <w:p w14:paraId="52BCED98" w14:textId="77777777" w:rsidR="00834531" w:rsidRDefault="00834531">
      <w:pPr>
        <w:keepNext/>
        <w:rPr>
          <w:b/>
          <w:lang w:val="en-GB"/>
        </w:rPr>
      </w:pPr>
    </w:p>
    <w:p w14:paraId="48A3D184" w14:textId="190793C7" w:rsidR="00AC37D0" w:rsidRDefault="00000000">
      <w:pPr>
        <w:keepNext/>
      </w:pPr>
      <w:r>
        <w:rPr>
          <w:b/>
          <w:lang w:val="en-GB"/>
        </w:rPr>
        <w:t>Conflict of interest</w:t>
      </w:r>
    </w:p>
    <w:p w14:paraId="4FA992D6" w14:textId="77777777" w:rsidR="00AC37D0" w:rsidRDefault="00000000">
      <w:pPr>
        <w:jc w:val="both"/>
      </w:pPr>
      <w:r>
        <w:rPr>
          <w:lang w:val="en-GB"/>
        </w:rPr>
        <w:t>The authors declare no conflict of interest.</w:t>
      </w:r>
    </w:p>
    <w:p w14:paraId="672F34C0" w14:textId="77777777" w:rsidR="00834531" w:rsidRDefault="00834531">
      <w:pPr>
        <w:keepNext/>
        <w:rPr>
          <w:b/>
          <w:lang w:val="en-GB"/>
        </w:rPr>
      </w:pPr>
    </w:p>
    <w:p w14:paraId="37730C6F" w14:textId="783A1471" w:rsidR="00AC37D0" w:rsidRDefault="00000000">
      <w:pPr>
        <w:keepNext/>
      </w:pPr>
      <w:r>
        <w:rPr>
          <w:b/>
          <w:lang w:val="en-GB"/>
        </w:rPr>
        <w:t>Funding</w:t>
      </w:r>
    </w:p>
    <w:p w14:paraId="53B0DF5B" w14:textId="77777777" w:rsidR="00AC37D0" w:rsidRDefault="00000000">
      <w:pPr>
        <w:jc w:val="both"/>
      </w:pPr>
      <w:r>
        <w:rPr>
          <w:lang w:val="en-GB"/>
        </w:rPr>
        <w:t>No external funding was received for this study.</w:t>
      </w:r>
    </w:p>
    <w:p w14:paraId="6CEA6BE5" w14:textId="77777777" w:rsidR="00834531" w:rsidRDefault="00834531">
      <w:pPr>
        <w:keepNext/>
        <w:rPr>
          <w:b/>
          <w:lang w:val="en-GB"/>
        </w:rPr>
      </w:pPr>
    </w:p>
    <w:p w14:paraId="43758884" w14:textId="191244E9" w:rsidR="00AC37D0" w:rsidRDefault="00000000">
      <w:pPr>
        <w:keepNext/>
      </w:pPr>
      <w:r>
        <w:rPr>
          <w:b/>
          <w:lang w:val="en-GB"/>
        </w:rPr>
        <w:t>References</w:t>
      </w:r>
    </w:p>
    <w:p w14:paraId="0F02FD5B" w14:textId="55F6600A" w:rsidR="00AC37D0" w:rsidRDefault="00000000" w:rsidP="00834531">
      <w:pPr>
        <w:pStyle w:val="ListParagraph"/>
        <w:numPr>
          <w:ilvl w:val="0"/>
          <w:numId w:val="11"/>
        </w:numPr>
        <w:ind w:left="426" w:hanging="426"/>
        <w:jc w:val="both"/>
      </w:pPr>
      <w:r w:rsidRPr="00834531">
        <w:rPr>
          <w:sz w:val="22"/>
          <w:lang w:val="en-GB"/>
        </w:rPr>
        <w:t>International Diabetes Federation. IDF Diabetes Atlas. 10th ed. Brussels: International Diabetes Federation; 2021. Available from: https://diabetesatlas.org/</w:t>
      </w:r>
    </w:p>
    <w:p w14:paraId="00BE57E4" w14:textId="5FB2C35A" w:rsidR="00AC37D0" w:rsidRDefault="00000000" w:rsidP="00834531">
      <w:pPr>
        <w:pStyle w:val="ListParagraph"/>
        <w:numPr>
          <w:ilvl w:val="0"/>
          <w:numId w:val="11"/>
        </w:numPr>
        <w:ind w:left="426" w:hanging="426"/>
        <w:jc w:val="both"/>
      </w:pPr>
      <w:r w:rsidRPr="00834531">
        <w:rPr>
          <w:sz w:val="22"/>
          <w:lang w:val="en-GB"/>
        </w:rPr>
        <w:t>Kementerian Kesehatan Republik Indonesia. Laporan Nasional RISKESDAS 2018. Jakarta: Badan Penelitian dan Pengembangan Kesehatan; 2019. Available from: https://repository.badankebijakan.kemkes.go.id/id/eprint/3514/</w:t>
      </w:r>
    </w:p>
    <w:p w14:paraId="213E726A" w14:textId="4F6F719B" w:rsidR="00AC37D0" w:rsidRDefault="00000000" w:rsidP="00834531">
      <w:pPr>
        <w:pStyle w:val="ListParagraph"/>
        <w:numPr>
          <w:ilvl w:val="0"/>
          <w:numId w:val="11"/>
        </w:numPr>
        <w:ind w:left="426" w:hanging="426"/>
        <w:jc w:val="both"/>
      </w:pPr>
      <w:r w:rsidRPr="00834531">
        <w:rPr>
          <w:sz w:val="22"/>
          <w:lang w:val="en-GB"/>
        </w:rPr>
        <w:t>Hirano T. Pathophysiology of diabetic dyslipidemia. J Atheroscler Thromb 2018;25(9):771-782. doi:10.5551/jat.RV17023.</w:t>
      </w:r>
    </w:p>
    <w:p w14:paraId="73B802E7" w14:textId="1ED5E249" w:rsidR="00AC37D0" w:rsidRDefault="00000000" w:rsidP="00834531">
      <w:pPr>
        <w:pStyle w:val="ListParagraph"/>
        <w:numPr>
          <w:ilvl w:val="0"/>
          <w:numId w:val="11"/>
        </w:numPr>
        <w:ind w:left="426" w:hanging="426"/>
        <w:jc w:val="both"/>
      </w:pPr>
      <w:r w:rsidRPr="00834531">
        <w:rPr>
          <w:sz w:val="22"/>
          <w:lang w:val="en-GB"/>
        </w:rPr>
        <w:t>Goldberg IJ. Diabetic dyslipidemia: causes and consequences. J Clin Endocrinol Metab 2001;86(3):965-971. doi:10.1210/jcem.86.3.7304.</w:t>
      </w:r>
    </w:p>
    <w:p w14:paraId="75545EAC" w14:textId="1F361448" w:rsidR="00AC37D0" w:rsidRDefault="00000000" w:rsidP="00834531">
      <w:pPr>
        <w:pStyle w:val="ListParagraph"/>
        <w:numPr>
          <w:ilvl w:val="0"/>
          <w:numId w:val="11"/>
        </w:numPr>
        <w:ind w:left="426" w:hanging="426"/>
        <w:jc w:val="both"/>
      </w:pPr>
      <w:r w:rsidRPr="00834531">
        <w:rPr>
          <w:sz w:val="22"/>
          <w:lang w:val="en-GB"/>
        </w:rPr>
        <w:t>American Diabetes Association Professional Practice Committee. 6. Glycemic goals and hypoglycemia: Standards of Care in Diabetes-2025. Diabetes Care 2025;48(Suppl 1):S128-S145. doi:10.2337/dc25-S006.</w:t>
      </w:r>
    </w:p>
    <w:p w14:paraId="40C0F3BB" w14:textId="251BFA49" w:rsidR="00AC37D0" w:rsidRDefault="00000000" w:rsidP="00834531">
      <w:pPr>
        <w:pStyle w:val="ListParagraph"/>
        <w:numPr>
          <w:ilvl w:val="0"/>
          <w:numId w:val="11"/>
        </w:numPr>
        <w:ind w:left="426" w:hanging="426"/>
        <w:jc w:val="both"/>
      </w:pPr>
      <w:r w:rsidRPr="00834531">
        <w:rPr>
          <w:sz w:val="22"/>
          <w:lang w:val="en-GB"/>
        </w:rPr>
        <w:t>American Diabetes Association Professional Practice Committee. 10. Cardiovascular disease and risk management: Standards of Care in Diabetes-2025. Diabetes Care 2025;48(Suppl 1):S207-S238. doi:10.2337/dc25-S010.</w:t>
      </w:r>
    </w:p>
    <w:p w14:paraId="45532187" w14:textId="3EF34025" w:rsidR="00AC37D0" w:rsidRDefault="00000000" w:rsidP="00834531">
      <w:pPr>
        <w:pStyle w:val="ListParagraph"/>
        <w:numPr>
          <w:ilvl w:val="0"/>
          <w:numId w:val="11"/>
        </w:numPr>
        <w:ind w:left="426" w:hanging="426"/>
        <w:jc w:val="both"/>
      </w:pPr>
      <w:proofErr w:type="spellStart"/>
      <w:r w:rsidRPr="00834531">
        <w:rPr>
          <w:sz w:val="22"/>
          <w:lang w:val="en-GB"/>
        </w:rPr>
        <w:t>Nnakenyi</w:t>
      </w:r>
      <w:proofErr w:type="spellEnd"/>
      <w:r w:rsidRPr="00834531">
        <w:rPr>
          <w:sz w:val="22"/>
          <w:lang w:val="en-GB"/>
        </w:rPr>
        <w:t xml:space="preserve"> ID, </w:t>
      </w:r>
      <w:proofErr w:type="spellStart"/>
      <w:r w:rsidRPr="00834531">
        <w:rPr>
          <w:sz w:val="22"/>
          <w:lang w:val="en-GB"/>
        </w:rPr>
        <w:t>Nnakenyi</w:t>
      </w:r>
      <w:proofErr w:type="spellEnd"/>
      <w:r w:rsidRPr="00834531">
        <w:rPr>
          <w:sz w:val="22"/>
          <w:lang w:val="en-GB"/>
        </w:rPr>
        <w:t xml:space="preserve"> EF, Parker EJ, Uchendu NO, Anaduaka EG, Ezeanyika LU. Relationship between glycaemic control and lipid profile in type 2 diabetes mellitus patients in a low-resource setting. Pan Afr Med J 2022;41:281. doi:10.11604/pamj.2022.41.281.33802.</w:t>
      </w:r>
    </w:p>
    <w:p w14:paraId="213A14A8" w14:textId="3DD12797" w:rsidR="00AC37D0" w:rsidRDefault="00000000" w:rsidP="00834531">
      <w:pPr>
        <w:pStyle w:val="ListParagraph"/>
        <w:numPr>
          <w:ilvl w:val="0"/>
          <w:numId w:val="11"/>
        </w:numPr>
        <w:ind w:left="426" w:hanging="426"/>
        <w:jc w:val="both"/>
      </w:pPr>
      <w:proofErr w:type="spellStart"/>
      <w:r w:rsidRPr="00834531">
        <w:rPr>
          <w:sz w:val="22"/>
          <w:lang w:val="en-GB"/>
        </w:rPr>
        <w:lastRenderedPageBreak/>
        <w:t>Sharahili</w:t>
      </w:r>
      <w:proofErr w:type="spellEnd"/>
      <w:r w:rsidRPr="00834531">
        <w:rPr>
          <w:sz w:val="22"/>
          <w:lang w:val="en-GB"/>
        </w:rPr>
        <w:t xml:space="preserve"> AY, Mir SA, AlDosari S, Manzar MD, Alshehri B, Al Othaim A, et al. Correlation of HbA1c level with lipid profile in type 2 diabetes mellitus patients visiting a primary healthcare center in Jeddah City, Saudi Arabia: a retrospective cross-sectional study. Diseases 2023;11(4):154. doi:10.3390/diseases11040154.</w:t>
      </w:r>
    </w:p>
    <w:p w14:paraId="4C3737FD" w14:textId="79DA2F4E" w:rsidR="00AC37D0" w:rsidRDefault="00000000" w:rsidP="00834531">
      <w:pPr>
        <w:pStyle w:val="ListParagraph"/>
        <w:numPr>
          <w:ilvl w:val="0"/>
          <w:numId w:val="11"/>
        </w:numPr>
        <w:ind w:left="426" w:hanging="426"/>
        <w:jc w:val="both"/>
      </w:pPr>
      <w:r w:rsidRPr="00834531">
        <w:rPr>
          <w:sz w:val="22"/>
          <w:lang w:val="en-GB"/>
        </w:rPr>
        <w:t>Awadalla H, Noor SK, Elmadhoun WM, Bushara SO, Almobarak AO, Sulaiman AA, et al. Comparison of serum lipid profile in type 2 diabetes with and without adequate diabetes control in Sudanese population in north of Sudan. Diabetes Metab Syndr 2018;12(6):961-964. doi:10.1016/j.dsx.2018.06.004.</w:t>
      </w:r>
    </w:p>
    <w:p w14:paraId="7D6BBF45" w14:textId="4F9C60A1" w:rsidR="00AC37D0" w:rsidRDefault="00000000" w:rsidP="00834531">
      <w:pPr>
        <w:pStyle w:val="ListParagraph"/>
        <w:numPr>
          <w:ilvl w:val="0"/>
          <w:numId w:val="11"/>
        </w:numPr>
        <w:ind w:left="426" w:hanging="426"/>
        <w:jc w:val="both"/>
      </w:pPr>
      <w:r w:rsidRPr="00834531">
        <w:rPr>
          <w:sz w:val="22"/>
          <w:lang w:val="en-GB"/>
        </w:rPr>
        <w:t>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14:paraId="2995BC85" w14:textId="7697DAEB" w:rsidR="00AC37D0" w:rsidRDefault="00000000" w:rsidP="00834531">
      <w:pPr>
        <w:pStyle w:val="ListParagraph"/>
        <w:numPr>
          <w:ilvl w:val="0"/>
          <w:numId w:val="11"/>
        </w:numPr>
        <w:ind w:left="426" w:hanging="426"/>
        <w:jc w:val="both"/>
      </w:pPr>
      <w:r w:rsidRPr="00834531">
        <w:rPr>
          <w:sz w:val="22"/>
          <w:lang w:val="en-GB"/>
        </w:rPr>
        <w:t>WHO Expert Consultation. Appropriate body-mass index for Asian populations and its implications for policy and intervention strategies. Lancet 2004;363(9403):157-163. doi:10.1016/S0140-6736(03)15268-3.</w:t>
      </w:r>
    </w:p>
    <w:p w14:paraId="706DF6EE" w14:textId="62840DA8" w:rsidR="00AC37D0" w:rsidRDefault="00000000" w:rsidP="00834531">
      <w:pPr>
        <w:pStyle w:val="ListParagraph"/>
        <w:numPr>
          <w:ilvl w:val="0"/>
          <w:numId w:val="11"/>
        </w:numPr>
        <w:ind w:left="426" w:hanging="426"/>
        <w:jc w:val="both"/>
      </w:pPr>
      <w:r w:rsidRPr="00834531">
        <w:rPr>
          <w:sz w:val="22"/>
          <w:lang w:val="en-GB"/>
        </w:rPr>
        <w:t>Chaudhury D, Aggarwal A. Diabetic dyslipidemia: current concepts in pathophysiology and management. J Clin Diagn Res 2018;12(1):OE06-OE09. doi:10.7860/JCDR/2018/29009.11090.</w:t>
      </w:r>
    </w:p>
    <w:p w14:paraId="45A706A4" w14:textId="285090E5" w:rsidR="00AC37D0" w:rsidRDefault="00000000" w:rsidP="00834531">
      <w:pPr>
        <w:pStyle w:val="ListParagraph"/>
        <w:numPr>
          <w:ilvl w:val="0"/>
          <w:numId w:val="11"/>
        </w:numPr>
        <w:ind w:left="426" w:hanging="426"/>
        <w:jc w:val="both"/>
      </w:pPr>
      <w:r w:rsidRPr="00834531">
        <w:rPr>
          <w:sz w:val="22"/>
          <w:lang w:val="en-GB"/>
        </w:rPr>
        <w:t>Schofield JD, Liu Y, Rao-Balakrishna P, Malik RA, Soran H. Diabetes dyslipidemia. Diabetes Ther 2016;7(2):203-219. doi:10.1007/s13300-016-0167-x.</w:t>
      </w:r>
    </w:p>
    <w:p w14:paraId="33B696EC" w14:textId="3FDB2919" w:rsidR="00AC37D0" w:rsidRDefault="00000000" w:rsidP="00834531">
      <w:pPr>
        <w:pStyle w:val="ListParagraph"/>
        <w:numPr>
          <w:ilvl w:val="0"/>
          <w:numId w:val="11"/>
        </w:numPr>
        <w:ind w:left="426" w:hanging="426"/>
        <w:jc w:val="both"/>
      </w:pPr>
      <w:r w:rsidRPr="00834531">
        <w:rPr>
          <w:sz w:val="22"/>
          <w:lang w:val="en-GB"/>
        </w:rPr>
        <w:t>Taskinen MR, Borén J. New insights into the pathophysiology of dyslipidemia in type 2 diabetes. Atherosclerosis 2015;239(2):483-495. doi:10.1016/j.atherosclerosis.2015.01.039.</w:t>
      </w:r>
    </w:p>
    <w:p w14:paraId="7EC8B14D" w14:textId="23849A20" w:rsidR="00AC37D0" w:rsidRDefault="00000000" w:rsidP="00834531">
      <w:pPr>
        <w:pStyle w:val="ListParagraph"/>
        <w:numPr>
          <w:ilvl w:val="0"/>
          <w:numId w:val="11"/>
        </w:numPr>
        <w:ind w:left="426" w:hanging="426"/>
        <w:jc w:val="both"/>
      </w:pPr>
      <w:r w:rsidRPr="00834531">
        <w:rPr>
          <w:sz w:val="22"/>
          <w:lang w:val="en-GB"/>
        </w:rPr>
        <w:t>Mooradian AD. Dyslipidemia in type 2 diabetes mellitus. Nat Clin Pract Endocrinol Metab 2009;5(3):150-159. doi:10.1038/ncpendmet1066.</w:t>
      </w:r>
    </w:p>
    <w:p w14:paraId="7446C171" w14:textId="62809224" w:rsidR="00AC37D0" w:rsidRDefault="00000000" w:rsidP="00834531">
      <w:pPr>
        <w:pStyle w:val="ListParagraph"/>
        <w:numPr>
          <w:ilvl w:val="0"/>
          <w:numId w:val="11"/>
        </w:numPr>
        <w:ind w:left="426" w:hanging="426"/>
        <w:jc w:val="both"/>
      </w:pPr>
      <w:proofErr w:type="spellStart"/>
      <w:r w:rsidRPr="00834531">
        <w:rPr>
          <w:sz w:val="22"/>
          <w:lang w:val="en-GB"/>
        </w:rPr>
        <w:t>Parhofer</w:t>
      </w:r>
      <w:proofErr w:type="spellEnd"/>
      <w:r w:rsidRPr="00834531">
        <w:rPr>
          <w:sz w:val="22"/>
          <w:lang w:val="en-GB"/>
        </w:rPr>
        <w:t xml:space="preserve"> KG. Interaction between glucose and lipid metabolism: more than diabetic dyslipidemia. Diabetes Metab J 2015;39(5):353-362. doi:10.4093/dmj.2015.39.5.353.</w:t>
      </w:r>
    </w:p>
    <w:p w14:paraId="59781099" w14:textId="06B0A810" w:rsidR="00AC37D0" w:rsidRDefault="00000000" w:rsidP="00834531">
      <w:pPr>
        <w:pStyle w:val="ListParagraph"/>
        <w:numPr>
          <w:ilvl w:val="0"/>
          <w:numId w:val="11"/>
        </w:numPr>
        <w:ind w:left="426" w:hanging="426"/>
        <w:jc w:val="both"/>
      </w:pPr>
      <w:proofErr w:type="spellStart"/>
      <w:r w:rsidRPr="00834531">
        <w:rPr>
          <w:sz w:val="22"/>
          <w:lang w:val="en-GB"/>
        </w:rPr>
        <w:t>Sunjaya</w:t>
      </w:r>
      <w:proofErr w:type="spellEnd"/>
      <w:r w:rsidRPr="00834531">
        <w:rPr>
          <w:sz w:val="22"/>
          <w:lang w:val="en-GB"/>
        </w:rPr>
        <w:t xml:space="preserve"> AP, </w:t>
      </w:r>
      <w:proofErr w:type="spellStart"/>
      <w:r w:rsidRPr="00834531">
        <w:rPr>
          <w:sz w:val="22"/>
          <w:lang w:val="en-GB"/>
        </w:rPr>
        <w:t>Sunjaya</w:t>
      </w:r>
      <w:proofErr w:type="spellEnd"/>
      <w:r w:rsidRPr="00834531">
        <w:rPr>
          <w:sz w:val="22"/>
          <w:lang w:val="en-GB"/>
        </w:rPr>
        <w:t xml:space="preserve"> AF. Glycated hemoglobin targets and glycemic control: link with lipid, uric acid and kidney profile. Diabetes Metab Syndr 2018;12(5):743-748. doi:10.1016/j.dsx.2018.04.039.</w:t>
      </w:r>
    </w:p>
    <w:p w14:paraId="6E21A3DB" w14:textId="21EDE2D7" w:rsidR="00AC37D0" w:rsidRDefault="00000000" w:rsidP="00834531">
      <w:pPr>
        <w:pStyle w:val="ListParagraph"/>
        <w:numPr>
          <w:ilvl w:val="0"/>
          <w:numId w:val="11"/>
        </w:numPr>
        <w:ind w:left="426" w:hanging="426"/>
        <w:jc w:val="both"/>
      </w:pPr>
      <w:proofErr w:type="spellStart"/>
      <w:r w:rsidRPr="00834531">
        <w:rPr>
          <w:sz w:val="22"/>
          <w:lang w:val="en-GB"/>
        </w:rPr>
        <w:t>Rusdiana</w:t>
      </w:r>
      <w:proofErr w:type="spellEnd"/>
      <w:r w:rsidRPr="00834531">
        <w:rPr>
          <w:sz w:val="22"/>
          <w:lang w:val="en-GB"/>
        </w:rPr>
        <w:t xml:space="preserve"> R, Widjaja SS, Savira M. The relation between lipid profile and glycemic control in type 2 diabetes mellitus patients in North Sumatera, Indonesia. Open Access Maced J Med Sci 2020;8(B):887-891. doi:10.3889/oamjms.2020.5174.</w:t>
      </w:r>
    </w:p>
    <w:p w14:paraId="1B980671" w14:textId="5EA3F647" w:rsidR="00AC37D0" w:rsidRDefault="00000000" w:rsidP="00834531">
      <w:pPr>
        <w:pStyle w:val="ListParagraph"/>
        <w:numPr>
          <w:ilvl w:val="0"/>
          <w:numId w:val="11"/>
        </w:numPr>
        <w:ind w:left="426" w:hanging="426"/>
        <w:jc w:val="both"/>
      </w:pPr>
      <w:proofErr w:type="spellStart"/>
      <w:r w:rsidRPr="00834531">
        <w:rPr>
          <w:sz w:val="22"/>
          <w:lang w:val="en-GB"/>
        </w:rPr>
        <w:t>Hyassat</w:t>
      </w:r>
      <w:proofErr w:type="spellEnd"/>
      <w:r w:rsidRPr="00834531">
        <w:rPr>
          <w:sz w:val="22"/>
          <w:lang w:val="en-GB"/>
        </w:rPr>
        <w:t xml:space="preserve"> D, Al-</w:t>
      </w:r>
      <w:proofErr w:type="spellStart"/>
      <w:r w:rsidRPr="00834531">
        <w:rPr>
          <w:sz w:val="22"/>
          <w:lang w:val="en-GB"/>
        </w:rPr>
        <w:t>Saeksaek</w:t>
      </w:r>
      <w:proofErr w:type="spellEnd"/>
      <w:r w:rsidRPr="00834531">
        <w:rPr>
          <w:sz w:val="22"/>
          <w:lang w:val="en-GB"/>
        </w:rPr>
        <w:t xml:space="preserve"> S, Naji D, Mahasneh A, Khader Y, Abujbara M, et al. Dyslipidemia among patients with type 2 diabetes in Jordan: prevalence, pattern, and associated factors. Front Public Health 2022;10:1002466. doi:10.3389/fpubh.2022.1002466.</w:t>
      </w:r>
    </w:p>
    <w:p w14:paraId="323BD686" w14:textId="053B3171" w:rsidR="00AC37D0" w:rsidRDefault="00000000" w:rsidP="00834531">
      <w:pPr>
        <w:pStyle w:val="ListParagraph"/>
        <w:numPr>
          <w:ilvl w:val="0"/>
          <w:numId w:val="11"/>
        </w:numPr>
        <w:ind w:left="426" w:hanging="426"/>
        <w:jc w:val="both"/>
      </w:pPr>
      <w:r w:rsidRPr="00834531">
        <w:rPr>
          <w:sz w:val="22"/>
          <w:lang w:val="en-GB"/>
        </w:rPr>
        <w:lastRenderedPageBreak/>
        <w:t>Pradipta S, Wibowo H, Harbuwono DS, Rahajeng E, Larasati RA, Kartika R. Distribution patterns and risk factors of dyslipidemia in patients with type 2 diabetes mellitus: a cross-sectional study in Bogor, Indonesia. Int J Appl Pharm 2020;12(Special Issue 1):5-8. doi:10.22159/ijap.2020.v12s1.24045.</w:t>
      </w:r>
    </w:p>
    <w:sectPr w:rsidR="00AC37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13DDC"/>
    <w:multiLevelType w:val="hybridMultilevel"/>
    <w:tmpl w:val="2F287CC2"/>
    <w:lvl w:ilvl="0" w:tplc="08B0B39E">
      <w:start w:val="1"/>
      <w:numFmt w:val="decimal"/>
      <w:lvlText w:val="%1."/>
      <w:lvlJc w:val="left"/>
      <w:pPr>
        <w:ind w:left="720" w:hanging="360"/>
      </w:pPr>
      <w:rPr>
        <w:rFonts w:hint="default"/>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7996DA6"/>
    <w:multiLevelType w:val="hybridMultilevel"/>
    <w:tmpl w:val="82EC0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18440554">
    <w:abstractNumId w:val="8"/>
  </w:num>
  <w:num w:numId="2" w16cid:durableId="246620591">
    <w:abstractNumId w:val="6"/>
  </w:num>
  <w:num w:numId="3" w16cid:durableId="1325013308">
    <w:abstractNumId w:val="5"/>
  </w:num>
  <w:num w:numId="4" w16cid:durableId="909925442">
    <w:abstractNumId w:val="4"/>
  </w:num>
  <w:num w:numId="5" w16cid:durableId="586306969">
    <w:abstractNumId w:val="7"/>
  </w:num>
  <w:num w:numId="6" w16cid:durableId="1729919282">
    <w:abstractNumId w:val="3"/>
  </w:num>
  <w:num w:numId="7" w16cid:durableId="421411207">
    <w:abstractNumId w:val="2"/>
  </w:num>
  <w:num w:numId="8" w16cid:durableId="1209563006">
    <w:abstractNumId w:val="1"/>
  </w:num>
  <w:num w:numId="9" w16cid:durableId="1632246478">
    <w:abstractNumId w:val="0"/>
  </w:num>
  <w:num w:numId="10" w16cid:durableId="387342151">
    <w:abstractNumId w:val="10"/>
  </w:num>
  <w:num w:numId="11" w16cid:durableId="11427697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E35"/>
    <w:rsid w:val="0029639D"/>
    <w:rsid w:val="00326F90"/>
    <w:rsid w:val="00337856"/>
    <w:rsid w:val="00834531"/>
    <w:rsid w:val="009D49E0"/>
    <w:rsid w:val="00AA1D8D"/>
    <w:rsid w:val="00AC37D0"/>
    <w:rsid w:val="00B47730"/>
    <w:rsid w:val="00CB0664"/>
    <w:rsid w:val="00CE3BFC"/>
    <w:rsid w:val="00FB7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32B6F"/>
  <w14:defaultImageDpi w14:val="300"/>
  <w15:docId w15:val="{7E9C4820-4803-4D05-9B0A-13799F278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8</Pages>
  <Words>2279</Words>
  <Characters>12993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of Glycaemic Control With Lipid Profiles Among Adults With Type 2 Diabetes Mellitus in Indonesia</dc:title>
  <dc:subject>Blinded manuscript for peer review</dc:subject>
  <dc:creator/>
  <cp:keywords/>
  <dc:description/>
  <cp:lastModifiedBy>.</cp:lastModifiedBy>
  <cp:revision>5</cp:revision>
  <dcterms:created xsi:type="dcterms:W3CDTF">2013-12-23T23:15:00Z</dcterms:created>
  <dcterms:modified xsi:type="dcterms:W3CDTF">2026-07-07T03:32:00Z</dcterms:modified>
  <cp:category/>
</cp:coreProperties>
</file>