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0C006459">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XXZi+iMFAABw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531914" w:rsidRDefault="00531914">
      <w:pPr>
        <w:spacing w:after="7" w:line="259" w:lineRule="auto"/>
        <w:ind w:left="0" w:right="0" w:firstLine="0"/>
        <w:jc w:val="left"/>
        <w:rPr>
          <w:rFonts w:ascii="Times New Roman" w:eastAsia="Times New Roman" w:hAnsi="Times New Roman" w:cs="Times New Roman"/>
          <w:b/>
          <w:sz w:val="36"/>
          <w:szCs w:val="36"/>
        </w:rPr>
      </w:pPr>
      <w:r>
        <w:rPr>
          <w:rStyle w:val="Strong"/>
          <w:rFonts w:ascii="Times New Roman" w:hAnsi="Times New Roman"/>
          <w:sz w:val="36"/>
          <w:szCs w:val="36"/>
        </w:rPr>
        <w:t>V</w:t>
      </w:r>
      <w:r w:rsidRPr="00531914">
        <w:rPr>
          <w:rFonts w:ascii="Times New Roman" w:hAnsi="Times New Roman"/>
          <w:b/>
          <w:bCs/>
          <w:sz w:val="36"/>
          <w:szCs w:val="36"/>
        </w:rPr>
        <w:t>alidation of a Modified O'Leary Plaque Index Compared to the Standard OHI-S Among Elementary School Students at SDN Pudakpayung 02, Semarang</w:t>
      </w:r>
    </w:p>
    <w:p w14:paraId="0FCE25A0" w14:textId="4630289D" w:rsidR="00AB7C2F" w:rsidRPr="00EF7FDB" w:rsidRDefault="00AB7C2F" w:rsidP="00AB7C2F">
      <w:pPr>
        <w:pStyle w:val="NoSpacing"/>
        <w:ind w:right="1276" w:firstLine="0"/>
        <w:jc w:val="left"/>
        <w:rPr>
          <w:rFonts w:ascii="Cambria" w:hAnsi="Cambria" w:cstheme="majorBidi"/>
          <w:lang w:val="id-ID"/>
        </w:rPr>
      </w:pPr>
      <w:r>
        <w:rPr>
          <w:rFonts w:ascii="Cambria" w:hAnsi="Cambria" w:eastAsia="Cambria"/>
          <w:b/>
          <w:color w:val="231F20"/>
          <w:sz w:val="13"/>
          <w:highlight w:val="yellow"/>
          <w:vertAlign w:val="superscript"/>
        </w:rPr>
        <w:t>1</w:t>
      </w:r>
      <w:r>
        <w:rPr>
          <w:rFonts w:ascii="Cambria" w:hAnsi="Cambria" w:eastAsia="Cambria"/>
          <w:b/>
          <w:color w:val="231F20"/>
          <w:highlight w:val="yellow"/>
        </w:rPr>
        <w:t xml:space="preserve">Bambang Sutomo, </w:t>
      </w:r>
      <w:r>
        <w:rPr>
          <w:rFonts w:ascii="Cambria" w:hAnsi="Cambria" w:eastAsia="Cambria"/>
          <w:b/>
          <w:color w:val="231F20"/>
          <w:sz w:val="13"/>
          <w:highlight w:val="yellow"/>
          <w:vertAlign w:val="superscript"/>
        </w:rPr>
        <w:t>1</w:t>
      </w:r>
      <w:r>
        <w:rPr>
          <w:rFonts w:ascii="Cambria" w:hAnsi="Cambria" w:eastAsia="Cambria"/>
          <w:b/>
          <w:color w:val="231F20"/>
          <w:highlight w:val="yellow"/>
        </w:rPr>
        <w:t xml:space="preserve">Supriyana, </w:t>
      </w:r>
      <w:r>
        <w:rPr>
          <w:rFonts w:ascii="Cambria" w:hAnsi="Cambria" w:eastAsia="Cambria"/>
          <w:b/>
          <w:color w:val="231F20"/>
          <w:sz w:val="13"/>
          <w:highlight w:val="yellow"/>
          <w:vertAlign w:val="superscript"/>
        </w:rPr>
        <w:t>2</w:t>
      </w:r>
      <w:r>
        <w:rPr>
          <w:rFonts w:ascii="Cambria" w:hAnsi="Cambria" w:eastAsia="Cambria"/>
          <w:b/>
          <w:color w:val="231F20"/>
          <w:highlight w:val="yellow"/>
        </w:rPr>
        <w:t xml:space="preserve">Irmanita Wiradona, </w:t>
      </w:r>
      <w:r>
        <w:rPr>
          <w:rFonts w:ascii="Cambria" w:hAnsi="Cambria" w:eastAsia="Cambria"/>
          <w:b/>
          <w:color w:val="231F20"/>
          <w:sz w:val="13"/>
          <w:highlight w:val="yellow"/>
          <w:vertAlign w:val="superscript"/>
        </w:rPr>
        <w:t>3</w:t>
      </w:r>
      <w:r>
        <w:rPr>
          <w:rFonts w:ascii="Cambria" w:hAnsi="Cambria" w:eastAsia="Cambria"/>
          <w:b/>
          <w:color w:val="231F20"/>
          <w:highlight w:val="yellow"/>
        </w:rPr>
        <w:t xml:space="preserve">Luci Fitriyanti, </w:t>
      </w:r>
      <w:r>
        <w:rPr>
          <w:rFonts w:ascii="Cambria" w:hAnsi="Cambria" w:eastAsia="Cambria"/>
          <w:b/>
          <w:color w:val="231F20"/>
          <w:sz w:val="13"/>
          <w:highlight w:val="yellow"/>
          <w:vertAlign w:val="superscript"/>
        </w:rPr>
        <w:t>4</w:t>
      </w:r>
      <w:r>
        <w:rPr>
          <w:rFonts w:ascii="Cambria" w:hAnsi="Cambria" w:eastAsia="Cambria"/>
          <w:b/>
          <w:color w:val="231F20"/>
          <w:highlight w:val="yellow"/>
        </w:rPr>
        <w:t>Sari Luthfiyah</w:t>
      </w:r>
    </w:p>
    <w:p w14:paraId="29C7183D" w14:textId="5AA55BAB" w:rsidR="00664C6B" w:rsidRDefault="006E0898">
      <w:pPr>
        <w:spacing w:after="0" w:line="259" w:lineRule="auto"/>
        <w:ind w:left="0" w:right="0" w:firstLine="0"/>
        <w:jc w:val="left"/>
        <w:rPr>
          <w:rFonts w:ascii="Times New Roman" w:eastAsiaTheme="minorHAnsi" w:hAnsi="Times New Roman"/>
        </w:rPr>
      </w:pPr>
      <w:r>
        <w:rPr>
          <w:sz w:val="20"/>
        </w:rPr>
        <w:t xml:space="preserve">Corresponding Author: </w:t>
      </w:r>
      <w:r>
        <w:rPr>
          <w:b/>
          <w:sz w:val="20"/>
          <w:vertAlign w:val="superscript"/>
        </w:rPr>
        <w:t xml:space="preserve">* </w:t>
      </w:r>
      <w:hyperlink r:id="rId12" w:history="1">
        <w:r w:rsidR="00AB7C2F" w:rsidRPr="00765D54">
          <w:rPr>
            <w:rStyle w:val="Hyperlink"/>
            <w:rFonts w:ascii="Times New Roman" w:eastAsiaTheme="minorHAnsi" w:hAnsi="Times New Roman"/>
          </w:rPr>
          <w:t>bambangsutomo20@yahoo.co.id</w:t>
        </w:r>
      </w:hyperlink>
    </w:p>
    <w:p w14:paraId="1365FA2B" w14:textId="6701DE57" w:rsidR="00AB7C2F" w:rsidRDefault="00AB7C2F">
      <w:pPr>
        <w:spacing w:after="0" w:line="259" w:lineRule="auto"/>
        <w:ind w:left="0" w:right="0" w:firstLine="0"/>
        <w:jc w:val="left"/>
      </w:pPr>
      <w:r>
        <w:rPr>
          <w:rFonts w:ascii="Times New Roman" w:hAnsi="Times New Roman" w:eastAsia="Times New Roman"/>
          <w:color w:val="231F20"/>
          <w:sz w:val="13"/>
          <w:highlight w:val="yellow"/>
          <w:vertAlign w:val="superscript"/>
        </w:rPr>
        <w:t>1</w:t>
      </w:r>
      <w:r>
        <w:rPr>
          <w:rFonts w:ascii="Times New Roman" w:hAnsi="Times New Roman" w:eastAsia="Times New Roman"/>
          <w:color w:val="231F20"/>
          <w:highlight w:val="yellow"/>
        </w:rPr>
        <w:t>Lecturer in Master of Applied Health, Dental and Oral Therapist Study Programme, Postgraduate Programme, Poltekkes Kemenkes Semarang, Central Java, Indonesia</w:t>
      </w:r>
    </w:p>
    <w:p w14:paraId="789A32E2" w14:textId="4DBBACF6" w:rsidR="00AB7C2F" w:rsidRPr="00B331A8" w:rsidRDefault="00AB7C2F" w:rsidP="00AB7C2F">
      <w:pPr>
        <w:spacing w:after="0" w:line="259" w:lineRule="auto"/>
        <w:ind w:left="0"/>
        <w:jc w:val="left"/>
        <w:rPr>
          <w:rFonts w:ascii="Times New Roman" w:eastAsiaTheme="minorHAnsi" w:hAnsi="Times New Roman"/>
          <w:lang w:val="id-ID"/>
        </w:rPr>
      </w:pPr>
      <w:r>
        <w:rPr>
          <w:rFonts w:ascii="Times New Roman" w:hAnsi="Times New Roman" w:eastAsia="Times New Roman"/>
          <w:sz w:val="13"/>
          <w:highlight w:val="yellow"/>
          <w:vertAlign w:val="superscript"/>
        </w:rPr>
        <w:t>2</w:t>
      </w:r>
      <w:r>
        <w:rPr>
          <w:rFonts w:ascii="Times New Roman" w:hAnsi="Times New Roman" w:eastAsia="Times New Roman"/>
          <w:highlight w:val="yellow"/>
        </w:rPr>
        <w:t>Lecturer in Diploma III Dental Health Study Programme, Department of Dental Health, Poltekkes Kemenkes Semarang, Central Java, Indonesia</w:t>
      </w:r>
    </w:p>
    <w:p w14:paraId="2D1D6558" w14:textId="4FE04463" w:rsidR="00AB7C2F" w:rsidRDefault="00AB7C2F" w:rsidP="00AB7C2F">
      <w:pPr>
        <w:spacing w:after="2" w:line="254" w:lineRule="auto"/>
        <w:ind w:left="-5" w:right="0"/>
        <w:jc w:val="left"/>
        <w:rPr>
          <w:noProof/>
        </w:rPr>
      </w:pPr>
      <w:r>
        <w:rPr>
          <w:rFonts w:ascii="Times New Roman" w:hAnsi="Times New Roman" w:eastAsia="Times New Roman"/>
          <w:sz w:val="13"/>
          <w:highlight w:val="yellow"/>
          <w:vertAlign w:val="superscript"/>
        </w:rPr>
        <w:t>3</w:t>
      </w:r>
      <w:r>
        <w:rPr>
          <w:rFonts w:ascii="Times New Roman" w:hAnsi="Times New Roman" w:eastAsia="Times New Roman"/>
          <w:highlight w:val="yellow"/>
        </w:rPr>
        <w:t>Department of Dental Health, Poltekkes Kemenkes Semarang, Central Java, Indonesia</w:t>
      </w:r>
    </w:p>
    <w:p w14:paraId="2D1D6558" w14:textId="4FE04463" w:rsidR="00AB7C2F" w:rsidRDefault="00AB7C2F" w:rsidP="00AB7C2F">
      <w:pPr>
        <w:spacing w:after="2" w:line="254" w:lineRule="auto"/>
        <w:ind w:left="-5" w:right="0"/>
        <w:jc w:val="left"/>
        <w:rPr>
          <w:noProof/>
        </w:rPr>
      </w:pPr>
      <w:r>
        <w:rPr>
          <w:rFonts w:ascii="Times New Roman" w:hAnsi="Times New Roman" w:eastAsia="Times New Roman"/>
          <w:sz w:val="13"/>
          <w:highlight w:val="yellow"/>
          <w:vertAlign w:val="superscript"/>
        </w:rPr>
        <w:t>4</w:t>
      </w:r>
      <w:r>
        <w:rPr>
          <w:rFonts w:ascii="Times New Roman" w:hAnsi="Times New Roman" w:eastAsia="Times New Roman"/>
          <w:highlight w:val="yellow"/>
        </w:rPr>
        <w:t>Department of Nursing, Poltekkes Kemenkes Surabaya, Surabaya, East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06167052"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4A1BC9">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5C06350D" w14:textId="554697C8" w:rsidR="00D9142C" w:rsidRPr="00C929A8" w:rsidRDefault="00D9142C" w:rsidP="00D9142C">
            <w:pPr>
              <w:spacing w:after="0" w:line="259" w:lineRule="auto"/>
              <w:ind w:left="0" w:right="0" w:firstLine="0"/>
              <w:jc w:val="left"/>
            </w:pPr>
            <w:r w:rsidRPr="00C929A8">
              <w:rPr>
                <w:b/>
              </w:rPr>
              <w:t xml:space="preserve">Keywords </w:t>
            </w:r>
          </w:p>
          <w:p w14:paraId="209A8869" w14:textId="61CAC79C" w:rsidR="00FF4D58" w:rsidRDefault="0046575E" w:rsidP="00D9142C">
            <w:pPr>
              <w:spacing w:after="0" w:line="259" w:lineRule="auto"/>
              <w:ind w:left="0" w:right="0" w:firstLine="0"/>
              <w:jc w:val="left"/>
            </w:pPr>
            <w:r>
              <w:rPr>
                <w:color w:val="231F20"/>
                <w:sz w:val="20"/>
                <w:szCs w:val="20"/>
              </w:rPr>
              <w:t>o</w:t>
            </w:r>
            <w:r w:rsidRPr="005D7C65">
              <w:rPr>
                <w:color w:val="231F20"/>
                <w:sz w:val="20"/>
                <w:szCs w:val="20"/>
              </w:rPr>
              <w:t>ral hygiene index</w:t>
            </w:r>
            <w:r w:rsidRPr="00C929A8">
              <w:t xml:space="preserve"> </w:t>
            </w:r>
          </w:p>
          <w:p w14:paraId="3B1C8352" w14:textId="170FB6B6" w:rsidR="00FF4D58" w:rsidRDefault="0046575E" w:rsidP="00D9142C">
            <w:pPr>
              <w:spacing w:after="0" w:line="259" w:lineRule="auto"/>
              <w:ind w:left="0" w:right="0" w:firstLine="0"/>
              <w:jc w:val="left"/>
            </w:pPr>
            <w:r>
              <w:rPr>
                <w:color w:val="231F20"/>
                <w:sz w:val="20"/>
                <w:szCs w:val="20"/>
              </w:rPr>
              <w:t>p</w:t>
            </w:r>
            <w:r w:rsidRPr="005D7C65">
              <w:rPr>
                <w:color w:val="231F20"/>
                <w:sz w:val="20"/>
                <w:szCs w:val="20"/>
              </w:rPr>
              <w:t>laque index</w:t>
            </w:r>
            <w:r w:rsidRPr="00C929A8">
              <w:t xml:space="preserve"> </w:t>
            </w:r>
          </w:p>
          <w:p w14:paraId="539B1A18" w14:textId="040A2BEF" w:rsidR="00FF4D58" w:rsidRDefault="0046575E" w:rsidP="00D9142C">
            <w:pPr>
              <w:spacing w:after="0" w:line="259" w:lineRule="auto"/>
              <w:ind w:left="0" w:right="0" w:firstLine="0"/>
              <w:jc w:val="left"/>
            </w:pPr>
            <w:r w:rsidRPr="005D7C65">
              <w:rPr>
                <w:color w:val="231F20"/>
                <w:sz w:val="20"/>
                <w:szCs w:val="20"/>
              </w:rPr>
              <w:t>o’leary</w:t>
            </w:r>
            <w:r w:rsidRPr="00C929A8">
              <w:t xml:space="preserve"> </w:t>
            </w:r>
          </w:p>
          <w:p w14:paraId="5CE16847" w14:textId="34A4D4F4" w:rsidR="00FF4D58" w:rsidRDefault="0046575E" w:rsidP="00D9142C">
            <w:pPr>
              <w:spacing w:after="0" w:line="259" w:lineRule="auto"/>
              <w:ind w:left="0" w:right="0" w:firstLine="0"/>
              <w:jc w:val="left"/>
            </w:pPr>
            <w:r w:rsidRPr="005D7C65">
              <w:rPr>
                <w:color w:val="231F20"/>
                <w:sz w:val="20"/>
                <w:szCs w:val="20"/>
              </w:rPr>
              <w:t>ohi-s</w:t>
            </w:r>
            <w:r w:rsidRPr="00C929A8">
              <w:t xml:space="preserve"> </w:t>
            </w:r>
          </w:p>
          <w:p w14:paraId="6667D732" w14:textId="7A1EA6EE" w:rsidR="00664C6B" w:rsidRPr="00C929A8" w:rsidRDefault="0046575E">
            <w:pPr>
              <w:spacing w:after="0" w:line="259" w:lineRule="auto"/>
              <w:ind w:left="0" w:right="0" w:firstLine="0"/>
              <w:jc w:val="left"/>
            </w:pPr>
            <w:r>
              <w:rPr>
                <w:color w:val="231F20"/>
                <w:sz w:val="20"/>
                <w:highlight w:val="yellow"/>
              </w:rPr>
              <w:t>method comparison</w:t>
            </w:r>
          </w:p>
        </w:tc>
        <w:tc>
          <w:tcPr>
            <w:tcW w:w="6191" w:type="dxa"/>
            <w:tcBorders>
              <w:top w:val="single" w:sz="4" w:space="0" w:color="2F5496"/>
              <w:bottom w:val="nil"/>
            </w:tcBorders>
            <w:shd w:val="clear" w:color="auto" w:fill="D9D9D9"/>
          </w:tcPr>
          <w:p w14:paraId="500656FD" w14:textId="77777777" w:rsidR="006E0898" w:rsidRDefault="006E0898" w:rsidP="00727C96">
            <w:pPr>
              <w:spacing w:after="0" w:line="259" w:lineRule="auto"/>
              <w:ind w:left="0" w:right="195" w:firstLine="0"/>
            </w:pPr>
          </w:p>
          <w:p w14:paraId="2BBE076C" w14:textId="77777777" w:rsidR="00D9142C" w:rsidRPr="003F709B" w:rsidRDefault="00D9142C" w:rsidP="00727C96">
            <w:pPr>
              <w:widowControl w:val="0"/>
              <w:autoSpaceDE w:val="0"/>
              <w:autoSpaceDN w:val="0"/>
              <w:spacing w:before="104" w:line="249" w:lineRule="auto"/>
              <w:ind w:left="22" w:right="124" w:firstLine="0"/>
              <w:jc w:val="both"/>
              <w:rPr>
                <w:rFonts w:ascii="Times New Roman" w:hAnsi="Times New Roman"/>
                <w:color w:val="231F20"/>
                <w:lang w:val="en-ID"/>
              </w:rPr>
            </w:pPr>
            <w:r>
              <w:rPr>
                <w:rFonts w:ascii="Times New Roman" w:hAnsi="Times New Roman" w:eastAsia="Times New Roman"/>
                <w:color w:val="231F20"/>
                <w:highlight w:val="yellow"/>
              </w:rPr>
              <w:t>Oral hygiene monitoring is important in school-based prevention programmes, but standard indices may be difficult to apply routinely outside dental settings. This study compared a modified O’Leary Plaque Index, limited to labial/oral surfaces, with the standard OHI-S debris index among elementary school students at SDN Pudakpayung 02, Semarang. In this comparative within-subject study, 192 students underwent both examinations. Content validity was assessed by five experts using Aiken’s V; all items exceeded 0.80. Inter-rater reliability was assessed using the intraclass correlation coefficient (ICC). Descriptive results are presented as proportions with 95% confidence intervals (CIs), and paired scores were compared using the Wilcoxon signed-rank test. The moderate category was most frequent with both methods: 45.3% (95% CI, 38.4–52.4) for OHI-S and 41.7% (95% CI, 34.9–48.7) for the modified index. The paired comparison showed no statistically significant difference (p = 0.225), and the reported homogeneity test was not significant (p = 0.862). The ICC of 0.671 indicated moderate inter-rater reliability. These findings show similar group-level oral hygiene distributions; they do not by themselves establish diagnostic equivalence or individual-level agreement. With structured training and calibration, the modified index may be further evaluated as a practical screening tool for school-based oral-health programmes.</w:t>
            </w:r>
          </w:p>
          <w:p w14:paraId="38B796BF" w14:textId="3AB42361" w:rsidR="00664C6B" w:rsidRDefault="00664C6B" w:rsidP="00256EDE">
            <w:pPr>
              <w:spacing w:after="0" w:line="259" w:lineRule="auto"/>
              <w:ind w:left="240" w:right="195" w:firstLine="0"/>
            </w:pPr>
          </w:p>
        </w:tc>
      </w:tr>
    </w:tbl>
    <w:p w14:paraId="22C23977" w14:textId="77777777" w:rsidR="00D9142C" w:rsidRDefault="00D9142C" w:rsidP="00323CBA">
      <w:pPr>
        <w:pStyle w:val="Heading1"/>
        <w:spacing w:after="120" w:line="360" w:lineRule="auto"/>
        <w:ind w:left="-5"/>
        <w:sectPr w:rsidR="00D9142C" w:rsidSect="009A7897">
          <w:headerReference w:type="even" r:id="rId13"/>
          <w:headerReference w:type="default" r:id="rId14"/>
          <w:footerReference w:type="even" r:id="rId15"/>
          <w:footerReference w:type="default" r:id="rId16"/>
          <w:headerReference w:type="first" r:id="rId17"/>
          <w:footerReference w:type="first" r:id="rId18"/>
          <w:pgSz w:w="11906" w:h="16841" w:code="9"/>
          <w:pgMar w:top="1418" w:right="1418" w:bottom="1418" w:left="1701" w:header="720" w:footer="851" w:gutter="0"/>
          <w:pgNumType w:start="1"/>
          <w:cols w:space="720"/>
          <w:titlePg/>
        </w:sectPr>
      </w:pPr>
    </w:p>
    <w:p w14:paraId="23E54A91" w14:textId="2B134014" w:rsidR="00664C6B" w:rsidRDefault="00C929A8" w:rsidP="00323CBA">
      <w:pPr>
        <w:pStyle w:val="Heading1"/>
        <w:spacing w:after="120" w:line="360" w:lineRule="auto"/>
        <w:ind w:left="-5"/>
      </w:pPr>
      <w:r>
        <w:lastRenderedPageBreak/>
        <w:t>Introduction</w:t>
      </w:r>
    </w:p>
    <w:p w14:paraId="1845601E" w14:textId="77777777" w:rsidR="007E5D5C" w:rsidRPr="007E5D5C" w:rsidRDefault="007E5D5C" w:rsidP="007E5D5C">
      <w:pPr>
        <w:pStyle w:val="NoSpacing"/>
        <w:spacing w:before="120" w:line="360" w:lineRule="auto"/>
        <w:rPr>
          <w:bCs/>
          <w:lang w:val="en-ID"/>
        </w:rPr>
      </w:pPr>
      <w:r w:rsidRPr="007E5D5C">
        <w:rPr>
          <w:bCs/>
          <w:lang w:val="en-ID"/>
        </w:rPr>
        <w:t>Oral health has long been recognized as an integral component of overall health, a position reinforced by the Sixtieth World Health Assembly (WHA) in 2007, which emphasizes the importance of integrating oral health into general health promotion strategies [18]. Indonesia has implemented school-based oral health programs, including the Usaha Kesehatan Gigi Sekolah (UKGS), which promotes daily toothbrushing and self-care practices as part of broader health-promoting school initiatives [10].</w:t>
      </w:r>
    </w:p>
    <w:p w14:paraId="38852807" w14:textId="77777777" w:rsidR="007E5D5C" w:rsidRPr="007E5D5C" w:rsidRDefault="007E5D5C" w:rsidP="007E5D5C">
      <w:pPr>
        <w:pStyle w:val="NoSpacing"/>
        <w:spacing w:before="120" w:line="360" w:lineRule="auto"/>
        <w:rPr>
          <w:bCs/>
          <w:lang w:val="en-ID"/>
        </w:rPr>
      </w:pPr>
      <w:r w:rsidRPr="007E5D5C">
        <w:rPr>
          <w:bCs/>
          <w:lang w:val="en-ID"/>
        </w:rPr>
        <w:t>Despite a reported national toothbrushing rate of 94.7%, only 2.8% of Indonesians brush their teeth at recommended times—after breakfast and before bedtime [5]. This gap between behavior and technique contributes to persistent plaque accumulation and the continued burden of dental caries among school-aged children. Dental plaque is a complex biofilm that plays a central role in the development of caries and periodontal diseases [7]. National epidemiological data indicate that dental caries prevalence remains high, with substantial proportions of untreated decay, reflecting the need for strengthened preventive measures and early detection at the school level [5].</w:t>
      </w:r>
    </w:p>
    <w:p w14:paraId="675D792B" w14:textId="77777777" w:rsidR="007E5D5C" w:rsidRPr="007E5D5C" w:rsidRDefault="007E5D5C" w:rsidP="007E5D5C">
      <w:pPr>
        <w:pStyle w:val="NoSpacing"/>
        <w:spacing w:before="120" w:line="360" w:lineRule="auto"/>
        <w:rPr>
          <w:bCs/>
          <w:lang w:val="en-ID"/>
        </w:rPr>
      </w:pPr>
      <w:r w:rsidRPr="007E5D5C">
        <w:rPr>
          <w:bCs/>
          <w:lang w:val="en-ID"/>
        </w:rPr>
        <w:t>Assessment of oral hygiene status traditionally relies on the Simplified Oral Hygiene Index (OHI-S) established by Greene and Vermillion [4]. While widely accepted and standardized, OHI-S requires examination of six specific index teeth and is typically performed by trained dental personnel. Alternatively, the O’Leary Plaque Index provides detailed mapping of plaque across tooth surfaces and has been widely used in periodontal assessment [14], but it is relatively complex for community-based cadres to apply. In Indonesia, community participation in oral health efforts remains suboptimal, with prior studies showing that nearly one-fifth of health cadres were inactive in providing guidance [15].</w:t>
      </w:r>
    </w:p>
    <w:p w14:paraId="07FE64A7" w14:textId="77777777" w:rsidR="007E5D5C" w:rsidRPr="007E5D5C" w:rsidRDefault="007E5D5C" w:rsidP="007E5D5C">
      <w:pPr>
        <w:pStyle w:val="NoSpacing"/>
        <w:spacing w:before="120" w:line="360" w:lineRule="auto"/>
        <w:rPr>
          <w:bCs/>
          <w:lang w:val="en-ID"/>
        </w:rPr>
      </w:pPr>
      <w:r w:rsidRPr="007E5D5C">
        <w:rPr>
          <w:bCs/>
          <w:lang w:val="en-ID"/>
        </w:rPr>
        <w:t>Given the crucial role of UKS/UKGS teachers and cadres, national health policies emphasize promotive, preventive, early detection, curative, and rehabilitative oral health efforts within the Basic Package of Oral Care (BPOC) framework [3,6]. In alignment with WHO recommendations, there is a growing need for simple, practical, and accurate tools that enable early detection of oral hygiene problems at the community and school levels [18].</w:t>
      </w:r>
    </w:p>
    <w:p w14:paraId="45682213" w14:textId="77777777" w:rsidR="007E5D5C" w:rsidRPr="007E5D5C" w:rsidRDefault="007E5D5C" w:rsidP="007E5D5C">
      <w:pPr>
        <w:pStyle w:val="NoSpacing"/>
        <w:spacing w:before="120" w:line="360" w:lineRule="auto"/>
        <w:rPr>
          <w:bCs/>
          <w:lang w:val="en-ID"/>
        </w:rPr>
      </w:pPr>
      <w:r w:rsidRPr="007E5D5C">
        <w:rPr>
          <w:bCs/>
          <w:lang w:val="en-ID"/>
        </w:rPr>
        <w:t xml:space="preserve">To address this need, a modified version of the O’Leary Plaque Index—limited to labial/oral surfaces—has been developed. Clinically, labial surfaces are more accessible, easier to clean, and subject to natural mechanical cleansing during mastication. The </w:t>
      </w:r>
      <w:r w:rsidRPr="007E5D5C">
        <w:rPr>
          <w:bCs/>
          <w:lang w:val="en-ID"/>
        </w:rPr>
        <w:lastRenderedPageBreak/>
        <w:t>persistence of plaque on these surfaces may therefore indicate inadequate oral hygiene practices and reflect broader plaque accumulation patterns [9]. However, despite its potential advantages, no formal validation of this modified O’Leary method for use by school health cadres has been conducted, representing a significant research gap.</w:t>
      </w:r>
    </w:p>
    <w:p w14:paraId="46F010B6" w14:textId="77777777" w:rsidR="007E5D5C" w:rsidRPr="007E5D5C" w:rsidRDefault="007E5D5C" w:rsidP="007E5D5C">
      <w:pPr>
        <w:pStyle w:val="NoSpacing"/>
        <w:spacing w:before="120" w:line="360" w:lineRule="auto"/>
        <w:jc w:val="both"/>
        <w:rPr>
          <w:bCs/>
          <w:lang w:val="en-ID"/>
        </w:rPr>
      </w:pPr>
      <w:r>
        <w:rPr>
          <w:highlight w:val="yellow"/>
        </w:rPr>
        <w:t>Recent systematic reviews indicate that school-based oral-health education can improve oral-health outcomes and oral hygiene behaviours when interventions are sustained and theory-informed [19–21]. Accordingly, this study compared group-level oral hygiene status using the modified O’Leary Plaque Index and the OHI-S debris index, and described the content validity and inter-rater reliability of the modified procedure. The findings are interpreted as a method comparison, not as proof of diagnostic equivalence.</w:t>
      </w:r>
    </w:p>
    <w:p w14:paraId="7621A2D3" w14:textId="03BD8288" w:rsidR="00087A2A" w:rsidRDefault="00087A2A" w:rsidP="00087A2A">
      <w:pPr>
        <w:pStyle w:val="NoSpacing"/>
        <w:spacing w:before="120" w:line="360" w:lineRule="auto"/>
        <w:rPr>
          <w:rFonts w:ascii="Cambria" w:hAnsi="Cambria"/>
          <w:bCs/>
          <w:sz w:val="22"/>
          <w:szCs w:val="22"/>
          <w:lang w:val="en-ID"/>
        </w:rPr>
      </w:pPr>
    </w:p>
    <w:p w14:paraId="20258C9B" w14:textId="77777777" w:rsidR="00087A2A" w:rsidRPr="00F84920" w:rsidRDefault="00087A2A" w:rsidP="00087A2A">
      <w:pPr>
        <w:pStyle w:val="Heading1"/>
        <w:spacing w:after="120" w:line="360" w:lineRule="auto"/>
        <w:ind w:left="0" w:firstLine="0"/>
      </w:pPr>
      <w:r w:rsidRPr="00F84920">
        <w:t xml:space="preserve">Material </w:t>
      </w:r>
      <w:r>
        <w:t>a</w:t>
      </w:r>
      <w:r w:rsidRPr="00F84920">
        <w:t>nd Methods</w:t>
      </w:r>
    </w:p>
    <w:p w14:paraId="5B8FC716"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77777777" w:rsidR="00087A2A"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This was a comparative cross-sectional within-subject method-comparison study. No randomisation or intervention was undertaken. Each participant underwent two oral hygiene examinations during the same data-collection period: (1) the debris component of the standard OHI-S and (2) the modified O’Leary Plaque Index. Using the same participants for both methods enabled paired comparison of the two scores.</w:t>
      </w:r>
    </w:p>
    <w:p w14:paraId="5374B8F7"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Pr="00580EB2"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The study was conducted at SDN Pudakpayung 02, Semarang, in November 2023. The source population comprised 237 students in grades 1–6. Purposive sampling was used. Students were screened to confirm the presence of all six OHI-S index teeth and to exclude index teeth affected by caries or extraction. A total of 192 students met the eligibility criteria and participated in the study.</w:t>
      </w:r>
    </w:p>
    <w:p w14:paraId="5DAA1249"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608C734D" w14:textId="77777777" w:rsidR="00087A2A" w:rsidRPr="00580EB2" w:rsidRDefault="00087A2A" w:rsidP="00087A2A">
      <w:pPr>
        <w:pStyle w:val="NoSpacing"/>
        <w:keepNext w:val="0"/>
        <w:spacing w:after="120" w:line="360" w:lineRule="auto"/>
        <w:ind w:left="-5"/>
        <w:jc w:val="both"/>
        <w:rPr>
          <w:rFonts w:eastAsiaTheme="minorEastAsia" w:cs="Times New Roman"/>
          <w:b w:val="0"/>
          <w:color w:val="auto"/>
          <w:sz w:val="22"/>
          <w:lang w:val="en-ID" w:eastAsia="en-US"/>
        </w:rPr>
      </w:pPr>
      <w:r>
        <w:rPr>
          <w:b w:val="0"/>
          <w:sz w:val="22"/>
          <w:highlight w:val="yellow"/>
        </w:rPr>
        <w:t>Oral hygiene status was assessed using two methods. For the standard OHI-S debris index, the prescribed six index teeth and the indicated buccal, labial, or lingual surfaces were examined. Debris was scored from 0 to 3 according to the Greene and Vermillion criteria. The individual debris score was obtained from the examined surfaces and classified as good (0.0–0.6), moderate/fair (0.7–1.8), or poor (1.9–3.0).</w:t>
      </w:r>
    </w:p>
    <w:p w14:paraId="073049B0" w14:textId="77777777" w:rsidR="00087A2A" w:rsidRPr="00580EB2"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For the modified O’Leary Plaque Index, plaque was disclosed on all teeth, but only the labial/oral surfaces were scored. A stained surface was scored as 1 and an unstained surface as 0. The plaque score was calculated as the number of stained assessed surfaces divided by the total assessed surfaces, multiplied by 100. The percentage was classified as good (&lt;34%), moderate (34–67%), or poor (68–100%).</w:t>
      </w:r>
      <w:r>
        <w:rPr>
          <w:sz w:val="22"/>
          <w:highlight w:val="red"/>
          <w:color w:val="FFFFFF"/>
          <w:b/>
        </w:rPr>
        <w:br/>
        <w:t>[INSERT AUTHOR DATA: State the examiner(s), plaque-disclosing agent, whether the same examiner performed both methods, and the training/calibration procedure before data collection.]</w:t>
      </w:r>
    </w:p>
    <w:p w14:paraId="628789F3" w14:textId="77777777" w:rsidR="00087A2A" w:rsidRPr="00580EB2"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For the modified O’Leary plaque index, plaque was disclosed on all teeth; however, only labial/oral surfaces were assessed. Each stained surface was scored as 1, while unstained surfaces were scored as 0. The percentage of plaque-covered surfaces was calculated and categorized as follows: &lt;34% (good), 34–67% (moderate), and 68–100% (poor).</w:t>
      </w:r>
    </w:p>
    <w:p w14:paraId="1DD019A6" w14:textId="77777777" w:rsidR="00087A2A" w:rsidRPr="00087A2A" w:rsidRDefault="00087A2A" w:rsidP="00087A2A">
      <w:pPr>
        <w:rPr>
          <w:lang w:val="en-ID" w:eastAsia="en-US"/>
        </w:rPr>
      </w:pPr>
    </w:p>
    <w:p w14:paraId="10460A73" w14:textId="77777777" w:rsidR="00580EB2" w:rsidRPr="00580EB2" w:rsidRDefault="00580EB2" w:rsidP="00B10C5D">
      <w:pPr>
        <w:pStyle w:val="Heading1"/>
        <w:spacing w:after="120" w:line="360" w:lineRule="auto"/>
        <w:ind w:left="0" w:firstLine="0"/>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lastRenderedPageBreak/>
        <w:t>Validity and Reliability</w:t>
      </w:r>
    </w:p>
    <w:p w14:paraId="6A0B8749"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Content validity was assessed by five experts using Aiken’s V. The evaluation covered the clarity of the examination instructions, the appropriateness of limiting observation to labial/oral surfaces, the plaque-disclosure procedure, binary surface scoring, score calculation, and category interpretation. An Aiken’s V value of at least 0.80 was considered acceptable, and all evaluated items exceeded this threshold.</w:t>
      </w:r>
      <w:r>
        <w:rPr>
          <w:sz w:val="22"/>
          <w:highlight w:val="red"/>
          <w:color w:val="FFFFFF"/>
          <w:b/>
        </w:rPr>
        <w:br/>
        <w:t>[INSERT AUTHOR DATA: Add the rating scale used, the item-level Aiken's V values, and a table showing each item, assessed dimension, and Aiken's V result.]</w:t>
      </w:r>
    </w:p>
    <w:p w14:paraId="5751ED7C"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Inter-rater reliability was evaluated using the intraclass correlation coefficient (ICC) with a two-way random-effects, average-measures model. The ICC across five raters was 0.671, indicating moderate reliability.</w:t>
      </w:r>
      <w:r>
        <w:rPr>
          <w:sz w:val="22"/>
          <w:highlight w:val="red"/>
          <w:color w:val="FFFFFF"/>
          <w:b/>
        </w:rPr>
        <w:br/>
        <w:t>[INSERT AUTHOR DATA: Add the ICC 95% CI, F statistic, p value, number of raters, and number of cases from the original ICC output.]</w:t>
      </w:r>
    </w:p>
    <w:p w14:paraId="7D109273" w14:textId="77777777" w:rsidR="00580EB2" w:rsidRPr="00580EB2" w:rsidRDefault="00580EB2" w:rsidP="00580EB2">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Descriptive statistics were used to summarise oral hygiene categories. Category proportions are reported with 95% CIs calculated using the Wilson method. Paired OHI-S and modified-index scores were compared using the Wilcoxon signed-rank test at α = 0.05. The Wilcoxon result was interpreted as evidence of a difference or no detectable difference between scores; it was not interpreted as proof of diagnostic equivalence. Formal agreement between the three-category results requires a participant-level paired cross-tabulation and should be evaluated using weighted Cohen’s kappa with a 95% CI.</w:t>
      </w:r>
      <w:r>
        <w:rPr>
          <w:sz w:val="22"/>
          <w:highlight w:val="red"/>
          <w:color w:val="FFFFFF"/>
          <w:b/>
        </w:rPr>
        <w:br/>
        <w:t>[INSERT AUTHOR DATA: Report the planned calculation of Wilcoxon effect size (r = Z/√N) and weighted Cohen's kappa with 95% CI using the paired individual data.]</w:t>
      </w:r>
    </w:p>
    <w:p w14:paraId="0DBB0536" w14:textId="5FBFD844" w:rsidR="00B17F27" w:rsidRPr="00FD396E" w:rsidRDefault="00B17F27" w:rsidP="00BB2126">
      <w:pPr>
        <w:pStyle w:val="NoSpacing"/>
        <w:tabs>
          <w:tab w:val="left" w:pos="709"/>
        </w:tabs>
        <w:ind w:firstLine="0"/>
        <w:rPr>
          <w:rFonts w:ascii="Cambria" w:hAnsi="Cambria"/>
          <w:b/>
          <w:color w:val="000000"/>
        </w:rPr>
      </w:pPr>
      <w:r w:rsidRPr="00FD396E">
        <w:rPr>
          <w:rFonts w:ascii="Cambria" w:hAnsi="Cambria"/>
          <w:b/>
          <w:color w:val="000000"/>
        </w:rPr>
        <w:t>Result</w:t>
      </w:r>
      <w:r w:rsidR="00B10C5D" w:rsidRPr="00FD396E">
        <w:rPr>
          <w:rFonts w:ascii="Cambria" w:hAnsi="Cambria"/>
          <w:b/>
          <w:color w:val="000000"/>
        </w:rPr>
        <w:t>s</w:t>
      </w:r>
    </w:p>
    <w:p w14:paraId="1FEACD94" w14:textId="289FA0DA" w:rsidR="00775514" w:rsidRPr="00775514" w:rsidRDefault="00775514" w:rsidP="00775514">
      <w:pPr>
        <w:pStyle w:val="NoSpacing"/>
        <w:spacing w:line="360" w:lineRule="auto"/>
        <w:ind w:firstLine="0"/>
        <w:rPr>
          <w:rFonts w:ascii="Cambria" w:hAnsi="Cambria"/>
          <w:b/>
          <w:bCs/>
          <w:noProof/>
          <w:lang w:val="en-ID" w:eastAsia="en-ID"/>
        </w:rPr>
      </w:pPr>
      <w:r>
        <w:rPr>
          <w:rFonts w:ascii="Cambria" w:hAnsi="Cambria" w:eastAsia="Cambria"/>
          <w:b/>
          <w:highlight w:val="yellow"/>
        </w:rPr>
        <w:t>Oral Hygiene Status Using the Standard OHI-S Debris Index</w:t>
      </w:r>
    </w:p>
    <w:p w14:paraId="0DDD7512" w14:textId="77777777" w:rsidR="00775514" w:rsidRPr="00775514" w:rsidRDefault="00775514" w:rsidP="00775514">
      <w:pPr>
        <w:pStyle w:val="NoSpacing"/>
        <w:spacing w:line="360" w:lineRule="auto"/>
        <w:jc w:val="both"/>
        <w:rPr>
          <w:noProof/>
          <w:sz w:val="22"/>
          <w:szCs w:val="22"/>
          <w:lang w:val="en-ID" w:eastAsia="en-ID"/>
        </w:rPr>
      </w:pPr>
      <w:r>
        <w:rPr>
          <w:sz w:val="22"/>
          <w:highlight w:val="yellow"/>
        </w:rPr>
        <w:t>A total of 192 elementary school students were assessed using the standard OHI-S debris index. The moderate category was most frequent: 87 students (45.3%; 95% CI, 38.4–52.4). Seventy-four students were classified as good (38.5%; 95% CI, 31.9–45.6), whereas 31 were classified as poor (16.1%; 95% CI, 11.6–22.0) (Figure 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6CB03ED0" w:rsidR="00B17F27" w:rsidRPr="00F3196E" w:rsidRDefault="00330E6A" w:rsidP="0029463D">
      <w:pPr>
        <w:spacing w:after="120" w:line="360" w:lineRule="auto"/>
        <w:jc w:val="center"/>
        <w:rPr>
          <w:b/>
          <w:bCs/>
          <w:lang w:val="en-ID" w:eastAsia="en-ID"/>
        </w:rPr>
      </w:pPr>
      <w:r>
        <w:rPr>
          <w:b/>
          <w:highlight w:val="yellow"/>
        </w:rPr>
        <w:t>Figure</w:t>
      </w:r>
      <w:r>
        <w:rPr>
          <w:b/>
          <w:highlight w:val="yellow"/>
        </w:rPr>
        <w:t xml:space="preserve"> 1. </w:t>
      </w:r>
      <w:r>
        <w:rPr>
          <w:b/>
          <w:i/>
          <w:highlight w:val="yellow"/>
        </w:rPr>
        <w:t>Distribution of oral hygiene status using the OHI-S debris index (n = 192).</w:t>
      </w:r>
    </w:p>
    <w:p w14:paraId="0FAE567C" w14:textId="687A527D" w:rsidR="00B17F27" w:rsidRPr="00F3196E" w:rsidRDefault="00B17F27" w:rsidP="0029463D">
      <w:pPr>
        <w:spacing w:after="120" w:line="360" w:lineRule="auto"/>
        <w:jc w:val="center"/>
        <w:rPr>
          <w:lang w:val="en-ID" w:eastAsia="en-ID"/>
        </w:rPr>
      </w:pPr>
    </w:p>
    <w:p w14:paraId="254E2138" w14:textId="49D915D0" w:rsidR="00775514" w:rsidRPr="00775514" w:rsidRDefault="00905619" w:rsidP="00775514">
      <w:pPr>
        <w:spacing w:after="120" w:line="360" w:lineRule="auto"/>
        <w:ind w:left="0" w:firstLine="0"/>
        <w:outlineLvl w:val="1"/>
        <w:rPr>
          <w:b/>
          <w:bCs/>
          <w:noProof/>
          <w:lang w:val="en-ID" w:eastAsia="en-ID"/>
        </w:rPr>
      </w:pPr>
      <w:r w:rsidRPr="00F3196E">
        <w:rPr>
          <w:noProof/>
          <w:lang w:val="en-ID" w:eastAsia="en-ID"/>
        </w:rPr>
        <w:lastRenderedPageBreak/>
        <w:drawing>
          <wp:anchor distT="0" distB="0" distL="114300" distR="114300" simplePos="0" relativeHeight="251665408" behindDoc="0" locked="0" layoutInCell="1" allowOverlap="1" wp14:anchorId="5DE97640" wp14:editId="2D8F02A3">
            <wp:simplePos x="0" y="0"/>
            <wp:positionH relativeFrom="column">
              <wp:posOffset>1323109</wp:posOffset>
            </wp:positionH>
            <wp:positionV relativeFrom="paragraph">
              <wp:posOffset>1652962</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Pr>
          <w:b/>
          <w:highlight w:val="yellow"/>
        </w:rPr>
        <w:t>Oral Hygiene Status Using the Modified O’Leary Plaque Index</w:t>
      </w:r>
    </w:p>
    <w:p w14:paraId="415D314B" w14:textId="77777777" w:rsidR="00775514" w:rsidRPr="00775514" w:rsidRDefault="00775514" w:rsidP="00775514">
      <w:pPr>
        <w:spacing w:after="120" w:line="360" w:lineRule="auto"/>
        <w:ind w:firstLine="699"/>
        <w:jc w:val="both"/>
        <w:outlineLvl w:val="1"/>
        <w:rPr>
          <w:noProof/>
          <w:lang w:val="en-ID" w:eastAsia="en-ID"/>
        </w:rPr>
      </w:pPr>
      <w:r>
        <w:rPr>
          <w:highlight w:val="yellow"/>
        </w:rPr>
        <w:t>Using the modified O’Leary Plaque Index, 80 students (41.7%; 95% CI, 34.9–48.7) were classified in the moderate category. Sixty-two students were classified as good (32.3%; 95% CI, 26.1–39.2), and 50 as poor (26.0%; 95% CI, 20.3–32.7) (Figure 2).</w:t>
      </w:r>
    </w:p>
    <w:p w14:paraId="3D906230" w14:textId="6CFFE7F9" w:rsidR="00B17F27" w:rsidRPr="00F3196E" w:rsidRDefault="00B17F27" w:rsidP="00F12812">
      <w:pPr>
        <w:spacing w:after="120" w:line="360" w:lineRule="auto"/>
        <w:ind w:left="0" w:firstLine="0"/>
        <w:outlineLvl w:val="1"/>
        <w:rPr>
          <w:b/>
          <w:bCs/>
          <w:lang w:val="en-ID" w:eastAsia="en-ID"/>
        </w:rPr>
      </w:pPr>
    </w:p>
    <w:p w14:paraId="74B32940" w14:textId="6158CD53" w:rsidR="00B17F27" w:rsidRPr="00F3196E" w:rsidRDefault="00905619" w:rsidP="0029463D">
      <w:pPr>
        <w:spacing w:after="120" w:line="360" w:lineRule="auto"/>
        <w:jc w:val="center"/>
        <w:rPr>
          <w:b/>
          <w:bCs/>
          <w:lang w:val="en-ID" w:eastAsia="en-ID"/>
        </w:rPr>
      </w:pPr>
      <w:r>
        <w:rPr>
          <w:b/>
          <w:highlight w:val="yellow"/>
        </w:rPr>
        <w:t>Figure</w:t>
      </w:r>
      <w:r>
        <w:rPr>
          <w:b/>
          <w:highlight w:val="yellow"/>
        </w:rPr>
        <w:t xml:space="preserve"> 2. </w:t>
      </w:r>
      <w:r>
        <w:rPr>
          <w:b/>
          <w:i/>
          <w:highlight w:val="yellow"/>
        </w:rPr>
        <w:t>Oral hygiene status using modified O’Leary Plaque Index (n=192).</w:t>
      </w:r>
    </w:p>
    <w:p w14:paraId="18427809" w14:textId="32D7E5A2" w:rsidR="00B17F27" w:rsidRPr="00F3196E" w:rsidRDefault="00B17F27" w:rsidP="0029463D">
      <w:pPr>
        <w:spacing w:after="120" w:line="360" w:lineRule="auto"/>
        <w:jc w:val="center"/>
        <w:rPr>
          <w:lang w:val="en-ID" w:eastAsia="en-ID"/>
        </w:rPr>
      </w:pPr>
    </w:p>
    <w:p w14:paraId="5D84F767" w14:textId="77777777" w:rsidR="00775514" w:rsidRPr="00775514" w:rsidRDefault="00775514" w:rsidP="00775514">
      <w:pPr>
        <w:spacing w:after="120" w:line="360" w:lineRule="auto"/>
        <w:rPr>
          <w:rFonts w:eastAsiaTheme="minorEastAsia" w:cstheme="majorBidi"/>
          <w:b/>
          <w:bCs/>
          <w:color w:val="auto"/>
          <w:lang w:val="en-ID" w:eastAsia="en-US"/>
        </w:rPr>
      </w:pPr>
      <w:r>
        <w:rPr>
          <w:b/>
          <w:highlight w:val="yellow"/>
        </w:rPr>
        <w:t>Comparison Between the OHI-S Debris Index and the Modified O’Leary Plaque Index</w:t>
      </w:r>
    </w:p>
    <w:p w14:paraId="51141E08" w14:textId="77777777" w:rsidR="00775514" w:rsidRPr="00775514" w:rsidRDefault="00775514" w:rsidP="00775514">
      <w:pPr>
        <w:spacing w:after="120" w:line="360" w:lineRule="auto"/>
        <w:ind w:firstLine="699"/>
        <w:jc w:val="both"/>
        <w:rPr>
          <w:rFonts w:eastAsiaTheme="minorEastAsia" w:cstheme="majorBidi"/>
          <w:color w:val="auto"/>
          <w:lang w:val="en-ID" w:eastAsia="en-US"/>
        </w:rPr>
      </w:pPr>
      <w:r>
        <w:rPr>
          <w:highlight w:val="yellow"/>
        </w:rPr>
        <w:t>The paired Wilcoxon signed-rank test yielded p = 0.225, indicating that no statistically detectable difference between the two score distributions was observed at α = 0.05. The reported homogeneity test was also not statistically significant (p = 0.862).</w:t>
      </w:r>
      <w:r>
        <w:rPr>
          <w:highlight w:val="red"/>
          <w:color w:val="FFFFFF"/>
          <w:b/>
        </w:rPr>
        <w:br/>
        <w:t>[INSERT AUTHOR RESULTS: Add Wilcoxon Z, N of non-zero pairs, effect size r, weighted Cohen's kappa with 95% CI and p value, plus the exact name/statistic/df of the test that produced p = 0.862.]</w:t>
      </w:r>
    </w:p>
    <w:p w14:paraId="0BD0FD2A" w14:textId="77777777" w:rsidR="00775514" w:rsidRPr="00775514" w:rsidRDefault="00775514" w:rsidP="00775514">
      <w:pPr>
        <w:spacing w:after="120" w:line="360" w:lineRule="auto"/>
        <w:ind w:firstLine="699"/>
        <w:jc w:val="both"/>
        <w:rPr>
          <w:rFonts w:eastAsiaTheme="minorEastAsia" w:cstheme="majorBidi"/>
          <w:color w:val="auto"/>
          <w:lang w:val="en-ID" w:eastAsia="en-US"/>
        </w:rPr>
      </w:pPr>
      <w:r>
        <w:rPr>
          <w:highlight w:val="yellow"/>
        </w:rPr>
        <w:t>These results indicate similar group-level distributions in this sample. However, a non-significant paired comparison does not establish diagnostic equivalence or individual-level agreement. Because the participant-level paired scores and the three-category cross-tabulation were not available in the source manuscript, an effect size for the Wilcoxon test and a weighted Cohen’s kappa with 95% CI could not be derived reliably from the aggregate results.</w:t>
      </w:r>
    </w:p>
    <w:p w14:paraId="3709D3BB" w14:textId="3E7FDED9" w:rsidR="00B17F27" w:rsidRPr="00F3196E" w:rsidRDefault="00B17F27" w:rsidP="00F12812">
      <w:pPr>
        <w:spacing w:after="120" w:line="360" w:lineRule="auto"/>
        <w:ind w:left="0" w:firstLine="0"/>
        <w:outlineLvl w:val="1"/>
        <w:rPr>
          <w:b/>
          <w:bCs/>
          <w:lang w:val="en-ID" w:eastAsia="en-ID"/>
        </w:rPr>
      </w:pPr>
    </w:p>
    <w:p w14:paraId="47AA9995" w14:textId="77777777" w:rsidR="00511BEE" w:rsidRPr="00511BEE" w:rsidRDefault="00511BEE" w:rsidP="00511BEE">
      <w:pPr>
        <w:spacing w:after="12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65384B23"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This study found that the modified O’Leary Plaque Index and the OHI-S debris index produced similar group-level distributions of oral hygiene status among students at one elementary school. The moderate category was the most frequent category with both methods, and the paired score comparison did not show a statistically detectable difference. This finding supports the potential usefulness of the modified procedure for screening purposes, but it does not demonstrate that the two methods are diagnostically equivalent or interchangeable.</w:t>
      </w:r>
    </w:p>
    <w:p w14:paraId="3BA75D8C"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modified procedure reduces the observation burden by limiting scoring to accessible labial/oral surfaces. This design may be practical in a school setting because these surfaces are easier to visualise after plaque disclosure and require fewer observations than a full-mouth record. Nevertheless, restricting examination to selected surfaces may miss plaque on less accessible surfaces; therefore, the simplified score should be interpreted as a screening indicator rather than a direct replacement for a standard clinical index.</w:t>
      </w:r>
    </w:p>
    <w:p w14:paraId="1EBCA9EA"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ICC of 0.671 indicates moderate inter-rater reliability. Before school health cadres use the modified index, they should receive a written standard operating procedure, demonstration of plaque disclosure and binary scoring, supervised practice using positive and negative examples, and periodic calibration with dental personnel. A practical programme should also specify how results are recorded, when a student is referred for professional assessment, and how feedback is linked to toothbrushing education.</w:t>
      </w:r>
    </w:p>
    <w:p w14:paraId="46CF389E"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usefulness of school-based oral-health programmes is strengthened when education is supported by repeated monitoring and feedback. Recent systematic reviews and school-based studies report improvements in oral-health behaviours and plaque-related outcomes when interventions are sustained, theory-informed, and adapted to school settings [19–22]. Within this context, a simplified plaque assessment may help cadres identify students who need additional coaching, while professional oversight remains important for clinical decisions.</w:t>
      </w:r>
    </w:p>
    <w:p w14:paraId="16BBF199"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Several limitations should be considered. The study used purposive sampling in a single school, limiting generalisability. Eligibility required the presence of the six OHI-S index teeth and excluded affected teeth, which may reduce representativeness. The restriction to labial/oral surfaces may underestimate plaque elsewhere in the mouth. In addition, formal agreement analyses, including weighted Cohen’s kappa for the paired categories and a report of the Wilcoxon effect size, were not available from the aggregate data.</w:t>
      </w:r>
    </w:p>
    <w:p w14:paraId="43303926"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Future multi-school studies should retain individual paired scores, prespecify agreement analyses, report weighted Cohen’s kappa with a 95% CI, and document examiner calibration. If a future study aims to establish interchangeability between the modified index and OHI-S, it should use a prespecified equivalence or agreement framework rather than relying only on a non-significant difference test.</w:t>
      </w:r>
    </w:p>
    <w:p w14:paraId="2C0D33FB"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Overall, the modified index may be a feasible candidate for school-based screening when used with training, calibration, and a clear referral pathway. Its clinical use should remain complementary to, rather than a substitute for, assessment by trained dental personnel.</w:t>
      </w:r>
    </w:p>
    <w:p w14:paraId="11900179"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Taken together, the findings provide preliminary evidence of group-level similarity and feasibility for school-based screening. They should not be interpreted as evidence that the modified index is diagnostically equivalent to, or interchangeable with, the standard OHI-S debris index.</w:t>
      </w:r>
    </w:p>
    <w:p w14:paraId="2DF047A8" w14:textId="01201AA3" w:rsidR="002202E6" w:rsidRPr="00905619" w:rsidRDefault="002202E6" w:rsidP="00905619">
      <w:pPr>
        <w:spacing w:after="120" w:line="360" w:lineRule="auto"/>
        <w:ind w:left="11" w:firstLine="698"/>
        <w:rPr>
          <w:bCs/>
          <w:kern w:val="2"/>
          <w:sz w:val="24"/>
          <w:szCs w:val="24"/>
        </w:rPr>
      </w:pPr>
    </w:p>
    <w:p w14:paraId="30222F7B" w14:textId="27EF99E9" w:rsidR="00F84920" w:rsidRPr="008A16FC" w:rsidRDefault="00F84920" w:rsidP="00323CBA">
      <w:pPr>
        <w:pStyle w:val="Heading1"/>
        <w:spacing w:after="120" w:line="360" w:lineRule="auto"/>
        <w:ind w:left="-5"/>
      </w:pPr>
      <w:r w:rsidRPr="008A16FC">
        <w:t>Conclusion</w:t>
      </w:r>
    </w:p>
    <w:p w14:paraId="4529DFDB" w14:textId="77777777" w:rsidR="00511BEE" w:rsidRPr="00511BEE" w:rsidRDefault="00511BEE" w:rsidP="00511BEE">
      <w:pPr>
        <w:pStyle w:val="ListParagraph"/>
        <w:spacing w:after="120" w:line="360" w:lineRule="auto"/>
        <w:ind w:left="284" w:firstLine="425"/>
        <w:jc w:val="both"/>
        <w:rPr>
          <w:lang w:val="en-ID"/>
        </w:rPr>
      </w:pPr>
      <w:r>
        <w:rPr>
          <w:highlight w:val="yellow"/>
        </w:rPr>
        <w:t>Among students at SDN Pudakpayung 02, the modified O’Leary Plaque Index generated a group-level oral hygiene distribution that was similar to that obtained with the OHI-S debris index. No statistically detectable paired difference was observed, and the modified procedure showed moderate inter-rater reliability.</w:t>
      </w:r>
    </w:p>
    <w:p w14:paraId="727DAF25" w14:textId="77777777" w:rsidR="00511BEE" w:rsidRPr="00511BEE" w:rsidRDefault="00511BEE" w:rsidP="00511BEE">
      <w:pPr>
        <w:pStyle w:val="ListParagraph"/>
        <w:spacing w:after="120" w:line="360" w:lineRule="auto"/>
        <w:ind w:left="284" w:firstLine="425"/>
        <w:jc w:val="both"/>
        <w:rPr>
          <w:lang w:val="en-ID"/>
        </w:rPr>
      </w:pPr>
      <w:r>
        <w:rPr>
          <w:highlight w:val="yellow"/>
        </w:rPr>
        <w:t>The modified index may be considered for further development as a practical school-based screening tool when cadres receive structured training, calibration, and professional supervision. The present results do not establish diagnostic equivalence or interchangeability with OHI-S; additional individual-level agreement analysis is required before the modified method is used as a replacement for the standard index.</w:t>
      </w:r>
    </w:p>
    <w:p w14:paraId="240C8D8E" w14:textId="77777777" w:rsidR="00F22A84" w:rsidRPr="00F22A84" w:rsidRDefault="00F22A84" w:rsidP="00F22A84">
      <w:pPr>
        <w:pStyle w:val="ListParagraph"/>
        <w:spacing w:after="120" w:line="360" w:lineRule="auto"/>
        <w:ind w:left="284" w:right="0" w:firstLine="425"/>
      </w:pPr>
    </w:p>
    <w:p w14:paraId="0938B77E" w14:textId="2C0520EF" w:rsidR="004D1DB1" w:rsidRDefault="002B72A4" w:rsidP="004D1DB1">
      <w:pPr>
        <w:pStyle w:val="Heading1"/>
        <w:spacing w:before="120"/>
        <w:rPr>
          <w:rFonts w:cstheme="majorBidi"/>
          <w:szCs w:val="24"/>
          <w:lang w:val="id-ID"/>
        </w:rPr>
      </w:pPr>
      <w:r w:rsidRPr="004D1DB1">
        <w:rPr>
          <w:rFonts w:cstheme="majorBidi"/>
          <w:szCs w:val="24"/>
          <w:lang w:val="id-ID"/>
        </w:rPr>
        <w:t>Ethical Considerations</w:t>
      </w:r>
    </w:p>
    <w:p w14:paraId="6D94EEEB" w14:textId="77777777" w:rsidR="002E59C2" w:rsidRPr="002E59C2" w:rsidRDefault="002E59C2" w:rsidP="00EF7892">
      <w:pPr>
        <w:spacing w:line="360" w:lineRule="auto"/>
        <w:ind w:firstLine="699"/>
        <w:jc w:val="both"/>
        <w:rPr>
          <w:lang w:val="en-ID"/>
        </w:rPr>
      </w:pPr>
      <w:r>
        <w:rPr/>
        <w:t xml:space="preserve">This study was conducted in accordance with ethical principles for research involving human participants. Ethical approval was obtained before data collection from </w:t>
      </w:r>
      <w:r>
        <w:rPr>
          <w:highlight w:val="red"/>
          <w:color w:val="FFFFFF"/>
          <w:b/>
        </w:rPr>
        <w:t>[INSERT FULL NAME OF ETHICS COMMITTEE]</w:t>
      </w:r>
      <w:r>
        <w:rPr/>
        <w:t xml:space="preserve"> (Approval No. </w:t>
      </w:r>
      <w:r>
        <w:rPr>
          <w:highlight w:val="red"/>
          <w:color w:val="FFFFFF"/>
          <w:b/>
        </w:rPr>
        <w:t>[INSERT APPROVAL NUMBER]</w:t>
      </w:r>
      <w:r>
        <w:rPr/>
        <w:t xml:space="preserve">; approval date: </w:t>
      </w:r>
      <w:r>
        <w:rPr>
          <w:highlight w:val="red"/>
          <w:color w:val="FFFFFF"/>
          <w:b/>
        </w:rPr>
        <w:t>[INSERT DAY MONTH YEAR]</w:t>
      </w:r>
      <w:r>
        <w:rPr/>
        <w:t>).</w:t>
      </w:r>
      <w:r>
        <w:rPr>
          <w:highlight w:val="red"/>
          <w:color w:val="FFFFFF"/>
          <w:b/>
        </w:rPr>
        <w:t>[INSERT AUTHOR DATA: Confirm the actual consent process for child participants (parent/legal guardian consent, child assent if applicable) and any school permission.]</w:t>
      </w:r>
    </w:p>
    <w:p w14:paraId="059E9287" w14:textId="77777777" w:rsidR="002E59C2" w:rsidRPr="002E59C2" w:rsidRDefault="002E59C2" w:rsidP="00EF7892">
      <w:pPr>
        <w:spacing w:line="360" w:lineRule="auto"/>
        <w:ind w:firstLine="699"/>
        <w:rPr>
          <w:lang w:val="en-ID"/>
        </w:rPr>
      </w:pPr>
      <w:r w:rsidRPr="002E59C2">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p>
    <w:p w14:paraId="2F6800E9" w14:textId="77777777" w:rsidR="002E59C2" w:rsidRPr="002E59C2" w:rsidRDefault="002E59C2" w:rsidP="00EF7892">
      <w:pPr>
        <w:spacing w:line="360" w:lineRule="auto"/>
        <w:rPr>
          <w:lang w:val="en-ID"/>
        </w:rPr>
      </w:pPr>
      <w:r w:rsidRPr="002E59C2">
        <w:rPr>
          <w:lang w:val="en-ID"/>
        </w:rPr>
        <w:t>The study was conducted in accordance with the principles of the Declaration of Helsinki.</w:t>
      </w:r>
    </w:p>
    <w:p w14:paraId="06464172" w14:textId="77777777" w:rsidR="002E59C2" w:rsidRPr="002E59C2" w:rsidRDefault="002E59C2" w:rsidP="002E59C2">
      <w:pPr>
        <w:rPr>
          <w:lang w:val="id-ID"/>
        </w:rPr>
      </w:pPr>
    </w:p>
    <w:p w14:paraId="4CB4A8E3" w14:textId="0675DF44" w:rsidR="004D1DB1" w:rsidRPr="004D1DB1" w:rsidRDefault="004D1DB1" w:rsidP="004D1DB1">
      <w:pPr>
        <w:pStyle w:val="Heading1"/>
        <w:spacing w:before="120"/>
        <w:rPr>
          <w:rFonts w:cstheme="majorBidi"/>
          <w:szCs w:val="24"/>
          <w:lang w:val="id-ID"/>
        </w:rPr>
      </w:pPr>
      <w:r w:rsidRPr="004D1DB1">
        <w:rPr>
          <w:rFonts w:cstheme="majorBidi"/>
          <w:szCs w:val="24"/>
          <w:lang w:val="id-ID"/>
        </w:rPr>
        <w:t>Funding Statement.</w:t>
      </w:r>
    </w:p>
    <w:p w14:paraId="49BFD991" w14:textId="77777777" w:rsidR="004D1DB1" w:rsidRPr="004D1DB1" w:rsidRDefault="004D1DB1" w:rsidP="004D1DB1">
      <w:pPr>
        <w:shd w:val="clear" w:color="auto" w:fill="FCFCFC"/>
        <w:spacing w:after="0" w:line="240" w:lineRule="auto"/>
        <w:rPr>
          <w:rFonts w:cstheme="majorBidi"/>
          <w:color w:val="333333"/>
          <w:lang w:val="id-ID" w:eastAsia="id-ID"/>
        </w:rPr>
      </w:pPr>
      <w:r w:rsidRPr="004D1DB1">
        <w:rPr>
          <w:color w:val="333333"/>
          <w:lang w:val="id-ID" w:eastAsia="id-ID"/>
        </w:rPr>
        <w:t>The authors did not receive support from any organization for the submitted work.</w:t>
      </w:r>
    </w:p>
    <w:p w14:paraId="600A65FE" w14:textId="77777777" w:rsidR="004D1DB1" w:rsidRPr="004D1DB1" w:rsidRDefault="004D1DB1" w:rsidP="004D1DB1">
      <w:pPr>
        <w:pStyle w:val="Heading1"/>
        <w:spacing w:before="120"/>
        <w:rPr>
          <w:rFonts w:cstheme="majorBidi"/>
          <w:szCs w:val="24"/>
          <w:lang w:val="id-ID"/>
        </w:rPr>
      </w:pPr>
    </w:p>
    <w:p w14:paraId="7C7668A6" w14:textId="676AC78A" w:rsidR="004D1DB1" w:rsidRPr="004D1DB1" w:rsidRDefault="004D1DB1" w:rsidP="004D1DB1">
      <w:pPr>
        <w:pStyle w:val="Heading1"/>
        <w:spacing w:before="120"/>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4D1DB1">
      <w:pPr>
        <w:pStyle w:val="NoSpacing"/>
        <w:ind w:firstLine="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6083D2A1" w14:textId="77777777" w:rsidR="00F22A84" w:rsidRDefault="00F22A84" w:rsidP="00F22A84">
      <w:pPr>
        <w:pStyle w:val="ListParagraph"/>
        <w:spacing w:after="120" w:line="360" w:lineRule="auto"/>
        <w:ind w:left="284" w:right="0" w:firstLine="425"/>
        <w:rPr>
          <w:lang w:val="en-GB" w:eastAsia="pt-BR"/>
        </w:rPr>
      </w:pPr>
    </w:p>
    <w:p w14:paraId="09749B4D" w14:textId="10931D5E" w:rsidR="00BA584F" w:rsidRPr="00F22A84" w:rsidRDefault="00F84920" w:rsidP="003E3003">
      <w:pPr>
        <w:pStyle w:val="Heading1"/>
        <w:spacing w:after="120" w:line="360" w:lineRule="auto"/>
        <w:ind w:left="-6" w:hanging="11"/>
      </w:pPr>
      <w:r w:rsidRPr="00E867FF">
        <w:lastRenderedPageBreak/>
        <w:t>References</w:t>
      </w:r>
    </w:p>
    <w:p w14:paraId="25285F58" w14:textId="31BE16F7"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Aiken LR. Three coefficients for analysing the reliability and validity of ratings. </w:t>
      </w:r>
      <w:r w:rsidRPr="00E26D6D">
        <w:rPr>
          <w:i/>
          <w:iCs/>
          <w:sz w:val="24"/>
          <w:szCs w:val="24"/>
          <w:lang w:val="en-ID"/>
        </w:rPr>
        <w:t>Educational and Psychological Measurement</w:t>
      </w:r>
      <w:r w:rsidRPr="00E26D6D">
        <w:rPr>
          <w:sz w:val="24"/>
          <w:szCs w:val="24"/>
          <w:lang w:val="en-ID"/>
        </w:rPr>
        <w:t>. 1985;45:131–141.</w:t>
      </w:r>
    </w:p>
    <w:p w14:paraId="18DE888A" w14:textId="1D3F0E19" w:rsidR="00E26D6D" w:rsidRPr="00E26D6D" w:rsidRDefault="00E26D6D" w:rsidP="005E0660">
      <w:pPr>
        <w:pStyle w:val="0BodyText"/>
        <w:numPr>
          <w:ilvl w:val="0"/>
          <w:numId w:val="25"/>
        </w:numPr>
        <w:rPr>
          <w:sz w:val="24"/>
          <w:szCs w:val="24"/>
          <w:lang w:val="en-ID"/>
        </w:rPr>
      </w:pPr>
      <w:r w:rsidRPr="00E26D6D">
        <w:rPr>
          <w:sz w:val="24"/>
          <w:szCs w:val="24"/>
          <w:lang w:val="en-ID"/>
        </w:rPr>
        <w:t xml:space="preserve">Creswell JW. </w:t>
      </w:r>
      <w:r w:rsidRPr="00E26D6D">
        <w:rPr>
          <w:i/>
          <w:iCs/>
          <w:sz w:val="24"/>
          <w:szCs w:val="24"/>
          <w:lang w:val="en-ID"/>
        </w:rPr>
        <w:t>Research design: qualitative, quantitative, and mixed approaches</w:t>
      </w:r>
      <w:r w:rsidRPr="00E26D6D">
        <w:rPr>
          <w:sz w:val="24"/>
          <w:szCs w:val="24"/>
          <w:lang w:val="en-ID"/>
        </w:rPr>
        <w:t>. 6th ed. Student Library; 2017.</w:t>
      </w:r>
    </w:p>
    <w:p w14:paraId="2C28DA3F" w14:textId="48D32F5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Frencken JE, Holmgren CJ, Van Palenstein Helderman WH. </w:t>
      </w:r>
      <w:r w:rsidRPr="00E26D6D">
        <w:rPr>
          <w:i/>
          <w:iCs/>
          <w:sz w:val="24"/>
          <w:szCs w:val="24"/>
          <w:lang w:val="en-ID"/>
        </w:rPr>
        <w:t>Basic package of oral care (BPOC)</w:t>
      </w:r>
      <w:r w:rsidRPr="00E26D6D">
        <w:rPr>
          <w:sz w:val="24"/>
          <w:szCs w:val="24"/>
          <w:lang w:val="en-ID"/>
        </w:rPr>
        <w:t>. 2002.</w:t>
      </w:r>
    </w:p>
    <w:p w14:paraId="36495AA2" w14:textId="2F12051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Greene JG, Vermillion JR. The simplified oral hygiene index. </w:t>
      </w:r>
      <w:r w:rsidRPr="00E26D6D">
        <w:rPr>
          <w:i/>
          <w:iCs/>
          <w:sz w:val="24"/>
          <w:szCs w:val="24"/>
          <w:lang w:val="en-ID"/>
        </w:rPr>
        <w:t>Journal of the American Dental Association</w:t>
      </w:r>
      <w:r w:rsidRPr="00E26D6D">
        <w:rPr>
          <w:sz w:val="24"/>
          <w:szCs w:val="24"/>
          <w:lang w:val="en-ID"/>
        </w:rPr>
        <w:t xml:space="preserve">. 1960;61(2):172–179. </w:t>
      </w:r>
      <w:hyperlink r:id="rId21" w:tgtFrame="_new" w:history="1">
        <w:r w:rsidRPr="00E26D6D">
          <w:rPr>
            <w:rStyle w:val="Hyperlink"/>
            <w:sz w:val="24"/>
            <w:szCs w:val="24"/>
            <w:lang w:val="en-ID"/>
          </w:rPr>
          <w:t>https://doi.org/10.14219/jada.archive.1960.0177</w:t>
        </w:r>
      </w:hyperlink>
    </w:p>
    <w:p w14:paraId="3726D816" w14:textId="6A709F3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Key results of the 2018 Riskesdas report</w:t>
      </w:r>
      <w:r w:rsidRPr="00E26D6D">
        <w:rPr>
          <w:sz w:val="24"/>
          <w:szCs w:val="24"/>
          <w:lang w:val="en-ID"/>
        </w:rPr>
        <w:t>. Agency for Health Research and Development, Ministry of Health of the Republic of Indonesia; 2018.</w:t>
      </w:r>
    </w:p>
    <w:p w14:paraId="683C98A9" w14:textId="65A174E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Regulation of the Minister of Health of the Republic of Indonesia Number 8 of 2019 concerning community empowerment in the health sector</w:t>
      </w:r>
      <w:r w:rsidRPr="00E26D6D">
        <w:rPr>
          <w:sz w:val="24"/>
          <w:szCs w:val="24"/>
          <w:lang w:val="en-ID"/>
        </w:rPr>
        <w:t>. 2019.</w:t>
      </w:r>
    </w:p>
    <w:p w14:paraId="77B96EF9" w14:textId="597E5C2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Kleinberg I. </w:t>
      </w:r>
      <w:r w:rsidRPr="00E26D6D">
        <w:rPr>
          <w:i/>
          <w:iCs/>
          <w:sz w:val="24"/>
          <w:szCs w:val="24"/>
          <w:lang w:val="en-ID"/>
        </w:rPr>
        <w:t>Biochemistry of the dental plaque</w:t>
      </w:r>
      <w:r w:rsidRPr="00E26D6D">
        <w:rPr>
          <w:sz w:val="24"/>
          <w:szCs w:val="24"/>
          <w:lang w:val="en-ID"/>
        </w:rPr>
        <w:t xml:space="preserve">. Vol. 4. Academic Press; 1970. </w:t>
      </w:r>
      <w:hyperlink r:id="rId22" w:tgtFrame="_new" w:history="1">
        <w:r w:rsidRPr="00E26D6D">
          <w:rPr>
            <w:rStyle w:val="Hyperlink"/>
            <w:sz w:val="24"/>
            <w:szCs w:val="24"/>
            <w:lang w:val="en-ID"/>
          </w:rPr>
          <w:t>https://doi.org/10.1016/B978-0-12-030504-9.50010-X</w:t>
        </w:r>
      </w:hyperlink>
    </w:p>
    <w:p w14:paraId="1FE32FA9" w14:textId="319F085F"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Krasse B, Carlsson J. Various types of streptococci and experimental caries in hamsters. </w:t>
      </w:r>
      <w:r w:rsidRPr="00E26D6D">
        <w:rPr>
          <w:i/>
          <w:iCs/>
          <w:sz w:val="24"/>
          <w:szCs w:val="24"/>
          <w:lang w:val="en-ID"/>
        </w:rPr>
        <w:t>Archives of Oral Biology</w:t>
      </w:r>
      <w:r w:rsidRPr="00E26D6D">
        <w:rPr>
          <w:sz w:val="24"/>
          <w:szCs w:val="24"/>
          <w:lang w:val="en-ID"/>
        </w:rPr>
        <w:t xml:space="preserve">. 1970;15(1):25–32. </w:t>
      </w:r>
      <w:hyperlink r:id="rId23" w:tgtFrame="_new" w:history="1">
        <w:r w:rsidRPr="00E26D6D">
          <w:rPr>
            <w:rStyle w:val="Hyperlink"/>
            <w:sz w:val="24"/>
            <w:szCs w:val="24"/>
            <w:lang w:val="en-ID"/>
          </w:rPr>
          <w:t>https://doi.org/10.1016/0003-9969(70)90142-1</w:t>
        </w:r>
      </w:hyperlink>
    </w:p>
    <w:p w14:paraId="69A81AC4" w14:textId="10A439A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Putri MH, Herijulianti E, Nurjannah N. </w:t>
      </w:r>
      <w:r w:rsidRPr="00E26D6D">
        <w:rPr>
          <w:i/>
          <w:iCs/>
          <w:sz w:val="24"/>
          <w:szCs w:val="24"/>
          <w:lang w:val="en-ID"/>
        </w:rPr>
        <w:t>Preventive science of hard tissue diseases and dental supporting tissues</w:t>
      </w:r>
      <w:r w:rsidRPr="00E26D6D">
        <w:rPr>
          <w:sz w:val="24"/>
          <w:szCs w:val="24"/>
          <w:lang w:val="en-ID"/>
        </w:rPr>
        <w:t>. EGC; 2010.</w:t>
      </w:r>
    </w:p>
    <w:p w14:paraId="7117D021" w14:textId="72E07EC1"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Republic of Indonesia. </w:t>
      </w:r>
      <w:r w:rsidRPr="00E26D6D">
        <w:rPr>
          <w:i/>
          <w:iCs/>
          <w:sz w:val="24"/>
          <w:szCs w:val="24"/>
          <w:lang w:val="en-ID"/>
        </w:rPr>
        <w:t>Guidelines for school dental health efforts (UKGS)</w:t>
      </w:r>
      <w:r w:rsidRPr="00E26D6D">
        <w:rPr>
          <w:sz w:val="24"/>
          <w:szCs w:val="24"/>
          <w:lang w:val="en-ID"/>
        </w:rPr>
        <w:t>. 2012.</w:t>
      </w:r>
    </w:p>
    <w:p w14:paraId="399876A7" w14:textId="42FADECA"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w:t>
      </w:r>
      <w:r w:rsidRPr="00E26D6D">
        <w:rPr>
          <w:i/>
          <w:iCs/>
          <w:sz w:val="24"/>
          <w:szCs w:val="24"/>
          <w:lang w:val="en-ID"/>
        </w:rPr>
        <w:t>Oral health service programme plan</w:t>
      </w:r>
      <w:r w:rsidRPr="00E26D6D">
        <w:rPr>
          <w:sz w:val="24"/>
          <w:szCs w:val="24"/>
          <w:lang w:val="en-ID"/>
        </w:rPr>
        <w:t>. 2012.</w:t>
      </w:r>
    </w:p>
    <w:p w14:paraId="290CB777" w14:textId="5447BB9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Nio BK. </w:t>
      </w:r>
      <w:r w:rsidRPr="00E26D6D">
        <w:rPr>
          <w:i/>
          <w:iCs/>
          <w:sz w:val="24"/>
          <w:szCs w:val="24"/>
          <w:lang w:val="en-ID"/>
        </w:rPr>
        <w:t>Preventive dentistry part 2</w:t>
      </w:r>
      <w:r w:rsidRPr="00E26D6D">
        <w:rPr>
          <w:sz w:val="24"/>
          <w:szCs w:val="24"/>
          <w:lang w:val="en-ID"/>
        </w:rPr>
        <w:t>. Dental Health Foundation; 1987.</w:t>
      </w:r>
    </w:p>
    <w:p w14:paraId="67E71F0E" w14:textId="2423B7F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Nunnally CC, Bernstein IH. </w:t>
      </w:r>
      <w:r w:rsidRPr="00E26D6D">
        <w:rPr>
          <w:i/>
          <w:iCs/>
          <w:sz w:val="24"/>
          <w:szCs w:val="24"/>
          <w:lang w:val="en-ID"/>
        </w:rPr>
        <w:t>Psychometric theory</w:t>
      </w:r>
      <w:r w:rsidRPr="00E26D6D">
        <w:rPr>
          <w:sz w:val="24"/>
          <w:szCs w:val="24"/>
          <w:lang w:val="en-ID"/>
        </w:rPr>
        <w:t>. 3rd ed. McGraw-Hill; 1991.</w:t>
      </w:r>
    </w:p>
    <w:p w14:paraId="289F3939" w14:textId="4FF91C4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O’Leary TJ, Drake RB, Naylor JE. The plaque control record. </w:t>
      </w:r>
      <w:r w:rsidRPr="00E26D6D">
        <w:rPr>
          <w:i/>
          <w:iCs/>
          <w:sz w:val="24"/>
          <w:szCs w:val="24"/>
          <w:lang w:val="en-ID"/>
        </w:rPr>
        <w:t>Journal of Periodontology</w:t>
      </w:r>
      <w:r w:rsidRPr="00E26D6D">
        <w:rPr>
          <w:sz w:val="24"/>
          <w:szCs w:val="24"/>
          <w:lang w:val="en-ID"/>
        </w:rPr>
        <w:t>. 1972;43(1):38–41.</w:t>
      </w:r>
    </w:p>
    <w:p w14:paraId="7F631113" w14:textId="0D3241E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Pratiwi NL. </w:t>
      </w:r>
      <w:r w:rsidRPr="00E26D6D">
        <w:rPr>
          <w:i/>
          <w:iCs/>
          <w:sz w:val="24"/>
          <w:szCs w:val="24"/>
          <w:lang w:val="en-ID"/>
        </w:rPr>
        <w:t>The influence of self-efficacy through cognitive, motivational and affective abilities of health cadres on dental health behaviour</w:t>
      </w:r>
      <w:r w:rsidRPr="00E26D6D">
        <w:rPr>
          <w:sz w:val="24"/>
          <w:szCs w:val="24"/>
          <w:lang w:val="en-ID"/>
        </w:rPr>
        <w:t xml:space="preserve"> [dissertation]. Universitas Airlangga; 2004.</w:t>
      </w:r>
    </w:p>
    <w:p w14:paraId="16931026" w14:textId="007B380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Republic of Indonesia State Secretariat. </w:t>
      </w:r>
      <w:r w:rsidRPr="00E26D6D">
        <w:rPr>
          <w:i/>
          <w:iCs/>
          <w:sz w:val="24"/>
          <w:szCs w:val="24"/>
          <w:lang w:val="en-ID"/>
        </w:rPr>
        <w:t>Law of the Republic of Indonesia Number 36 of 2009</w:t>
      </w:r>
      <w:r w:rsidRPr="00E26D6D">
        <w:rPr>
          <w:sz w:val="24"/>
          <w:szCs w:val="24"/>
          <w:lang w:val="en-ID"/>
        </w:rPr>
        <w:t>. 2009.</w:t>
      </w:r>
    </w:p>
    <w:p w14:paraId="22DF3A3A" w14:textId="7999BD3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Sutomo B. </w:t>
      </w:r>
      <w:r w:rsidRPr="00E26D6D">
        <w:rPr>
          <w:i/>
          <w:iCs/>
          <w:sz w:val="24"/>
          <w:szCs w:val="24"/>
          <w:lang w:val="en-ID"/>
        </w:rPr>
        <w:t>Oral health promotion model through empowerment of dental health cadres in the community dental health effort (UKGM) programme</w:t>
      </w:r>
      <w:r w:rsidRPr="00E26D6D">
        <w:rPr>
          <w:sz w:val="24"/>
          <w:szCs w:val="24"/>
          <w:lang w:val="en-ID"/>
        </w:rPr>
        <w:t>. 2022.</w:t>
      </w:r>
    </w:p>
    <w:p w14:paraId="68C9944A" w14:textId="2B6D57D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World Health Organization. </w:t>
      </w:r>
      <w:r w:rsidRPr="00E26D6D">
        <w:rPr>
          <w:i/>
          <w:iCs/>
          <w:sz w:val="24"/>
          <w:szCs w:val="24"/>
          <w:lang w:val="en-ID"/>
        </w:rPr>
        <w:t>World Health Organization sixtieth World Health Assembly</w:t>
      </w:r>
      <w:r w:rsidRPr="00E26D6D">
        <w:rPr>
          <w:sz w:val="24"/>
          <w:szCs w:val="24"/>
          <w:lang w:val="en-ID"/>
        </w:rPr>
        <w:t>. 2007:14–23.</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Kim S, Kim SY. Effectiveness of school-based oral health education for children and adolescents in low- and middle-income countries: a systematic review and meta-analysis. Asia Pac J Public Health. 2024;36(4):312–321. https://doi.org/10.1177/10105395241240959</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Shirahmadi S, Bashirian S, Soltanian AR, Karimi-Shahanjarini A, Vahdatinia F. Effectiveness of theory-based educational interventions of promoting oral health among elementary school students. BMC Public Health. 2024;24:130. https://doi.org/10.1186/s12889-023-17528-0</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Nazari A, Hajihashemi M, Safavi SR, Ataei R, Hosseinnia M, et al. Health promotion theory-based educational interventions for improving oral health in children and adolescents: a systematic review and meta-analysis. BMC Oral Health. 2025;25:1153. https://doi.org/10.1186/s12903-025-06549-3</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Rajab LD, Assaf DH, El-Smadi LAE, Hamdan AA. Comparison of effectiveness of oral hygiene instruction methods in improving plaque scores among 8–9-year children: a randomized controlled trial. Eur Arch Paediatr Dent. 2022;23:289–300. https://doi.org/10.1007/s40368-021-00680-9</w:t>
      </w:r>
    </w:p>
    <w:p w14:paraId="0B5DA4CE" w14:textId="77777777" w:rsidR="00B21D02" w:rsidRDefault="00B21D02" w:rsidP="00160B43">
      <w:pPr>
        <w:pStyle w:val="0BodyText"/>
        <w:ind w:firstLine="0"/>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51DF55D4" w14:textId="77777777" w:rsidR="001D57CE" w:rsidRDefault="001D57CE">
      <w:pPr>
        <w:spacing w:after="0" w:line="259" w:lineRule="auto"/>
        <w:ind w:left="0" w:right="0" w:firstLine="0"/>
        <w:jc w:val="left"/>
        <w:sectPr w:rsidR="001D57CE" w:rsidSect="009A7897">
          <w:pgSz w:w="11906" w:h="16841" w:code="9"/>
          <w:pgMar w:top="1418" w:right="1418" w:bottom="1418" w:left="1701" w:header="720" w:footer="851" w:gutter="0"/>
          <w:pgNumType w:start="1"/>
          <w:cols w:space="720"/>
          <w:titlePg/>
        </w:sect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6441"/>
      </w:tblGrid>
      <w:tr w:rsidR="001D57CE" w:rsidRPr="001D57CE" w14:paraId="5A5A36E5" w14:textId="77777777">
        <w:tc>
          <w:tcPr>
            <w:tcW w:w="1981" w:type="dxa"/>
            <w:hideMark/>
          </w:tcPr>
          <w:p w14:paraId="54A41DD4" w14:textId="4D0AC56B" w:rsidR="001D57CE" w:rsidRPr="001D57CE" w:rsidRDefault="001D57CE" w:rsidP="001D57CE">
            <w:pPr>
              <w:spacing w:after="0" w:line="259" w:lineRule="auto"/>
              <w:ind w:left="0" w:right="0" w:firstLine="0"/>
              <w:jc w:val="left"/>
              <w:rPr>
                <w:lang w:val="en-ID"/>
              </w:rPr>
            </w:pPr>
            <w:r w:rsidRPr="001D57CE">
              <w:rPr>
                <w:noProof/>
                <w:lang w:val="en-ID"/>
              </w:rPr>
              <w:lastRenderedPageBreak/>
              <w:drawing>
                <wp:inline distT="0" distB="0" distL="0" distR="0" wp14:anchorId="556EDA07" wp14:editId="30778F4E">
                  <wp:extent cx="1352550" cy="1790700"/>
                  <wp:effectExtent l="0" t="0" r="0" b="0"/>
                  <wp:docPr id="1136955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2550" cy="1790700"/>
                          </a:xfrm>
                          <a:prstGeom prst="rect">
                            <a:avLst/>
                          </a:prstGeom>
                          <a:noFill/>
                          <a:ln>
                            <a:noFill/>
                          </a:ln>
                        </pic:spPr>
                      </pic:pic>
                    </a:graphicData>
                  </a:graphic>
                </wp:inline>
              </w:drawing>
            </w:r>
          </w:p>
        </w:tc>
        <w:tc>
          <w:tcPr>
            <w:tcW w:w="7035" w:type="dxa"/>
            <w:hideMark/>
          </w:tcPr>
          <w:p w14:paraId="371922D6" w14:textId="77777777" w:rsidR="001D57CE" w:rsidRPr="001D57CE" w:rsidRDefault="001D57CE" w:rsidP="001D57CE">
            <w:pPr>
              <w:spacing w:after="0" w:line="259" w:lineRule="auto"/>
              <w:ind w:left="0" w:right="0" w:firstLine="0"/>
              <w:rPr>
                <w:b/>
                <w:bCs/>
                <w:lang w:val="en-ID"/>
              </w:rPr>
            </w:pPr>
            <w:r w:rsidRPr="001D57CE">
              <w:rPr>
                <w:b/>
                <w:bCs/>
                <w:lang w:val="en-ID"/>
              </w:rPr>
              <w:t>Bambang Sutomo</w:t>
            </w:r>
            <w:r w:rsidRPr="001D57CE">
              <w:rPr>
                <w:lang w:val="en-ID"/>
              </w:rPr>
              <w:t xml:space="preserve"> is a</w:t>
            </w:r>
            <w:r w:rsidRPr="001D57CE">
              <w:rPr>
                <w:lang w:val="en"/>
              </w:rPr>
              <w:t xml:space="preserve"> lecturer in the Applied Master's Program of Dental and Oral Therapy at The Postgraduate Program of the Ministry of Health Polytechnic of Semarang, he has been serving as a lecturer for the past 24 years, with expertise in the field of dental health, community empowerment and health promotion, in accordance with his doctoral education which has been completed at Sebelas Maret University. In addition to being a lecturer, he is currently the chairman of the Indonesian Dental and Oral Therapist Collegee. Email: </w:t>
            </w:r>
            <w:hyperlink r:id="rId25" w:history="1">
              <w:r w:rsidRPr="001D57CE">
                <w:rPr>
                  <w:rStyle w:val="Hyperlink"/>
                  <w:lang w:val="en"/>
                </w:rPr>
                <w:t>bambangsutomo20@yahoo.co.id</w:t>
              </w:r>
            </w:hyperlink>
            <w:r w:rsidRPr="001D57CE">
              <w:rPr>
                <w:lang w:val="en"/>
              </w:rPr>
              <w:t xml:space="preserve">   </w:t>
            </w:r>
          </w:p>
        </w:tc>
      </w:tr>
      <w:tr w:rsidR="001D57CE" w:rsidRPr="001D57CE" w14:paraId="6FAE97C4" w14:textId="77777777">
        <w:tc>
          <w:tcPr>
            <w:tcW w:w="1981" w:type="dxa"/>
            <w:hideMark/>
          </w:tcPr>
          <w:p w14:paraId="51F8D026" w14:textId="3001A5CA"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18AF1B75" wp14:editId="02B334EA">
                  <wp:extent cx="1076325" cy="1533525"/>
                  <wp:effectExtent l="0" t="0" r="9525" b="9525"/>
                  <wp:docPr id="366697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6325" cy="1533525"/>
                          </a:xfrm>
                          <a:prstGeom prst="rect">
                            <a:avLst/>
                          </a:prstGeom>
                          <a:noFill/>
                          <a:ln>
                            <a:noFill/>
                          </a:ln>
                        </pic:spPr>
                      </pic:pic>
                    </a:graphicData>
                  </a:graphic>
                </wp:inline>
              </w:drawing>
            </w:r>
          </w:p>
        </w:tc>
        <w:tc>
          <w:tcPr>
            <w:tcW w:w="7035" w:type="dxa"/>
            <w:hideMark/>
          </w:tcPr>
          <w:p w14:paraId="51561D4B" w14:textId="77777777" w:rsidR="001D57CE" w:rsidRPr="001D57CE" w:rsidRDefault="001D57CE" w:rsidP="001D57CE">
            <w:pPr>
              <w:spacing w:after="0" w:line="259" w:lineRule="auto"/>
              <w:ind w:left="0" w:right="0" w:firstLine="0"/>
              <w:rPr>
                <w:b/>
                <w:bCs/>
                <w:lang w:val="en-ID"/>
              </w:rPr>
            </w:pPr>
            <w:r w:rsidRPr="001D57CE">
              <w:rPr>
                <w:b/>
                <w:bCs/>
                <w:lang w:val="en-ID"/>
              </w:rPr>
              <w:t>Supriyana</w:t>
            </w:r>
            <w:r w:rsidRPr="001D57CE">
              <w:rPr>
                <w:b/>
                <w:bCs/>
                <w:lang w:val="en"/>
              </w:rPr>
              <w:t xml:space="preserve"> </w:t>
            </w:r>
            <w:r w:rsidRPr="001D57CE">
              <w:rPr>
                <w:lang w:val="en"/>
              </w:rPr>
              <w:t xml:space="preserve">is a lecturer in the Applied Master's Program of Dental and Oral Therapy at The Postgraduate Program of the Ministry of Health Polytechnic of Semarang. His expertise lies not only in dentistry but also in educational management and educational technology. He has completed his doctorate in educational management at Semarang State University. In addition to his teaching duties, he is also an assessor for the Independent Health Accreditation Institute (Lam PT Kes) and has served as Director 1 for Academic Affairs. Email: </w:t>
            </w:r>
            <w:hyperlink r:id="rId27" w:history="1">
              <w:r w:rsidRPr="001D57CE">
                <w:rPr>
                  <w:rStyle w:val="Hyperlink"/>
                  <w:lang w:val="en"/>
                </w:rPr>
                <w:t>hastama99@yahoo.com</w:t>
              </w:r>
            </w:hyperlink>
            <w:r w:rsidRPr="001D57CE">
              <w:rPr>
                <w:lang w:val="en"/>
              </w:rPr>
              <w:t xml:space="preserve">  </w:t>
            </w:r>
          </w:p>
        </w:tc>
      </w:tr>
      <w:tr w:rsidR="001D57CE" w:rsidRPr="001D57CE" w14:paraId="7DB5A564" w14:textId="77777777">
        <w:tc>
          <w:tcPr>
            <w:tcW w:w="1981" w:type="dxa"/>
            <w:hideMark/>
          </w:tcPr>
          <w:p w14:paraId="18012C06" w14:textId="7104FE39"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9504" behindDoc="0" locked="0" layoutInCell="1" allowOverlap="1" wp14:anchorId="3087BBCF" wp14:editId="4145DE8D">
                  <wp:simplePos x="0" y="0"/>
                  <wp:positionH relativeFrom="margin">
                    <wp:align>left</wp:align>
                  </wp:positionH>
                  <wp:positionV relativeFrom="margin">
                    <wp:align>top</wp:align>
                  </wp:positionV>
                  <wp:extent cx="1115060" cy="1676400"/>
                  <wp:effectExtent l="0" t="0" r="8890" b="0"/>
                  <wp:wrapSquare wrapText="bothSides"/>
                  <wp:docPr id="1353154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5060" cy="1676400"/>
                          </a:xfrm>
                          <a:prstGeom prst="rect">
                            <a:avLst/>
                          </a:prstGeom>
                          <a:noFill/>
                        </pic:spPr>
                      </pic:pic>
                    </a:graphicData>
                  </a:graphic>
                  <wp14:sizeRelH relativeFrom="margin">
                    <wp14:pctWidth>0</wp14:pctWidth>
                  </wp14:sizeRelH>
                  <wp14:sizeRelV relativeFrom="margin">
                    <wp14:pctHeight>0</wp14:pctHeight>
                  </wp14:sizeRelV>
                </wp:anchor>
              </w:drawing>
            </w:r>
            <w:r w:rsidRPr="001D57CE">
              <w:rPr>
                <w:noProof/>
                <w:lang w:val="en-ID"/>
              </w:rPr>
              <mc:AlternateContent>
                <mc:Choice Requires="wps">
                  <w:drawing>
                    <wp:inline distT="0" distB="0" distL="0" distR="0" wp14:anchorId="623CB9F5" wp14:editId="58D0A6C8">
                      <wp:extent cx="304800" cy="304800"/>
                      <wp:effectExtent l="0" t="0" r="0" b="0"/>
                      <wp:docPr id="126848656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3EA2B"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57CE">
              <w:rPr>
                <w:lang w:val="en-ID"/>
              </w:rPr>
              <w:t xml:space="preserve"> </w:t>
            </w:r>
          </w:p>
        </w:tc>
        <w:tc>
          <w:tcPr>
            <w:tcW w:w="7035" w:type="dxa"/>
            <w:hideMark/>
          </w:tcPr>
          <w:p w14:paraId="0002925D" w14:textId="77777777" w:rsidR="001D57CE" w:rsidRPr="001D57CE" w:rsidRDefault="001D57CE" w:rsidP="001D57CE">
            <w:pPr>
              <w:spacing w:after="0" w:line="259" w:lineRule="auto"/>
              <w:ind w:left="0" w:right="0" w:firstLine="0"/>
              <w:rPr>
                <w:b/>
                <w:bCs/>
                <w:lang w:val="en-ID"/>
              </w:rPr>
            </w:pPr>
            <w:r w:rsidRPr="001D57CE">
              <w:rPr>
                <w:b/>
                <w:bCs/>
                <w:lang w:val="en-ID"/>
              </w:rPr>
              <w:t xml:space="preserve">Irmanita Wiradona </w:t>
            </w:r>
            <w:r w:rsidRPr="001D57CE">
              <w:rPr>
                <w:lang w:val="en"/>
              </w:rPr>
              <w:t xml:space="preserve">is a lecturer in the Dental Health Diploma III program at the Department of Dental Health at the Ministry of Health Polytechnic of Semarang. Her expertise lies in oral health promotion as evidenced by her master's degree in Health Promotion at Diponegoro University, Semarang. In addition to her teaching career, she is also active on the board of the dental and oral therapist professional organization. Email: </w:t>
            </w:r>
            <w:hyperlink r:id="rId29" w:history="1">
              <w:r w:rsidRPr="001D57CE">
                <w:rPr>
                  <w:rStyle w:val="Hyperlink"/>
                  <w:lang w:val="en"/>
                </w:rPr>
                <w:t>irmanita.wiradona@gmail.com</w:t>
              </w:r>
            </w:hyperlink>
            <w:r w:rsidRPr="001D57CE">
              <w:rPr>
                <w:lang w:val="en"/>
              </w:rPr>
              <w:t xml:space="preserve"> </w:t>
            </w:r>
          </w:p>
        </w:tc>
      </w:tr>
      <w:tr w:rsidR="001D57CE" w:rsidRPr="001D57CE" w14:paraId="5415D8B1" w14:textId="77777777">
        <w:tc>
          <w:tcPr>
            <w:tcW w:w="1981" w:type="dxa"/>
            <w:hideMark/>
          </w:tcPr>
          <w:p w14:paraId="3C96E298" w14:textId="020E296A"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8480" behindDoc="0" locked="0" layoutInCell="1" allowOverlap="1" wp14:anchorId="4EB6C9F7" wp14:editId="4A2ED780">
                  <wp:simplePos x="0" y="0"/>
                  <wp:positionH relativeFrom="column">
                    <wp:posOffset>80645</wp:posOffset>
                  </wp:positionH>
                  <wp:positionV relativeFrom="paragraph">
                    <wp:posOffset>0</wp:posOffset>
                  </wp:positionV>
                  <wp:extent cx="803910" cy="1209675"/>
                  <wp:effectExtent l="0" t="0" r="0" b="9525"/>
                  <wp:wrapSquare wrapText="bothSides"/>
                  <wp:docPr id="570906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3910" cy="1209675"/>
                          </a:xfrm>
                          <a:prstGeom prst="rect">
                            <a:avLst/>
                          </a:prstGeom>
                          <a:noFill/>
                        </pic:spPr>
                      </pic:pic>
                    </a:graphicData>
                  </a:graphic>
                  <wp14:sizeRelH relativeFrom="page">
                    <wp14:pctWidth>0</wp14:pctWidth>
                  </wp14:sizeRelH>
                  <wp14:sizeRelV relativeFrom="page">
                    <wp14:pctHeight>0</wp14:pctHeight>
                  </wp14:sizeRelV>
                </wp:anchor>
              </w:drawing>
            </w:r>
          </w:p>
        </w:tc>
        <w:tc>
          <w:tcPr>
            <w:tcW w:w="7035" w:type="dxa"/>
            <w:hideMark/>
          </w:tcPr>
          <w:p w14:paraId="037FACD3" w14:textId="77777777" w:rsidR="001D57CE" w:rsidRPr="001D57CE" w:rsidRDefault="001D57CE" w:rsidP="001D57CE">
            <w:pPr>
              <w:spacing w:after="0" w:line="259" w:lineRule="auto"/>
              <w:ind w:left="0" w:right="0" w:firstLine="0"/>
              <w:rPr>
                <w:b/>
                <w:bCs/>
                <w:lang w:val="en-ID"/>
              </w:rPr>
            </w:pPr>
            <w:r w:rsidRPr="001D57CE">
              <w:rPr>
                <w:b/>
                <w:bCs/>
                <w:lang w:val="en-ID"/>
              </w:rPr>
              <w:t xml:space="preserve">Luci Fitriyanti </w:t>
            </w:r>
            <w:r w:rsidRPr="001D57CE">
              <w:rPr>
                <w:lang w:val="en-ID"/>
              </w:rPr>
              <w:t xml:space="preserve">is affiliated with the Department of Dental Health, Poltekkes Kemenkes Semarang, Central Java, Indonesia. She is a young lecturer in the Department of Dental Health and is actively involved in teaching, research, and community service activities. Email:  </w:t>
            </w:r>
            <w:hyperlink r:id="rId31" w:history="1">
              <w:r w:rsidRPr="001D57CE">
                <w:rPr>
                  <w:rStyle w:val="Hyperlink"/>
                  <w:lang w:val="en-ID"/>
                </w:rPr>
                <w:t>lucifitriyanti@gmail.com</w:t>
              </w:r>
            </w:hyperlink>
            <w:r w:rsidRPr="001D57CE">
              <w:rPr>
                <w:lang w:val="en-ID"/>
              </w:rPr>
              <w:t xml:space="preserve"> </w:t>
            </w:r>
          </w:p>
        </w:tc>
      </w:tr>
      <w:tr w:rsidR="001D57CE" w:rsidRPr="001D57CE" w14:paraId="1F477DAC" w14:textId="77777777">
        <w:tc>
          <w:tcPr>
            <w:tcW w:w="1981" w:type="dxa"/>
          </w:tcPr>
          <w:p w14:paraId="6526E76C" w14:textId="116D9A26"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40B40156" wp14:editId="17D6404D">
                  <wp:extent cx="1123950" cy="1123950"/>
                  <wp:effectExtent l="0" t="0" r="0" b="0"/>
                  <wp:docPr id="14442402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p w14:paraId="2089145F" w14:textId="77777777" w:rsidR="001D57CE" w:rsidRPr="001D57CE" w:rsidRDefault="001D57CE" w:rsidP="001D57CE">
            <w:pPr>
              <w:spacing w:after="0" w:line="259" w:lineRule="auto"/>
              <w:ind w:left="0" w:right="0" w:firstLine="0"/>
              <w:jc w:val="left"/>
              <w:rPr>
                <w:lang w:val="en-ID"/>
              </w:rPr>
            </w:pPr>
          </w:p>
        </w:tc>
        <w:tc>
          <w:tcPr>
            <w:tcW w:w="7035" w:type="dxa"/>
            <w:hideMark/>
          </w:tcPr>
          <w:p w14:paraId="45DF36D6" w14:textId="77777777" w:rsidR="001D57CE" w:rsidRPr="001D57CE" w:rsidRDefault="001D57CE" w:rsidP="001D57CE">
            <w:pPr>
              <w:spacing w:after="0" w:line="259" w:lineRule="auto"/>
              <w:ind w:left="0" w:right="0" w:firstLine="0"/>
              <w:rPr>
                <w:lang w:val="en-ID"/>
              </w:rPr>
            </w:pPr>
            <w:r w:rsidRPr="001D57CE">
              <w:rPr>
                <w:b/>
                <w:bCs/>
                <w:lang w:val="en-ID"/>
              </w:rPr>
              <w:t>Sari Luthfiyah</w:t>
            </w:r>
            <w:r w:rsidRPr="001D57CE">
              <w:rPr>
                <w:lang w:val="en-ID"/>
              </w:rPr>
              <w:t xml:space="preserve"> is a lecturer at the Department of Nursing, Poltekkes Kemenkes Surabaya, Surabaya, East Java, Indonesia, and a doctoral candidate at Universitas Airlangga. With over 26 years of academic experience and prior clinical practice in cardiovascular nursing, her research focuses on cardiovascular health, electro-medical engineering, and digital health technologies. Email: </w:t>
            </w:r>
            <w:hyperlink r:id="rId33" w:history="1">
              <w:r w:rsidRPr="001D57CE">
                <w:rPr>
                  <w:rStyle w:val="Hyperlink"/>
                  <w:lang w:val="en-ID"/>
                </w:rPr>
                <w:t>sarilut@poltekkes-surabaya.ac.id</w:t>
              </w:r>
            </w:hyperlink>
            <w:r w:rsidRPr="001D57CE">
              <w:rPr>
                <w:lang w:val="en-ID"/>
              </w:rPr>
              <w:t xml:space="preserve"> </w:t>
            </w:r>
          </w:p>
        </w:tc>
      </w:tr>
    </w:tbl>
    <w:p w14:paraId="14ACDF5E" w14:textId="77777777" w:rsidR="001D57CE" w:rsidRPr="001D57CE" w:rsidRDefault="001D57CE" w:rsidP="001D57CE">
      <w:pPr>
        <w:spacing w:after="0" w:line="259" w:lineRule="auto"/>
        <w:ind w:left="0" w:right="0" w:firstLine="0"/>
        <w:jc w:val="left"/>
        <w:rPr>
          <w:lang w:val="en-ID"/>
        </w:rPr>
      </w:pPr>
    </w:p>
    <w:p w14:paraId="1A9314F8" w14:textId="0EDC6AA3" w:rsidR="00664C6B" w:rsidRDefault="00664C6B">
      <w:pPr>
        <w:spacing w:after="0" w:line="259" w:lineRule="auto"/>
        <w:ind w:left="0" w:right="0" w:firstLine="0"/>
        <w:jc w:val="left"/>
      </w:pPr>
    </w:p>
    <w:sectPr w:rsidR="00664C6B" w:rsidSect="009A7897">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9D10" w14:textId="77777777" w:rsidR="005F4AEF" w:rsidRDefault="005F4AEF">
      <w:pPr>
        <w:spacing w:after="0" w:line="240" w:lineRule="auto"/>
      </w:pPr>
      <w:r>
        <w:separator/>
      </w:r>
    </w:p>
  </w:endnote>
  <w:endnote w:type="continuationSeparator" w:id="0">
    <w:p w14:paraId="57003F73" w14:textId="77777777" w:rsidR="005F4AEF" w:rsidRDefault="005F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1843099"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Modified O’Leary Plaque Index Compared to OHI-S (Sutomo et al.)</w:t>
    </w:r>
    <w:r>
      <w:rPr>
        <w:rFonts w:eastAsia="Calibri" w:cs="Calibri"/>
        <w:i/>
        <w:iCs/>
        <w:noProof/>
        <w:sz w:val="20"/>
        <w:szCs w:val="20"/>
      </w:rPr>
    </w:r>
    <w:r w:rsidR="007E606E" w:rsidRPr="009A7897">
      <w:rPr>
        <w:rFonts w:eastAsia="Calibri" w:cs="Calibri"/>
        <w:i/>
        <w:iCs/>
        <w:noProof/>
        <w:sz w:val="20"/>
        <w:szCs w:val="20"/>
      </w:rPr>
    </w:r>
    <w:r w:rsidR="00F11B2D" w:rsidRPr="009A7897">
      <w:rPr>
        <w:i/>
        <w:iCs/>
        <w:sz w:val="20"/>
        <w:szCs w:val="20"/>
      </w:rPr>
    </w:r>
    <w:r w:rsidR="007E606E" w:rsidRPr="009A7897">
      <w:rPr>
        <w:i/>
        <w:iCs/>
        <w:sz w:val="20"/>
        <w:szCs w:val="20"/>
      </w:rPr>
    </w:r>
    <w:r w:rsidR="00F11B2D" w:rsidRPr="009A7897">
      <w:rPr>
        <w:i/>
        <w:iCs/>
        <w:sz w:val="20"/>
        <w:szCs w:val="20"/>
      </w:rPr>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77DA" w14:textId="77777777" w:rsidR="005F4AEF" w:rsidRDefault="005F4AEF">
      <w:pPr>
        <w:spacing w:after="0" w:line="240" w:lineRule="auto"/>
      </w:pPr>
      <w:r>
        <w:separator/>
      </w:r>
    </w:p>
  </w:footnote>
  <w:footnote w:type="continuationSeparator" w:id="0">
    <w:p w14:paraId="5A9DE3E3" w14:textId="77777777" w:rsidR="005F4AEF" w:rsidRDefault="005F4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2820DBB6"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8F1C26"/>
    <w:multiLevelType w:val="hybridMultilevel"/>
    <w:tmpl w:val="3E0CE7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4"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5"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6"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7"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8"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F8A"/>
    <w:multiLevelType w:val="hybridMultilevel"/>
    <w:tmpl w:val="5DF86C7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3"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0"/>
  </w:num>
  <w:num w:numId="3" w16cid:durableId="167405885">
    <w:abstractNumId w:val="6"/>
  </w:num>
  <w:num w:numId="4" w16cid:durableId="839732622">
    <w:abstractNumId w:val="9"/>
  </w:num>
  <w:num w:numId="5" w16cid:durableId="760955740">
    <w:abstractNumId w:val="11"/>
  </w:num>
  <w:num w:numId="6" w16cid:durableId="865020756">
    <w:abstractNumId w:val="15"/>
  </w:num>
  <w:num w:numId="7" w16cid:durableId="1662999864">
    <w:abstractNumId w:val="24"/>
  </w:num>
  <w:num w:numId="8" w16cid:durableId="86581767">
    <w:abstractNumId w:val="4"/>
  </w:num>
  <w:num w:numId="9" w16cid:durableId="1225533002">
    <w:abstractNumId w:val="3"/>
  </w:num>
  <w:num w:numId="10" w16cid:durableId="1238635097">
    <w:abstractNumId w:val="20"/>
  </w:num>
  <w:num w:numId="11" w16cid:durableId="539903219">
    <w:abstractNumId w:val="2"/>
  </w:num>
  <w:num w:numId="12" w16cid:durableId="1887715145">
    <w:abstractNumId w:val="21"/>
  </w:num>
  <w:num w:numId="13" w16cid:durableId="276330521">
    <w:abstractNumId w:val="14"/>
  </w:num>
  <w:num w:numId="14" w16cid:durableId="2091391591">
    <w:abstractNumId w:val="7"/>
  </w:num>
  <w:num w:numId="15" w16cid:durableId="1166240142">
    <w:abstractNumId w:val="0"/>
  </w:num>
  <w:num w:numId="16" w16cid:durableId="542329710">
    <w:abstractNumId w:val="23"/>
  </w:num>
  <w:num w:numId="17" w16cid:durableId="1098407239">
    <w:abstractNumId w:val="16"/>
  </w:num>
  <w:num w:numId="18" w16cid:durableId="1980719134">
    <w:abstractNumId w:val="17"/>
  </w:num>
  <w:num w:numId="19" w16cid:durableId="868687771">
    <w:abstractNumId w:val="13"/>
  </w:num>
  <w:num w:numId="20" w16cid:durableId="975717312">
    <w:abstractNumId w:val="12"/>
  </w:num>
  <w:num w:numId="21" w16cid:durableId="1374118931">
    <w:abstractNumId w:val="8"/>
  </w:num>
  <w:num w:numId="22" w16cid:durableId="1160536925">
    <w:abstractNumId w:val="18"/>
  </w:num>
  <w:num w:numId="23" w16cid:durableId="724187080">
    <w:abstractNumId w:val="22"/>
  </w:num>
  <w:num w:numId="24" w16cid:durableId="2006006157">
    <w:abstractNumId w:val="5"/>
  </w:num>
  <w:num w:numId="25" w16cid:durableId="12579037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60FD2"/>
    <w:rsid w:val="0006303F"/>
    <w:rsid w:val="00085B44"/>
    <w:rsid w:val="00087A2A"/>
    <w:rsid w:val="000A08E3"/>
    <w:rsid w:val="000B411E"/>
    <w:rsid w:val="000C36CF"/>
    <w:rsid w:val="000E72E3"/>
    <w:rsid w:val="00160B43"/>
    <w:rsid w:val="00170371"/>
    <w:rsid w:val="001D57CE"/>
    <w:rsid w:val="001D60A2"/>
    <w:rsid w:val="001F17EE"/>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6153"/>
    <w:rsid w:val="00330E6A"/>
    <w:rsid w:val="003B4568"/>
    <w:rsid w:val="003E3003"/>
    <w:rsid w:val="003F4C67"/>
    <w:rsid w:val="00411E45"/>
    <w:rsid w:val="0046575E"/>
    <w:rsid w:val="004A1BC9"/>
    <w:rsid w:val="004D1DB1"/>
    <w:rsid w:val="004D41D8"/>
    <w:rsid w:val="00503126"/>
    <w:rsid w:val="00511BEE"/>
    <w:rsid w:val="0051702D"/>
    <w:rsid w:val="0052651C"/>
    <w:rsid w:val="00531914"/>
    <w:rsid w:val="00580EB2"/>
    <w:rsid w:val="005939CC"/>
    <w:rsid w:val="00597D40"/>
    <w:rsid w:val="005E0660"/>
    <w:rsid w:val="005F0EE8"/>
    <w:rsid w:val="005F4AEF"/>
    <w:rsid w:val="00620BE2"/>
    <w:rsid w:val="00657F11"/>
    <w:rsid w:val="00664C6B"/>
    <w:rsid w:val="006B0E11"/>
    <w:rsid w:val="006B64BB"/>
    <w:rsid w:val="006D2924"/>
    <w:rsid w:val="006E0898"/>
    <w:rsid w:val="006E110F"/>
    <w:rsid w:val="00727C96"/>
    <w:rsid w:val="00761248"/>
    <w:rsid w:val="007676AB"/>
    <w:rsid w:val="00775514"/>
    <w:rsid w:val="007E12B1"/>
    <w:rsid w:val="007E5D5C"/>
    <w:rsid w:val="007E606E"/>
    <w:rsid w:val="00812893"/>
    <w:rsid w:val="00822F81"/>
    <w:rsid w:val="00840725"/>
    <w:rsid w:val="00865414"/>
    <w:rsid w:val="008A16FC"/>
    <w:rsid w:val="008D2008"/>
    <w:rsid w:val="008E23E1"/>
    <w:rsid w:val="00905619"/>
    <w:rsid w:val="00913F7A"/>
    <w:rsid w:val="009630FB"/>
    <w:rsid w:val="0097177F"/>
    <w:rsid w:val="009839F3"/>
    <w:rsid w:val="009A27D4"/>
    <w:rsid w:val="009A7897"/>
    <w:rsid w:val="009B0F7C"/>
    <w:rsid w:val="009D7B6B"/>
    <w:rsid w:val="00A06BA1"/>
    <w:rsid w:val="00A10449"/>
    <w:rsid w:val="00A41133"/>
    <w:rsid w:val="00A67C28"/>
    <w:rsid w:val="00A74476"/>
    <w:rsid w:val="00AA47CE"/>
    <w:rsid w:val="00AB7C2F"/>
    <w:rsid w:val="00B10C5D"/>
    <w:rsid w:val="00B17F27"/>
    <w:rsid w:val="00B21D02"/>
    <w:rsid w:val="00B60002"/>
    <w:rsid w:val="00B65D9B"/>
    <w:rsid w:val="00B83874"/>
    <w:rsid w:val="00BA574E"/>
    <w:rsid w:val="00BA584F"/>
    <w:rsid w:val="00BA6DD0"/>
    <w:rsid w:val="00BB2126"/>
    <w:rsid w:val="00BD27E2"/>
    <w:rsid w:val="00BD759F"/>
    <w:rsid w:val="00C062CC"/>
    <w:rsid w:val="00C3729D"/>
    <w:rsid w:val="00C75B14"/>
    <w:rsid w:val="00C929A8"/>
    <w:rsid w:val="00CC0230"/>
    <w:rsid w:val="00CE0E8A"/>
    <w:rsid w:val="00CE7BEF"/>
    <w:rsid w:val="00D31DDE"/>
    <w:rsid w:val="00D455CE"/>
    <w:rsid w:val="00D62F90"/>
    <w:rsid w:val="00D9142C"/>
    <w:rsid w:val="00D9690E"/>
    <w:rsid w:val="00DD4E55"/>
    <w:rsid w:val="00E26D6D"/>
    <w:rsid w:val="00E85071"/>
    <w:rsid w:val="00E867FF"/>
    <w:rsid w:val="00EF7892"/>
    <w:rsid w:val="00F11B2D"/>
    <w:rsid w:val="00F12812"/>
    <w:rsid w:val="00F22A84"/>
    <w:rsid w:val="00F261BC"/>
    <w:rsid w:val="00F3196E"/>
    <w:rsid w:val="00F401EF"/>
    <w:rsid w:val="00F43588"/>
    <w:rsid w:val="00F4698E"/>
    <w:rsid w:val="00F723D0"/>
    <w:rsid w:val="00F84920"/>
    <w:rsid w:val="00FA1E9D"/>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oi.org/10.14219/jada.archive.1960.017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bambangsutomo20@yahoo.co.id" TargetMode="External"/><Relationship Id="rId17" Type="http://schemas.openxmlformats.org/officeDocument/2006/relationships/header" Target="header3.xml"/><Relationship Id="rId25" Type="http://schemas.openxmlformats.org/officeDocument/2006/relationships/hyperlink" Target="mailto:bambangsutomo20@yahoo.co.id" TargetMode="External"/><Relationship Id="rId33" Type="http://schemas.openxmlformats.org/officeDocument/2006/relationships/hyperlink" Target="mailto:sarilut@poltekkes-surabaya.ac.id"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yperlink" Target="mailto:irmanita.wiradona@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0003-9969(70)90142-1"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yperlink" Target="mailto:lucifitriyanti@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oi.org/10.1016/B978-0-12-030504-9.50010-X" TargetMode="External"/><Relationship Id="rId27" Type="http://schemas.openxmlformats.org/officeDocument/2006/relationships/hyperlink" Target="mailto:hastama99@yahoo.com" TargetMode="External"/><Relationship Id="rId30" Type="http://schemas.openxmlformats.org/officeDocument/2006/relationships/image" Target="media/image10.png"/><Relationship Id="rId35" Type="http://schemas.openxmlformats.org/officeDocument/2006/relationships/theme" Target="theme/theme1.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11</Pages>
  <Words>2996</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a Modified O'Leary Plaque Index Compared to the Standard OHI-S Among Elementary School Students at SDN Pudakpayung 02, Semarang</dc:title>
  <dc:subject>Author completion copy: red-highlighted fields require original study data before resubmission</dc:subject>
  <dc:creator>Muhammad Miftahul Amri</dc:creator>
  <cp:keywords/>
  <cp:lastModifiedBy>Hi</cp:lastModifiedBy>
  <cp:revision>54</cp:revision>
  <cp:lastPrinted>2025-07-05T12:18:00Z</cp:lastPrinted>
  <dcterms:created xsi:type="dcterms:W3CDTF">2022-06-25T13:03:00Z</dcterms:created>
  <dcterms:modified xsi:type="dcterms:W3CDTF">2026-04-13T03:26:00Z</dcterms:modified>
  <dc:description>Red-highlighted INSERT fields must be completed or deleted before journal resubmission.</dc:description>
</cp:coreProperties>
</file>