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perTitle"/>
        <w:ind w:firstLine="0"/>
      </w:pPr>
      <w:r>
        <w:rPr>
          <w:rFonts w:ascii="Times New Roman" w:hAnsi="Times New Roman" w:eastAsia="Times New Roman"/>
          <w:b/>
          <w:sz w:val="22"/>
        </w:rPr>
        <w:t>Thailand Statistician Submission Checklist</w:t>
      </w:r>
    </w:p>
    <w:p>
      <w:pPr>
        <w:spacing w:line="276" w:lineRule="auto" w:after="100"/>
        <w:ind w:firstLine="0"/>
      </w:pPr>
      <w:r>
        <w:rPr>
          <w:rFonts w:ascii="Times New Roman" w:hAnsi="Times New Roman" w:eastAsia="Times New Roman"/>
          <w:b/>
          <w:sz w:val="20"/>
        </w:rPr>
        <w:t xml:space="preserve">1. Main manuscript </w:t>
      </w:r>
      <w:r>
        <w:rPr>
          <w:rFonts w:ascii="Times New Roman" w:hAnsi="Times New Roman" w:eastAsia="Times New Roman"/>
          <w:sz w:val="20"/>
        </w:rPr>
        <w:t>Upload Thailand_Statistician_Blinded_Main_Manuscript.docx as the manuscript file. It is anonymized for the journal’s double-blind review process.</w:t>
      </w:r>
    </w:p>
    <w:p>
      <w:pPr>
        <w:spacing w:line="276" w:lineRule="auto" w:after="100"/>
        <w:ind w:firstLine="0"/>
      </w:pPr>
      <w:r>
        <w:rPr>
          <w:rFonts w:ascii="Times New Roman" w:hAnsi="Times New Roman" w:eastAsia="Times New Roman"/>
          <w:b/>
          <w:sz w:val="20"/>
        </w:rPr>
        <w:t xml:space="preserve">2. Title page </w:t>
      </w:r>
      <w:r>
        <w:rPr>
          <w:rFonts w:ascii="Times New Roman" w:hAnsi="Times New Roman" w:eastAsia="Times New Roman"/>
          <w:sz w:val="20"/>
        </w:rPr>
        <w:t>Upload Thailand_Statistician_Title_Page.docx only in the system location used for a separate title page or supplementary file, not as the blinded manuscript.</w:t>
      </w:r>
    </w:p>
    <w:p>
      <w:pPr>
        <w:spacing w:line="276" w:lineRule="auto" w:after="100"/>
        <w:ind w:firstLine="0"/>
      </w:pPr>
      <w:r>
        <w:rPr>
          <w:rFonts w:ascii="Times New Roman" w:hAnsi="Times New Roman" w:eastAsia="Times New Roman"/>
          <w:b/>
          <w:sz w:val="20"/>
        </w:rPr>
        <w:t xml:space="preserve">3. Figures </w:t>
      </w:r>
      <w:r>
        <w:rPr>
          <w:rFonts w:ascii="Times New Roman" w:hAnsi="Times New Roman" w:eastAsia="Times New Roman"/>
          <w:sz w:val="20"/>
        </w:rPr>
        <w:t>The two 600-dpi TIFF figures are embedded in the main manuscript. Keep Figure_1_LASSO_coefficient_path.tiff and Figure_2_CV_error.tiff available in case the system requests separate figure files.</w:t>
      </w:r>
    </w:p>
    <w:p>
      <w:pPr>
        <w:spacing w:line="276" w:lineRule="auto" w:after="100"/>
        <w:ind w:firstLine="0"/>
      </w:pPr>
      <w:r>
        <w:rPr>
          <w:rFonts w:ascii="Times New Roman" w:hAnsi="Times New Roman" w:eastAsia="Times New Roman"/>
          <w:b/>
          <w:sz w:val="20"/>
        </w:rPr>
        <w:t xml:space="preserve">4. Required author confirmation </w:t>
      </w:r>
      <w:r>
        <w:rPr>
          <w:rFonts w:ascii="Times New Roman" w:hAnsi="Times New Roman" w:eastAsia="Times New Roman"/>
          <w:sz w:val="20"/>
        </w:rPr>
        <w:t>Confirm the funding statement and conflict-of-interest statement. Add academic degrees for all authors on the title page. Do not upload the title page until these items are verified.</w:t>
      </w:r>
    </w:p>
    <w:p>
      <w:pPr>
        <w:spacing w:line="276" w:lineRule="auto" w:after="100"/>
        <w:ind w:firstLine="0"/>
      </w:pPr>
      <w:r>
        <w:rPr>
          <w:rFonts w:ascii="Times New Roman" w:hAnsi="Times New Roman" w:eastAsia="Times New Roman"/>
          <w:b/>
          <w:sz w:val="20"/>
        </w:rPr>
        <w:t xml:space="preserve">5. Blind-review check </w:t>
      </w:r>
      <w:r>
        <w:rPr>
          <w:rFonts w:ascii="Times New Roman" w:hAnsi="Times New Roman" w:eastAsia="Times New Roman"/>
          <w:sz w:val="20"/>
        </w:rPr>
        <w:t>Do not include author names, affiliations, e-mail addresses, acknowledgments that identify the authors, or author-identifying file metadata in the blinded manuscript.</w:t>
      </w:r>
    </w:p>
    <w:p>
      <w:pPr>
        <w:spacing w:line="276" w:lineRule="auto" w:after="100"/>
        <w:ind w:firstLine="0"/>
      </w:pPr>
      <w:r>
        <w:rPr>
          <w:rFonts w:ascii="Times New Roman" w:hAnsi="Times New Roman" w:eastAsia="Times New Roman"/>
          <w:b/>
          <w:sz w:val="20"/>
        </w:rPr>
        <w:t xml:space="preserve">6. Submission declarations </w:t>
      </w:r>
      <w:r>
        <w:rPr>
          <w:rFonts w:ascii="Times New Roman" w:hAnsi="Times New Roman" w:eastAsia="Times New Roman"/>
          <w:sz w:val="20"/>
        </w:rPr>
        <w:t>Confirm that the work is unpublished, not under consideration elsewhere, references are verified, and all required supporting/financial disclosures are accurate.</w:t>
      </w:r>
    </w:p>
    <w:sectPr w:rsidR="00FC693F" w:rsidRPr="0006063C" w:rsidSect="00034616">
      <w:footerReference w:type="default" r:id="rId9"/>
      <w:pgSz w:w="10318" w:h="14570"/>
      <w:pgMar w:top="1440" w:right="864" w:bottom="864" w:left="1440" w:header="432" w:footer="432" w:gutter="0"/>
      <w:cols w:space="720"/>
      <w:docGrid w:linePitch="360"/>
      <w:mirrorMargin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Times New Roman"/>
        <w:sz w:val="18"/>
      </w:rPr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60"/>
      <w:jc w:val="both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perTitle">
    <w:name w:val="Paper Title"/>
    <w:pPr>
      <w:keepNext/>
      <w:spacing w:line="276" w:lineRule="auto" w:before="0" w:after="160"/>
      <w:jc w:val="center"/>
    </w:pPr>
    <w:rPr>
      <w:rFonts w:ascii="Times New Roman" w:hAnsi="Times New Roman" w:eastAsia="Times New Roman"/>
      <w:b/>
      <w:sz w:val="22"/>
    </w:rPr>
  </w:style>
  <w:style w:type="paragraph" w:customStyle="1" w:styleId="SectionHeading">
    <w:name w:val="Section Heading"/>
    <w:pPr>
      <w:keepNext/>
      <w:spacing w:line="276" w:lineRule="auto" w:before="160" w:after="60"/>
      <w:jc w:val="left"/>
    </w:pPr>
    <w:rPr>
      <w:rFonts w:ascii="Times New Roman" w:hAnsi="Times New Roman" w:eastAsia="Times New Roman"/>
      <w:b/>
      <w:sz w:val="20"/>
    </w:rPr>
  </w:style>
  <w:style w:type="paragraph" w:customStyle="1" w:styleId="SubsectionHeading">
    <w:name w:val="Subsection Heading"/>
    <w:pPr>
      <w:keepNext/>
      <w:spacing w:line="276" w:lineRule="auto" w:before="100" w:after="40"/>
      <w:jc w:val="left"/>
    </w:pPr>
    <w:rPr>
      <w:rFonts w:ascii="Times New Roman" w:hAnsi="Times New Roman" w:eastAsia="Times New Roman"/>
      <w:b/>
      <w:sz w:val="20"/>
    </w:rPr>
  </w:style>
  <w:style w:type="paragraph" w:customStyle="1" w:styleId="TableCaption">
    <w:name w:val="Table Caption"/>
    <w:pPr>
      <w:keepNext/>
      <w:spacing w:line="276" w:lineRule="auto" w:before="100" w:after="40"/>
      <w:jc w:val="left"/>
    </w:pPr>
    <w:rPr>
      <w:rFonts w:ascii="Times New Roman" w:hAnsi="Times New Roman" w:eastAsia="Times New Roman"/>
      <w:b/>
      <w:sz w:val="18"/>
    </w:rPr>
  </w:style>
  <w:style w:type="paragraph" w:customStyle="1" w:styleId="FigureCaption">
    <w:name w:val="Figure Caption"/>
    <w:pPr>
      <w:keepNext w:val="0"/>
      <w:spacing w:line="276" w:lineRule="auto" w:before="40" w:after="100"/>
      <w:jc w:val="left"/>
    </w:pPr>
    <w:rPr>
      <w:rFonts w:ascii="Times New Roman" w:hAnsi="Times New Roman" w:eastAsia="Times New Roman"/>
      <w:b w:val="0"/>
      <w:sz w:val="18"/>
    </w:rPr>
  </w:style>
  <w:style w:type="paragraph" w:customStyle="1" w:styleId="Reference">
    <w:name w:val="Reference"/>
    <w:pPr>
      <w:keepNext w:val="0"/>
      <w:spacing w:line="276" w:lineRule="auto" w:before="0" w:after="40"/>
      <w:ind w:left="259" w:hanging="259"/>
      <w:jc w:val="left"/>
    </w:pPr>
    <w:rPr>
      <w:rFonts w:ascii="Times New Roman" w:hAnsi="Times New Roman" w:eastAsia="Times New Roman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Selection of District-Level Correlates of Infant Mortality Rate in Southeast Sulawesi, Indonesia, Using LASSO Regression</dc:title>
  <dc:subject>Applied statistics; LASSO regression</dc:subject>
  <dc:creator/>
  <cp:keywords>infant mortality rate; LASSO; multicollinearity; cross-validation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