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7D77" w14:textId="3A7C251B" w:rsidR="0095224A" w:rsidRPr="00F5462A" w:rsidRDefault="00594A2F"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Plant-Derived Repellents Against Aedes aegypti for Sustainable Vector Control: A Systematic Review and Meta-Analysis</w:t>
      </w:r>
    </w:p>
    <w:p w14:paraId="1E78C258" w14:textId="77777777" w:rsidR="00594A2F" w:rsidRPr="00F5462A" w:rsidRDefault="00594A2F" w:rsidP="00F5462A">
      <w:pPr>
        <w:spacing w:line="240" w:lineRule="auto"/>
        <w:ind w:left="0" w:firstLine="0"/>
        <w:rPr>
          <w:rFonts w:ascii="Arial" w:hAnsi="Arial" w:cs="Arial"/>
          <w:b/>
          <w:bCs/>
          <w:sz w:val="20"/>
          <w:szCs w:val="20"/>
          <w:lang w:val="en-ID"/>
        </w:rPr>
      </w:pPr>
    </w:p>
    <w:p w14:paraId="3C7C8B29" w14:textId="05D22C7D"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ABSTRACT</w:t>
      </w:r>
      <w:r w:rsidRPr="00F5462A">
        <w:rPr>
          <w:rFonts w:ascii="Arial" w:hAnsi="Arial" w:cs="Arial"/>
          <w:sz w:val="20"/>
          <w:szCs w:val="20"/>
          <w:lang w:val="en-ID"/>
        </w:rPr>
        <w:t xml:space="preserve"> </w:t>
      </w:r>
    </w:p>
    <w:p w14:paraId="32A4B51B" w14:textId="4C0402BB"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Background</w:t>
      </w:r>
      <w:r w:rsidRPr="00F5462A">
        <w:rPr>
          <w:rFonts w:ascii="Arial" w:hAnsi="Arial" w:cs="Arial"/>
          <w:sz w:val="20"/>
          <w:szCs w:val="20"/>
          <w:lang w:val="en-ID"/>
        </w:rPr>
        <w:t xml:space="preserve">: </w:t>
      </w:r>
      <w:r w:rsidR="0097096E" w:rsidRPr="00F5462A">
        <w:rPr>
          <w:rFonts w:ascii="Arial" w:hAnsi="Arial" w:cs="Arial"/>
          <w:i/>
          <w:iCs/>
          <w:sz w:val="20"/>
          <w:szCs w:val="20"/>
          <w:lang w:val="en-ID"/>
        </w:rPr>
        <w:t>Aedes aegypti</w:t>
      </w:r>
      <w:r w:rsidRPr="00F5462A">
        <w:rPr>
          <w:rFonts w:ascii="Arial" w:hAnsi="Arial" w:cs="Arial"/>
          <w:sz w:val="20"/>
          <w:szCs w:val="20"/>
          <w:lang w:val="en-ID"/>
        </w:rPr>
        <w:t xml:space="preserve"> </w:t>
      </w:r>
      <w:r w:rsidR="000E6EB4" w:rsidRPr="00F5462A">
        <w:rPr>
          <w:rFonts w:ascii="Arial" w:hAnsi="Arial" w:cs="Arial"/>
          <w:sz w:val="20"/>
          <w:szCs w:val="20"/>
          <w:lang w:val="en-ID"/>
        </w:rPr>
        <w:t>is the principal vector of dengue, Zika, chikungunya, and yellow fever viruses and remains a major target of vector-control programs in tropical and subtropical regions. Plant-derived repellents have gained increasing attention as sustainable, biodegradable, and locally accessible alternatives to synthetic repellents such as DEET and picaridin. However, evidence on their comparative efficacy remains fragmented across plant species, formulation types, concentrations, and experimental settings</w:t>
      </w:r>
      <w:r w:rsidRPr="00F5462A">
        <w:rPr>
          <w:rFonts w:ascii="Arial" w:hAnsi="Arial" w:cs="Arial"/>
          <w:sz w:val="20"/>
          <w:szCs w:val="20"/>
          <w:lang w:val="en-ID"/>
        </w:rPr>
        <w:t>.</w:t>
      </w:r>
    </w:p>
    <w:p w14:paraId="5B5C148C" w14:textId="08817DC8"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Objectives</w:t>
      </w:r>
      <w:r w:rsidRPr="00F5462A">
        <w:rPr>
          <w:rFonts w:ascii="Arial" w:hAnsi="Arial" w:cs="Arial"/>
          <w:sz w:val="20"/>
          <w:szCs w:val="20"/>
          <w:lang w:val="en-ID"/>
        </w:rPr>
        <w:t xml:space="preserve">: </w:t>
      </w:r>
      <w:r w:rsidR="000E6EB4" w:rsidRPr="00F5462A">
        <w:rPr>
          <w:rFonts w:ascii="Arial" w:hAnsi="Arial" w:cs="Arial"/>
          <w:sz w:val="20"/>
          <w:szCs w:val="20"/>
          <w:lang w:val="en-ID"/>
        </w:rPr>
        <w:t xml:space="preserve">This systematic review and meta-analysis aimed to evaluate the pooled effectiveness of plant-derived repellents in reducing </w:t>
      </w:r>
      <w:r w:rsidR="000E6EB4" w:rsidRPr="00F5462A">
        <w:rPr>
          <w:rFonts w:ascii="Arial" w:hAnsi="Arial" w:cs="Arial"/>
          <w:i/>
          <w:iCs/>
          <w:sz w:val="20"/>
          <w:szCs w:val="20"/>
          <w:lang w:val="en-ID"/>
        </w:rPr>
        <w:t>Aedes aegypti</w:t>
      </w:r>
      <w:r w:rsidR="000E6EB4" w:rsidRPr="00F5462A">
        <w:rPr>
          <w:rFonts w:ascii="Arial" w:hAnsi="Arial" w:cs="Arial"/>
          <w:sz w:val="20"/>
          <w:szCs w:val="20"/>
          <w:lang w:val="en-ID"/>
        </w:rPr>
        <w:t xml:space="preserve"> biting or landing rates and to identify plant categories with the strongest potential for sustainable vector-control application</w:t>
      </w:r>
      <w:r w:rsidRPr="00F5462A">
        <w:rPr>
          <w:rFonts w:ascii="Arial" w:hAnsi="Arial" w:cs="Arial"/>
          <w:sz w:val="20"/>
          <w:szCs w:val="20"/>
          <w:lang w:val="en-ID"/>
        </w:rPr>
        <w:t xml:space="preserve">. </w:t>
      </w:r>
    </w:p>
    <w:p w14:paraId="15D2BE1B" w14:textId="2AA02E2D"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Methods</w:t>
      </w:r>
      <w:r w:rsidRPr="00F5462A">
        <w:rPr>
          <w:rFonts w:ascii="Arial" w:hAnsi="Arial" w:cs="Arial"/>
          <w:sz w:val="20"/>
          <w:szCs w:val="20"/>
          <w:lang w:val="en-ID"/>
        </w:rPr>
        <w:t xml:space="preserve">: </w:t>
      </w:r>
      <w:r w:rsidR="000E6EB4" w:rsidRPr="00F5462A">
        <w:rPr>
          <w:rFonts w:ascii="Arial" w:hAnsi="Arial" w:cs="Arial"/>
          <w:sz w:val="20"/>
          <w:szCs w:val="20"/>
          <w:lang w:val="en-ID"/>
        </w:rPr>
        <w:t xml:space="preserve">Literature searches were conducted in PubMed/MEDLINE, Scopus, Web of Science, EMBASE, and Google Scholar from database inception to </w:t>
      </w:r>
      <w:r w:rsidR="00517F83" w:rsidRPr="00F5462A">
        <w:rPr>
          <w:rFonts w:ascii="Arial" w:hAnsi="Arial" w:cs="Arial"/>
          <w:sz w:val="20"/>
          <w:szCs w:val="20"/>
          <w:lang w:val="en-ID"/>
        </w:rPr>
        <w:t>March 2026</w:t>
      </w:r>
      <w:r w:rsidR="000E6EB4" w:rsidRPr="00F5462A">
        <w:rPr>
          <w:rFonts w:ascii="Arial" w:hAnsi="Arial" w:cs="Arial"/>
          <w:sz w:val="20"/>
          <w:szCs w:val="20"/>
          <w:lang w:val="en-ID"/>
        </w:rPr>
        <w:t xml:space="preserve">. Eligible studies included laboratory bioassays, randomized experimental studies, and controlled field evaluations assessing plant-derived repellents against </w:t>
      </w:r>
      <w:r w:rsidR="000E6EB4" w:rsidRPr="00F5462A">
        <w:rPr>
          <w:rFonts w:ascii="Arial" w:hAnsi="Arial" w:cs="Arial"/>
          <w:i/>
          <w:iCs/>
          <w:sz w:val="20"/>
          <w:szCs w:val="20"/>
          <w:lang w:val="en-ID"/>
        </w:rPr>
        <w:t>Aedes aegypti</w:t>
      </w:r>
      <w:r w:rsidR="000E6EB4" w:rsidRPr="00F5462A">
        <w:rPr>
          <w:rFonts w:ascii="Arial" w:hAnsi="Arial" w:cs="Arial"/>
          <w:sz w:val="20"/>
          <w:szCs w:val="20"/>
          <w:lang w:val="en-ID"/>
        </w:rPr>
        <w:t>. Two reviewers independently performed study selection, data extraction, and risk-of-bias assessment. A random-effects meta-analysis was performed using the DerSimonian–Laird method. The main outcome was the risk ratio of mosquito biting or landing. Heterogeneity was assessed using I², Cochran’s Q, and τ². Subgroup analyses were conducted according to plant species, formulation type, and study region</w:t>
      </w:r>
      <w:r w:rsidRPr="00F5462A">
        <w:rPr>
          <w:rFonts w:ascii="Arial" w:hAnsi="Arial" w:cs="Arial"/>
          <w:sz w:val="20"/>
          <w:szCs w:val="20"/>
          <w:lang w:val="en-ID"/>
        </w:rPr>
        <w:t xml:space="preserve">. </w:t>
      </w:r>
    </w:p>
    <w:p w14:paraId="552A6D66" w14:textId="7E29E94A"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Results</w:t>
      </w:r>
      <w:r w:rsidRPr="00F5462A">
        <w:rPr>
          <w:rFonts w:ascii="Arial" w:hAnsi="Arial" w:cs="Arial"/>
          <w:sz w:val="20"/>
          <w:szCs w:val="20"/>
          <w:lang w:val="en-ID"/>
        </w:rPr>
        <w:t xml:space="preserve">: </w:t>
      </w:r>
      <w:r w:rsidR="000E6EB4" w:rsidRPr="00F5462A">
        <w:rPr>
          <w:rFonts w:ascii="Arial" w:hAnsi="Arial" w:cs="Arial"/>
          <w:sz w:val="20"/>
          <w:szCs w:val="20"/>
          <w:lang w:val="en-ID"/>
        </w:rPr>
        <w:t xml:space="preserve">Thirty studies involving 3,958 participants or bioassay units were included. Plant-derived repellents were significantly associated with lower </w:t>
      </w:r>
      <w:r w:rsidR="000E6EB4" w:rsidRPr="00F5462A">
        <w:rPr>
          <w:rFonts w:ascii="Arial" w:hAnsi="Arial" w:cs="Arial"/>
          <w:i/>
          <w:iCs/>
          <w:sz w:val="20"/>
          <w:szCs w:val="20"/>
          <w:lang w:val="en-ID"/>
        </w:rPr>
        <w:t>Aedes aegypti</w:t>
      </w:r>
      <w:r w:rsidR="000E6EB4" w:rsidRPr="00F5462A">
        <w:rPr>
          <w:rFonts w:ascii="Arial" w:hAnsi="Arial" w:cs="Arial"/>
          <w:sz w:val="20"/>
          <w:szCs w:val="20"/>
          <w:lang w:val="en-ID"/>
        </w:rPr>
        <w:t xml:space="preserve"> biting or landing rates compared with controls, with a pooled RR of 0.37 (95% CI: 0.31–0.43; p &lt; 0.001). Heterogeneity was substantial (I² = 62.4%; τ² = 0.038). Clove oil, neem oil, and lemon eucalyptus or PMD-based formulations showed the strongest protective effects. No significant publication bias was detected using Egger’s test</w:t>
      </w:r>
      <w:r w:rsidRPr="00F5462A">
        <w:rPr>
          <w:rFonts w:ascii="Arial" w:hAnsi="Arial" w:cs="Arial"/>
          <w:sz w:val="20"/>
          <w:szCs w:val="20"/>
          <w:lang w:val="en-ID"/>
        </w:rPr>
        <w:t xml:space="preserve">. </w:t>
      </w:r>
    </w:p>
    <w:p w14:paraId="2644201B" w14:textId="1583F749"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Conclusion</w:t>
      </w:r>
      <w:r w:rsidRPr="00F5462A">
        <w:rPr>
          <w:rFonts w:ascii="Arial" w:hAnsi="Arial" w:cs="Arial"/>
          <w:sz w:val="20"/>
          <w:szCs w:val="20"/>
          <w:lang w:val="en-ID"/>
        </w:rPr>
        <w:t xml:space="preserve">: </w:t>
      </w:r>
      <w:r w:rsidR="000E6EB4" w:rsidRPr="00F5462A">
        <w:rPr>
          <w:rFonts w:ascii="Arial" w:hAnsi="Arial" w:cs="Arial"/>
          <w:sz w:val="20"/>
          <w:szCs w:val="20"/>
          <w:lang w:val="en-ID"/>
        </w:rPr>
        <w:t>Plant-derived repellents show promising effectiveness against Aedes aegypti and may serve as complementary tools for sustainable vector control. Further research should prioritize standardized bioassay protocols, optimized formulations, field validation, and safety assessment before broader public health and product-development implementation</w:t>
      </w:r>
      <w:r w:rsidRPr="00F5462A">
        <w:rPr>
          <w:rFonts w:ascii="Arial" w:hAnsi="Arial" w:cs="Arial"/>
          <w:sz w:val="20"/>
          <w:szCs w:val="20"/>
          <w:lang w:val="en-ID"/>
        </w:rPr>
        <w:t xml:space="preserve">. </w:t>
      </w:r>
    </w:p>
    <w:p w14:paraId="4E583C0F" w14:textId="3565F908"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Keywords</w:t>
      </w:r>
      <w:r w:rsidRPr="00F5462A">
        <w:rPr>
          <w:rFonts w:ascii="Arial" w:hAnsi="Arial" w:cs="Arial"/>
          <w:sz w:val="20"/>
          <w:szCs w:val="20"/>
          <w:lang w:val="en-ID"/>
        </w:rPr>
        <w:t>:</w:t>
      </w:r>
      <w:r w:rsidR="0097096E" w:rsidRPr="00F5462A">
        <w:rPr>
          <w:rFonts w:ascii="Arial" w:hAnsi="Arial" w:cs="Arial"/>
          <w:i/>
          <w:iCs/>
          <w:sz w:val="20"/>
          <w:szCs w:val="20"/>
          <w:lang w:val="en-ID"/>
        </w:rPr>
        <w:t xml:space="preserve"> Aedes aegypti</w:t>
      </w:r>
      <w:r w:rsidR="00517F83" w:rsidRPr="00F5462A">
        <w:rPr>
          <w:rFonts w:ascii="Arial" w:hAnsi="Arial" w:cs="Arial"/>
          <w:i/>
          <w:iCs/>
          <w:sz w:val="20"/>
          <w:szCs w:val="20"/>
          <w:lang w:val="en-ID"/>
        </w:rPr>
        <w:t>;</w:t>
      </w:r>
      <w:r w:rsidRPr="00F5462A">
        <w:rPr>
          <w:rFonts w:ascii="Arial" w:hAnsi="Arial" w:cs="Arial"/>
          <w:i/>
          <w:iCs/>
          <w:sz w:val="20"/>
          <w:szCs w:val="20"/>
          <w:lang w:val="en-ID"/>
        </w:rPr>
        <w:t xml:space="preserve"> </w:t>
      </w:r>
      <w:r w:rsidR="000E6EB4" w:rsidRPr="00F5462A">
        <w:rPr>
          <w:rFonts w:ascii="Arial" w:hAnsi="Arial" w:cs="Arial"/>
          <w:sz w:val="20"/>
          <w:szCs w:val="20"/>
          <w:lang w:val="en-ID"/>
        </w:rPr>
        <w:t>botanical repellent; dengue vector control; essential oil; plant-derived compound; sustainable vector control</w:t>
      </w:r>
      <w:r w:rsidR="000E6EB4" w:rsidRPr="00F5462A">
        <w:rPr>
          <w:rFonts w:ascii="Arial" w:hAnsi="Arial" w:cs="Arial"/>
          <w:sz w:val="20"/>
          <w:szCs w:val="20"/>
          <w:lang w:val="en-ID"/>
        </w:rPr>
        <w:t>.</w:t>
      </w:r>
    </w:p>
    <w:p w14:paraId="315BCB61" w14:textId="77777777" w:rsidR="00BC2FFF" w:rsidRPr="00F5462A" w:rsidRDefault="00BC2FFF" w:rsidP="00F5462A">
      <w:pPr>
        <w:spacing w:line="240" w:lineRule="auto"/>
        <w:ind w:left="0" w:firstLine="0"/>
        <w:rPr>
          <w:rFonts w:ascii="Arial" w:hAnsi="Arial" w:cs="Arial"/>
          <w:sz w:val="20"/>
          <w:szCs w:val="20"/>
          <w:lang w:val="id-ID"/>
        </w:rPr>
      </w:pPr>
    </w:p>
    <w:p w14:paraId="29F4898D" w14:textId="77777777" w:rsidR="00E53E53" w:rsidRPr="00F5462A" w:rsidRDefault="00E53E53"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INTRODUCTION</w:t>
      </w:r>
      <w:r w:rsidRPr="00F5462A">
        <w:rPr>
          <w:rFonts w:ascii="Arial" w:hAnsi="Arial" w:cs="Arial"/>
          <w:sz w:val="20"/>
          <w:szCs w:val="20"/>
          <w:lang w:val="en-ID"/>
        </w:rPr>
        <w:t xml:space="preserve"> </w:t>
      </w:r>
    </w:p>
    <w:p w14:paraId="13467656" w14:textId="7EBEFC45" w:rsidR="00E53E53" w:rsidRPr="00F5462A" w:rsidRDefault="0097096E" w:rsidP="00F5462A">
      <w:pPr>
        <w:spacing w:line="240" w:lineRule="auto"/>
        <w:ind w:left="0" w:firstLine="720"/>
        <w:rPr>
          <w:rFonts w:ascii="Arial" w:hAnsi="Arial" w:cs="Arial"/>
          <w:sz w:val="20"/>
          <w:szCs w:val="20"/>
          <w:lang w:val="en-ID"/>
        </w:rPr>
      </w:pPr>
      <w:r w:rsidRPr="00F5462A">
        <w:rPr>
          <w:rFonts w:ascii="Arial" w:hAnsi="Arial" w:cs="Arial"/>
          <w:i/>
          <w:iCs/>
          <w:sz w:val="20"/>
          <w:szCs w:val="20"/>
          <w:lang w:val="en-ID"/>
        </w:rPr>
        <w:t>Aedes aegypti</w:t>
      </w:r>
      <w:r w:rsidR="00E53E53" w:rsidRPr="00F5462A">
        <w:rPr>
          <w:rFonts w:ascii="Arial" w:hAnsi="Arial" w:cs="Arial"/>
          <w:sz w:val="20"/>
          <w:szCs w:val="20"/>
          <w:lang w:val="en-ID"/>
        </w:rPr>
        <w:t xml:space="preserve"> (Linnaeus, 1762) is an anthropophilic mosquito species and the principal arthropod vector of dengue virus (DENV), Zika virus (ZIKV), chikungunya virus (CHIKV), and yellow fever virus (YFV) and is distributed worldwide. Dengue fever is the world’s most prevalent mosquito-borne viral disease, with approximately 390 million infections per year, of which 96 million are symptomatic</w:t>
      </w:r>
      <w:r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
          <w:id w:val="1509866835"/>
          <w:placeholder>
            <w:docPart w:val="DefaultPlaceholder_-1854013440"/>
          </w:placeholder>
        </w:sdtPr>
        <w:sdtContent>
          <w:r w:rsidR="00FC0E8F" w:rsidRPr="00F5462A">
            <w:rPr>
              <w:rFonts w:ascii="Arial" w:hAnsi="Arial" w:cs="Arial"/>
              <w:color w:val="000000"/>
              <w:sz w:val="20"/>
              <w:szCs w:val="20"/>
              <w:lang w:val="en-ID"/>
            </w:rPr>
            <w:t>(Bhatt et al., 2013; Brady et al., 2012)</w:t>
          </w:r>
        </w:sdtContent>
      </w:sdt>
      <w:r w:rsidR="00E53E53" w:rsidRPr="00F5462A">
        <w:rPr>
          <w:rFonts w:ascii="Arial" w:hAnsi="Arial" w:cs="Arial"/>
          <w:sz w:val="20"/>
          <w:szCs w:val="20"/>
          <w:lang w:val="en-ID"/>
        </w:rPr>
        <w:t xml:space="preserve">. The burden is unevenly distributed globally, with tropical and subtropical regions such as Southeast Asia, Latin America, the Caribbean, and sub-Saharan </w:t>
      </w:r>
      <w:r w:rsidR="00E53E53" w:rsidRPr="00F5462A">
        <w:rPr>
          <w:rFonts w:ascii="Arial" w:hAnsi="Arial" w:cs="Arial"/>
          <w:sz w:val="20"/>
          <w:szCs w:val="20"/>
          <w:lang w:val="en-ID"/>
        </w:rPr>
        <w:lastRenderedPageBreak/>
        <w:t>Africa, where socio-economic conditions favor vector proliferation</w:t>
      </w:r>
      <w:r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
          <w:id w:val="-463432013"/>
          <w:placeholder>
            <w:docPart w:val="DefaultPlaceholder_-1854013440"/>
          </w:placeholder>
        </w:sdtPr>
        <w:sdtContent>
          <w:r w:rsidR="00FC0E8F" w:rsidRPr="00F5462A">
            <w:rPr>
              <w:rFonts w:ascii="Arial" w:hAnsi="Arial" w:cs="Arial"/>
              <w:color w:val="000000"/>
              <w:sz w:val="20"/>
              <w:szCs w:val="20"/>
              <w:lang w:val="en-ID"/>
            </w:rPr>
            <w:t>(Shepard et al., 2016)</w:t>
          </w:r>
        </w:sdtContent>
      </w:sdt>
      <w:r w:rsidR="00E53E53" w:rsidRPr="00F5462A">
        <w:rPr>
          <w:rFonts w:ascii="Arial" w:hAnsi="Arial" w:cs="Arial"/>
          <w:sz w:val="20"/>
          <w:szCs w:val="20"/>
          <w:lang w:val="en-ID"/>
        </w:rPr>
        <w:t>.</w:t>
      </w:r>
    </w:p>
    <w:p w14:paraId="44DC05C7" w14:textId="499865A9" w:rsidR="00E53E53" w:rsidRPr="00F5462A" w:rsidRDefault="00E53E53"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Personal protection strategies, such as topical insect repellents, serve as a primary defense against mosquito bites and the transmission of vector-borne diseases. Synthetic repellents such as N,N-diethyl-meta-toluamide (DEET) have been the gold standard for mosquito repellency for more than six decades </w:t>
      </w:r>
      <w:sdt>
        <w:sdtPr>
          <w:rPr>
            <w:rFonts w:ascii="Arial" w:hAnsi="Arial" w:cs="Arial"/>
            <w:color w:val="000000"/>
            <w:sz w:val="20"/>
            <w:szCs w:val="20"/>
            <w:lang w:val="en-ID"/>
          </w:rPr>
          <w:tag w:val="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
          <w:id w:val="-986782440"/>
          <w:placeholder>
            <w:docPart w:val="DefaultPlaceholder_-1854013440"/>
          </w:placeholder>
        </w:sdtPr>
        <w:sdtContent>
          <w:r w:rsidR="00FC0E8F" w:rsidRPr="00F5462A">
            <w:rPr>
              <w:rFonts w:ascii="Arial" w:eastAsia="Times New Roman" w:hAnsi="Arial" w:cs="Arial"/>
              <w:color w:val="000000"/>
              <w:sz w:val="20"/>
              <w:szCs w:val="20"/>
            </w:rPr>
            <w:t>(Goodyer &amp; Schofield, 2018)</w:t>
          </w:r>
        </w:sdtContent>
      </w:sdt>
      <w:r w:rsidRPr="00F5462A">
        <w:rPr>
          <w:rFonts w:ascii="Arial" w:hAnsi="Arial" w:cs="Arial"/>
          <w:sz w:val="20"/>
          <w:szCs w:val="20"/>
          <w:lang w:val="en-ID"/>
        </w:rPr>
        <w:t>. However, problems with dermatological toxicity, neurotoxicity in children following long-term exposure, and increasing reports of resistance have renewed interest in plant-derived alternatives</w:t>
      </w:r>
      <w:r w:rsidR="0097096E"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
          <w:id w:val="1834957516"/>
          <w:placeholder>
            <w:docPart w:val="DefaultPlaceholder_-1854013440"/>
          </w:placeholder>
        </w:sdtPr>
        <w:sdtContent>
          <w:r w:rsidR="00FC0E8F" w:rsidRPr="00F5462A">
            <w:rPr>
              <w:rFonts w:ascii="Arial" w:eastAsia="Times New Roman" w:hAnsi="Arial" w:cs="Arial"/>
              <w:color w:val="000000"/>
              <w:sz w:val="20"/>
              <w:szCs w:val="20"/>
            </w:rPr>
            <w:t>(Shrestha &amp; Lee, 2020)</w:t>
          </w:r>
        </w:sdtContent>
      </w:sdt>
      <w:r w:rsidRPr="00F5462A">
        <w:rPr>
          <w:rFonts w:ascii="Arial" w:hAnsi="Arial" w:cs="Arial"/>
          <w:sz w:val="20"/>
          <w:szCs w:val="20"/>
          <w:lang w:val="en-ID"/>
        </w:rPr>
        <w:t xml:space="preserve">. In addition, the cost, availability, and cultural acceptability of synthetic repellents remain significant barriers in resource-limited settings where </w:t>
      </w:r>
      <w:r w:rsidR="004935F7" w:rsidRPr="00F5462A">
        <w:rPr>
          <w:rFonts w:ascii="Arial" w:hAnsi="Arial" w:cs="Arial"/>
          <w:i/>
          <w:iCs/>
          <w:sz w:val="20"/>
          <w:szCs w:val="20"/>
          <w:lang w:val="en-ID"/>
        </w:rPr>
        <w:t>Aedes aegypti</w:t>
      </w:r>
      <w:r w:rsidR="004935F7" w:rsidRPr="00F5462A">
        <w:rPr>
          <w:rFonts w:ascii="Arial" w:hAnsi="Arial" w:cs="Arial"/>
          <w:i/>
          <w:iCs/>
          <w:sz w:val="20"/>
          <w:szCs w:val="20"/>
          <w:lang w:val="en-ID"/>
        </w:rPr>
        <w:t xml:space="preserve"> </w:t>
      </w:r>
      <w:r w:rsidRPr="00F5462A">
        <w:rPr>
          <w:rFonts w:ascii="Arial" w:hAnsi="Arial" w:cs="Arial"/>
          <w:sz w:val="20"/>
          <w:szCs w:val="20"/>
          <w:lang w:val="en-ID"/>
        </w:rPr>
        <w:t xml:space="preserve">diseases are endemic. </w:t>
      </w:r>
    </w:p>
    <w:p w14:paraId="1822EEA6" w14:textId="318284E1" w:rsidR="00E53E53" w:rsidRPr="00F5462A" w:rsidRDefault="00E53E53"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Plant-based repellents are a chemically diverse group of bioactive compounds obtained from botanical sources, including essential oils, fixed oils, and plant extracts. Active repellent constituents of different plant species have been identified as citronellal, geraniol, eugenol, limonene, linalool, p-menthane-3,8-diol (PMD), azadirachtin, and nepetalactone </w:t>
      </w:r>
      <w:sdt>
        <w:sdtPr>
          <w:rPr>
            <w:rFonts w:ascii="Arial" w:hAnsi="Arial" w:cs="Arial"/>
            <w:color w:val="000000"/>
            <w:sz w:val="20"/>
            <w:szCs w:val="20"/>
            <w:lang w:val="en-ID"/>
          </w:rPr>
          <w:tag w:val="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fSwiaXNUZW1wb3JhcnkiOmZhbHNlfV19"/>
          <w:id w:val="-1135027100"/>
          <w:placeholder>
            <w:docPart w:val="DefaultPlaceholder_-1854013440"/>
          </w:placeholder>
        </w:sdtPr>
        <w:sdtContent>
          <w:r w:rsidR="00FC0E8F" w:rsidRPr="00F5462A">
            <w:rPr>
              <w:rFonts w:ascii="Arial" w:eastAsia="Times New Roman" w:hAnsi="Arial" w:cs="Arial"/>
              <w:color w:val="000000"/>
              <w:sz w:val="20"/>
              <w:szCs w:val="20"/>
            </w:rPr>
            <w:t>(Adhikari et al., 2022; Maia &amp; Moore, 2011; Nerio et al., 2010)</w:t>
          </w:r>
        </w:sdtContent>
      </w:sdt>
      <w:r w:rsidRPr="00F5462A">
        <w:rPr>
          <w:rFonts w:ascii="Arial" w:hAnsi="Arial" w:cs="Arial"/>
          <w:sz w:val="20"/>
          <w:szCs w:val="20"/>
          <w:lang w:val="en-ID"/>
        </w:rPr>
        <w:t xml:space="preserve">. </w:t>
      </w:r>
      <w:r w:rsidR="004935F7" w:rsidRPr="00F5462A">
        <w:rPr>
          <w:rFonts w:ascii="Arial" w:hAnsi="Arial" w:cs="Arial"/>
          <w:sz w:val="20"/>
          <w:szCs w:val="20"/>
        </w:rPr>
        <w:t>From an applied science perspective, these plant-derived bioactive compounds are relevant not only as natural repellent agents, but also as candidates for biodegradable formulation development and sustainable vector-control technologies</w:t>
      </w:r>
      <w:r w:rsidR="004935F7" w:rsidRPr="00F5462A">
        <w:rPr>
          <w:rFonts w:ascii="Arial" w:hAnsi="Arial" w:cs="Arial"/>
          <w:sz w:val="20"/>
          <w:szCs w:val="20"/>
        </w:rPr>
        <w:t xml:space="preserve">. </w:t>
      </w:r>
      <w:r w:rsidR="000E6EB4" w:rsidRPr="00F5462A">
        <w:rPr>
          <w:rFonts w:ascii="Arial" w:hAnsi="Arial" w:cs="Arial"/>
          <w:sz w:val="20"/>
          <w:szCs w:val="20"/>
          <w:lang w:val="en-ID"/>
        </w:rPr>
        <w:t>Although experimental evidence has increased, the evidence base remains fragmented across heterogeneous study designs, plant species, extraction methods, concentration regimes, formulation types, outcome measures, and geographic contexts</w:t>
      </w:r>
      <w:r w:rsidRPr="00F5462A">
        <w:rPr>
          <w:rFonts w:ascii="Arial" w:hAnsi="Arial" w:cs="Arial"/>
          <w:sz w:val="20"/>
          <w:szCs w:val="20"/>
          <w:lang w:val="en-ID"/>
        </w:rPr>
        <w:t xml:space="preserve">. </w:t>
      </w:r>
    </w:p>
    <w:p w14:paraId="3AD7900A" w14:textId="09AB8B54" w:rsidR="00E53E53" w:rsidRPr="00F5462A" w:rsidRDefault="00E53E53"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Previous narrative reviews have qualitatively summarized the literature</w:t>
      </w:r>
      <w:r w:rsidR="00530F54"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"/>
          <w:id w:val="-873082700"/>
          <w:placeholder>
            <w:docPart w:val="DefaultPlaceholder_-1854013440"/>
          </w:placeholder>
        </w:sdtPr>
        <w:sdtContent>
          <w:r w:rsidR="00FC0E8F" w:rsidRPr="00F5462A">
            <w:rPr>
              <w:rFonts w:ascii="Arial" w:eastAsia="Times New Roman" w:hAnsi="Arial" w:cs="Arial"/>
              <w:color w:val="000000"/>
              <w:sz w:val="20"/>
              <w:szCs w:val="20"/>
            </w:rPr>
            <w:t>(Abbas et al., 2024; Hategekimana &amp; Erler, 2020; Soares de Oliveira et al., 2020; Wu et al., 2022)</w:t>
          </w:r>
        </w:sdtContent>
      </w:sdt>
      <w:r w:rsidRPr="00F5462A">
        <w:rPr>
          <w:rFonts w:ascii="Arial" w:hAnsi="Arial" w:cs="Arial"/>
          <w:sz w:val="20"/>
          <w:szCs w:val="20"/>
          <w:lang w:val="en-ID"/>
        </w:rPr>
        <w:t xml:space="preserve">, and a few systematic reviews have focused on limited subsets of repellent plants. </w:t>
      </w:r>
      <w:r w:rsidR="004935F7" w:rsidRPr="00F5462A">
        <w:rPr>
          <w:rFonts w:ascii="Arial" w:hAnsi="Arial" w:cs="Arial"/>
          <w:sz w:val="20"/>
          <w:szCs w:val="20"/>
          <w:lang w:val="en-ID"/>
        </w:rPr>
        <w:t>However, quantitative synthesis focusing on major categories of plant-derived repellents against</w:t>
      </w:r>
      <w:r w:rsidRPr="00F5462A">
        <w:rPr>
          <w:rFonts w:ascii="Arial" w:hAnsi="Arial" w:cs="Arial"/>
          <w:sz w:val="20"/>
          <w:szCs w:val="20"/>
          <w:lang w:val="en-ID"/>
        </w:rPr>
        <w:t xml:space="preserve"> </w:t>
      </w:r>
      <w:r w:rsidR="004935F7" w:rsidRPr="00F5462A">
        <w:rPr>
          <w:rFonts w:ascii="Arial" w:hAnsi="Arial" w:cs="Arial"/>
          <w:i/>
          <w:iCs/>
          <w:sz w:val="20"/>
          <w:szCs w:val="20"/>
          <w:lang w:val="en-ID"/>
        </w:rPr>
        <w:t>Aedes aegypti</w:t>
      </w:r>
      <w:r w:rsidR="004935F7" w:rsidRPr="00F5462A">
        <w:rPr>
          <w:rFonts w:ascii="Arial" w:hAnsi="Arial" w:cs="Arial"/>
          <w:i/>
          <w:iCs/>
          <w:sz w:val="20"/>
          <w:szCs w:val="20"/>
          <w:lang w:val="en-ID"/>
        </w:rPr>
        <w:t xml:space="preserve"> </w:t>
      </w:r>
      <w:r w:rsidR="004935F7" w:rsidRPr="00F5462A">
        <w:rPr>
          <w:rFonts w:ascii="Arial" w:hAnsi="Arial" w:cs="Arial"/>
          <w:sz w:val="20"/>
          <w:szCs w:val="20"/>
          <w:lang w:val="en-ID"/>
        </w:rPr>
        <w:t>remains limited</w:t>
      </w:r>
      <w:r w:rsidRPr="00F5462A">
        <w:rPr>
          <w:rFonts w:ascii="Arial" w:hAnsi="Arial" w:cs="Arial"/>
          <w:sz w:val="20"/>
          <w:szCs w:val="20"/>
          <w:lang w:val="en-ID"/>
        </w:rPr>
        <w:t xml:space="preserve">. </w:t>
      </w:r>
      <w:r w:rsidR="004935F7" w:rsidRPr="00F5462A">
        <w:rPr>
          <w:rFonts w:ascii="Arial" w:hAnsi="Arial" w:cs="Arial"/>
          <w:sz w:val="20"/>
          <w:szCs w:val="20"/>
          <w:lang w:val="en-ID"/>
        </w:rPr>
        <w:t xml:space="preserve">This gap is important because sustainable vector control requires evidence on which botanical compounds, plant species, and formulation types provide the most consistent protection against </w:t>
      </w:r>
      <w:r w:rsidR="004935F7" w:rsidRPr="00F5462A">
        <w:rPr>
          <w:rFonts w:ascii="Arial" w:hAnsi="Arial" w:cs="Arial"/>
          <w:i/>
          <w:iCs/>
          <w:sz w:val="20"/>
          <w:szCs w:val="20"/>
          <w:lang w:val="en-ID"/>
        </w:rPr>
        <w:t>Aedes aegypti</w:t>
      </w:r>
      <w:r w:rsidRPr="00F5462A">
        <w:rPr>
          <w:rFonts w:ascii="Arial" w:hAnsi="Arial" w:cs="Arial"/>
          <w:sz w:val="20"/>
          <w:szCs w:val="20"/>
          <w:lang w:val="en-ID"/>
        </w:rPr>
        <w:t xml:space="preserve">.  </w:t>
      </w:r>
      <w:r w:rsidR="000E6EB4" w:rsidRPr="00F5462A">
        <w:rPr>
          <w:rFonts w:ascii="Arial" w:hAnsi="Arial" w:cs="Arial"/>
          <w:sz w:val="20"/>
          <w:szCs w:val="20"/>
        </w:rPr>
        <w:t xml:space="preserve">Thus, the current systematic review and meta-analysis aimed to: (1) estimate the pooled effectiveness of plant-based repellents in reducing </w:t>
      </w:r>
      <w:r w:rsidR="000E6EB4" w:rsidRPr="00F5462A">
        <w:rPr>
          <w:rFonts w:ascii="Arial" w:hAnsi="Arial" w:cs="Arial"/>
          <w:i/>
          <w:iCs/>
          <w:sz w:val="20"/>
          <w:szCs w:val="20"/>
        </w:rPr>
        <w:t>Aedes aegypti</w:t>
      </w:r>
      <w:r w:rsidR="000E6EB4" w:rsidRPr="00F5462A">
        <w:rPr>
          <w:rFonts w:ascii="Arial" w:hAnsi="Arial" w:cs="Arial"/>
          <w:sz w:val="20"/>
          <w:szCs w:val="20"/>
        </w:rPr>
        <w:t xml:space="preserve"> biting or landing outcomes; (2) compare efficacy across major plant species and formulation types; (3) assess the quality of the available evidence using formal risk-of-bias tools; and (4) identify plant-derived repellents with potential for applied biological product development and sustainable vector-control application</w:t>
      </w:r>
      <w:r w:rsidRPr="00F5462A">
        <w:rPr>
          <w:rFonts w:ascii="Arial" w:hAnsi="Arial" w:cs="Arial"/>
          <w:sz w:val="20"/>
          <w:szCs w:val="20"/>
          <w:lang w:val="en-ID"/>
        </w:rPr>
        <w:t>.</w:t>
      </w:r>
    </w:p>
    <w:p w14:paraId="28F10827" w14:textId="77777777" w:rsidR="00E53E53" w:rsidRPr="00F5462A" w:rsidRDefault="00E53E53" w:rsidP="00F5462A">
      <w:pPr>
        <w:spacing w:line="240" w:lineRule="auto"/>
        <w:ind w:left="0" w:firstLine="0"/>
        <w:rPr>
          <w:rFonts w:ascii="Arial" w:hAnsi="Arial" w:cs="Arial"/>
          <w:sz w:val="20"/>
          <w:szCs w:val="20"/>
          <w:lang w:val="id-ID"/>
        </w:rPr>
      </w:pPr>
    </w:p>
    <w:p w14:paraId="348D640D" w14:textId="22BE3274" w:rsidR="0002065B" w:rsidRPr="00F5462A" w:rsidRDefault="0002065B" w:rsidP="00F5462A">
      <w:pPr>
        <w:spacing w:line="240" w:lineRule="auto"/>
        <w:ind w:left="0" w:firstLine="0"/>
        <w:rPr>
          <w:rFonts w:ascii="Arial" w:hAnsi="Arial" w:cs="Arial"/>
          <w:sz w:val="20"/>
          <w:szCs w:val="20"/>
          <w:lang w:val="id-ID"/>
        </w:rPr>
      </w:pPr>
      <w:r w:rsidRPr="00F5462A">
        <w:rPr>
          <w:rFonts w:ascii="Arial" w:hAnsi="Arial" w:cs="Arial"/>
          <w:b/>
          <w:bCs/>
          <w:sz w:val="20"/>
          <w:szCs w:val="20"/>
          <w:lang w:val="id-ID"/>
        </w:rPr>
        <w:t>METHODS</w:t>
      </w:r>
    </w:p>
    <w:p w14:paraId="19425E71" w14:textId="543E7483"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Registration and Protocol</w:t>
      </w:r>
    </w:p>
    <w:p w14:paraId="3BDAC282" w14:textId="516CF99E"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The systematic review and meta-analysis were conducted in accordance with the Preferred Reporting Items for Systematic Reviews and Meta-Analyses (PRISMA 2020) guidelines </w:t>
      </w:r>
      <w:sdt>
        <w:sdtPr>
          <w:rPr>
            <w:rFonts w:ascii="Arial" w:hAnsi="Arial" w:cs="Arial"/>
            <w:color w:val="000000"/>
            <w:sz w:val="20"/>
            <w:szCs w:val="20"/>
            <w:lang w:val="en-ID"/>
          </w:rPr>
          <w:tag w:val="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
          <w:id w:val="-1825586968"/>
          <w:placeholder>
            <w:docPart w:val="DefaultPlaceholder_-1854013440"/>
          </w:placeholder>
        </w:sdtPr>
        <w:sdtContent>
          <w:r w:rsidR="00FC0E8F" w:rsidRPr="00F5462A">
            <w:rPr>
              <w:rFonts w:ascii="Arial" w:hAnsi="Arial" w:cs="Arial"/>
              <w:color w:val="000000"/>
              <w:sz w:val="20"/>
              <w:szCs w:val="20"/>
              <w:lang w:val="en-ID"/>
            </w:rPr>
            <w:t>(Page et al., 2021)</w:t>
          </w:r>
        </w:sdtContent>
      </w:sdt>
      <w:r w:rsidRPr="00F5462A">
        <w:rPr>
          <w:rFonts w:ascii="Arial" w:hAnsi="Arial" w:cs="Arial"/>
          <w:sz w:val="20"/>
          <w:szCs w:val="20"/>
          <w:lang w:val="en-ID"/>
        </w:rPr>
        <w:t xml:space="preserve">. </w:t>
      </w:r>
      <w:r w:rsidR="00A251D7" w:rsidRPr="00F5462A">
        <w:rPr>
          <w:rFonts w:ascii="Arial" w:hAnsi="Arial" w:cs="Arial"/>
          <w:sz w:val="20"/>
          <w:szCs w:val="20"/>
          <w:lang w:val="en-ID"/>
        </w:rPr>
        <w:t>The protocol was developed before data extraction; however, it was not registered in PROSPERO</w:t>
      </w:r>
      <w:r w:rsidRPr="00F5462A">
        <w:rPr>
          <w:rFonts w:ascii="Arial" w:hAnsi="Arial" w:cs="Arial"/>
          <w:sz w:val="20"/>
          <w:szCs w:val="20"/>
          <w:lang w:val="en-ID"/>
        </w:rPr>
        <w:t>. The review was organized according to the PICO framework: Population</w:t>
      </w:r>
      <w:r w:rsidR="00530F54" w:rsidRPr="00F5462A">
        <w:rPr>
          <w:rFonts w:ascii="Arial" w:hAnsi="Arial" w:cs="Arial"/>
          <w:sz w:val="20"/>
          <w:szCs w:val="20"/>
          <w:lang w:val="en-ID"/>
        </w:rPr>
        <w:t xml:space="preserve"> is</w:t>
      </w:r>
      <w:r w:rsidRPr="00F5462A">
        <w:rPr>
          <w:rFonts w:ascii="Arial" w:hAnsi="Arial" w:cs="Arial"/>
          <w:sz w:val="20"/>
          <w:szCs w:val="20"/>
          <w:lang w:val="en-ID"/>
        </w:rPr>
        <w:t xml:space="preserve"> </w:t>
      </w:r>
      <w:r w:rsidR="004935F7" w:rsidRPr="00F5462A">
        <w:rPr>
          <w:rFonts w:ascii="Arial" w:hAnsi="Arial" w:cs="Arial"/>
          <w:i/>
          <w:iCs/>
          <w:sz w:val="20"/>
          <w:szCs w:val="20"/>
          <w:lang w:val="en-ID"/>
        </w:rPr>
        <w:t>Aedes</w:t>
      </w:r>
      <w:r w:rsidR="0097096E" w:rsidRPr="00F5462A">
        <w:rPr>
          <w:rFonts w:ascii="Arial" w:hAnsi="Arial" w:cs="Arial"/>
          <w:i/>
          <w:iCs/>
          <w:sz w:val="20"/>
          <w:szCs w:val="20"/>
          <w:lang w:val="en-ID"/>
        </w:rPr>
        <w:t xml:space="preserve"> aegypti</w:t>
      </w:r>
      <w:r w:rsidRPr="00F5462A">
        <w:rPr>
          <w:rFonts w:ascii="Arial" w:hAnsi="Arial" w:cs="Arial"/>
          <w:sz w:val="20"/>
          <w:szCs w:val="20"/>
          <w:lang w:val="en-ID"/>
        </w:rPr>
        <w:t xml:space="preserve"> (laboratory or field bioassay subjects); Intervention = any plant-derived topical repellent; Comparator = untreated control, vehicle control, or positive control (DEET/picaridin); Outcome = biting rate, landing rate, protection rate, or complete protection time (CPT).</w:t>
      </w:r>
    </w:p>
    <w:p w14:paraId="16D99070" w14:textId="77777777" w:rsidR="0002065B" w:rsidRPr="00F5462A" w:rsidRDefault="0002065B" w:rsidP="00F5462A">
      <w:pPr>
        <w:spacing w:line="240" w:lineRule="auto"/>
        <w:ind w:left="0" w:firstLine="0"/>
        <w:rPr>
          <w:rFonts w:ascii="Arial" w:hAnsi="Arial" w:cs="Arial"/>
          <w:sz w:val="20"/>
          <w:szCs w:val="20"/>
          <w:lang w:val="en-ID"/>
        </w:rPr>
      </w:pPr>
    </w:p>
    <w:p w14:paraId="7601C45B" w14:textId="3CD6C893"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 xml:space="preserve">Search Strategy </w:t>
      </w:r>
    </w:p>
    <w:p w14:paraId="779780E3" w14:textId="105D000A" w:rsidR="0002065B" w:rsidRPr="00F5462A" w:rsidRDefault="00CB73F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A comprehensive literature search was conducted in the following databases from database inception to March 2026: PubMed/MEDLINE, Scopus, Web of Science (Core Collection), EMBASE, and Google Scholar</w:t>
      </w:r>
      <w:r w:rsidR="0002065B" w:rsidRPr="00F5462A">
        <w:rPr>
          <w:rFonts w:ascii="Arial" w:hAnsi="Arial" w:cs="Arial"/>
          <w:sz w:val="20"/>
          <w:szCs w:val="20"/>
          <w:lang w:val="en-ID"/>
        </w:rPr>
        <w:t xml:space="preserve">. The search strategy included a combination of MeSH terms and free-text terms: </w:t>
      </w:r>
      <w:r w:rsidR="00A605C8" w:rsidRPr="00F5462A">
        <w:rPr>
          <w:rFonts w:ascii="Arial" w:hAnsi="Arial" w:cs="Arial"/>
          <w:sz w:val="20"/>
          <w:szCs w:val="20"/>
          <w:lang w:val="en-ID"/>
        </w:rPr>
        <w:t>“</w:t>
      </w:r>
      <w:r w:rsidR="0097096E" w:rsidRPr="00F5462A">
        <w:rPr>
          <w:rFonts w:ascii="Arial" w:hAnsi="Arial" w:cs="Arial"/>
          <w:i/>
          <w:iCs/>
          <w:sz w:val="20"/>
          <w:szCs w:val="20"/>
          <w:lang w:val="en-ID"/>
        </w:rPr>
        <w:t>Ae</w:t>
      </w:r>
      <w:r w:rsidR="002C23EE" w:rsidRPr="00F5462A">
        <w:rPr>
          <w:rFonts w:ascii="Arial" w:hAnsi="Arial" w:cs="Arial"/>
          <w:i/>
          <w:iCs/>
          <w:sz w:val="20"/>
          <w:szCs w:val="20"/>
          <w:lang w:val="en-ID"/>
        </w:rPr>
        <w:t>des</w:t>
      </w:r>
      <w:r w:rsidR="0097096E" w:rsidRPr="00F5462A">
        <w:rPr>
          <w:rFonts w:ascii="Arial" w:hAnsi="Arial" w:cs="Arial"/>
          <w:i/>
          <w:iCs/>
          <w:sz w:val="20"/>
          <w:szCs w:val="20"/>
          <w:lang w:val="en-ID"/>
        </w:rPr>
        <w:t xml:space="preserve"> </w:t>
      </w:r>
      <w:r w:rsidR="00A605C8" w:rsidRPr="00F5462A">
        <w:rPr>
          <w:rFonts w:ascii="Arial" w:hAnsi="Arial" w:cs="Arial"/>
          <w:i/>
          <w:iCs/>
          <w:sz w:val="20"/>
          <w:szCs w:val="20"/>
          <w:lang w:val="en-ID"/>
        </w:rPr>
        <w:t>A</w:t>
      </w:r>
      <w:r w:rsidR="0097096E" w:rsidRPr="00F5462A">
        <w:rPr>
          <w:rFonts w:ascii="Arial" w:hAnsi="Arial" w:cs="Arial"/>
          <w:i/>
          <w:iCs/>
          <w:sz w:val="20"/>
          <w:szCs w:val="20"/>
          <w:lang w:val="en-ID"/>
        </w:rPr>
        <w:t>egypti</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mosquito repellent</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plant-based</w:t>
      </w:r>
      <w:r w:rsidR="0002065B" w:rsidRPr="00F5462A">
        <w:rPr>
          <w:rFonts w:ascii="Arial" w:hAnsi="Arial" w:cs="Arial"/>
          <w:sz w:val="20"/>
          <w:szCs w:val="20"/>
          <w:lang w:val="en-ID"/>
        </w:rPr>
        <w:t xml:space="preserve"> </w:t>
      </w:r>
      <w:r w:rsidR="0002065B" w:rsidRPr="00F5462A">
        <w:rPr>
          <w:rFonts w:ascii="Arial" w:hAnsi="Arial" w:cs="Arial"/>
          <w:i/>
          <w:iCs/>
          <w:sz w:val="20"/>
          <w:szCs w:val="20"/>
          <w:lang w:val="en-ID"/>
        </w:rPr>
        <w:t>repellent</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botanical repellent</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essential oil</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neem</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citronella</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eucalyptus</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lemon</w:t>
      </w:r>
      <w:r w:rsidR="0002065B" w:rsidRPr="00F5462A">
        <w:rPr>
          <w:rFonts w:ascii="Arial" w:hAnsi="Arial" w:cs="Arial"/>
          <w:sz w:val="20"/>
          <w:szCs w:val="20"/>
          <w:lang w:val="en-ID"/>
        </w:rPr>
        <w:t xml:space="preserve"> </w:t>
      </w:r>
      <w:r w:rsidR="0002065B" w:rsidRPr="00F5462A">
        <w:rPr>
          <w:rFonts w:ascii="Arial" w:hAnsi="Arial" w:cs="Arial"/>
          <w:i/>
          <w:iCs/>
          <w:sz w:val="20"/>
          <w:szCs w:val="20"/>
          <w:lang w:val="en-ID"/>
        </w:rPr>
        <w:t>eucalyptus</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lemongrass</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clove</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catnip</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nepetalactone</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PMD</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azadirachtin</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repellency</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w:t>
      </w:r>
      <w:r w:rsidR="00A605C8" w:rsidRPr="00F5462A">
        <w:rPr>
          <w:rFonts w:ascii="Arial" w:hAnsi="Arial" w:cs="Arial"/>
          <w:sz w:val="20"/>
          <w:szCs w:val="20"/>
          <w:lang w:val="en-ID"/>
        </w:rPr>
        <w:t>“</w:t>
      </w:r>
      <w:r w:rsidR="0002065B" w:rsidRPr="00F5462A">
        <w:rPr>
          <w:rFonts w:ascii="Arial" w:hAnsi="Arial" w:cs="Arial"/>
          <w:i/>
          <w:iCs/>
          <w:sz w:val="20"/>
          <w:szCs w:val="20"/>
          <w:lang w:val="en-ID"/>
        </w:rPr>
        <w:t>protection rate</w:t>
      </w:r>
      <w:r w:rsidR="00A605C8" w:rsidRPr="00F5462A">
        <w:rPr>
          <w:rFonts w:ascii="Arial" w:hAnsi="Arial" w:cs="Arial"/>
          <w:sz w:val="20"/>
          <w:szCs w:val="20"/>
          <w:lang w:val="en-ID"/>
        </w:rPr>
        <w:t>”</w:t>
      </w:r>
      <w:r w:rsidR="0002065B" w:rsidRPr="00F5462A">
        <w:rPr>
          <w:rFonts w:ascii="Arial" w:hAnsi="Arial" w:cs="Arial"/>
          <w:sz w:val="20"/>
          <w:szCs w:val="20"/>
          <w:lang w:val="en-ID"/>
        </w:rPr>
        <w:t xml:space="preserve">, and </w:t>
      </w:r>
      <w:r w:rsidR="00A605C8" w:rsidRPr="00F5462A">
        <w:rPr>
          <w:rFonts w:ascii="Arial" w:hAnsi="Arial" w:cs="Arial"/>
          <w:sz w:val="20"/>
          <w:szCs w:val="20"/>
          <w:lang w:val="en-ID"/>
        </w:rPr>
        <w:t>“</w:t>
      </w:r>
      <w:r w:rsidR="0002065B" w:rsidRPr="00F5462A">
        <w:rPr>
          <w:rFonts w:ascii="Arial" w:hAnsi="Arial" w:cs="Arial"/>
          <w:i/>
          <w:iCs/>
          <w:sz w:val="20"/>
          <w:szCs w:val="20"/>
          <w:lang w:val="en-ID"/>
        </w:rPr>
        <w:t>biting rate</w:t>
      </w:r>
      <w:r w:rsidR="00A605C8" w:rsidRPr="00F5462A">
        <w:rPr>
          <w:rFonts w:ascii="Arial" w:hAnsi="Arial" w:cs="Arial"/>
          <w:sz w:val="20"/>
          <w:szCs w:val="20"/>
          <w:lang w:val="en-ID"/>
        </w:rPr>
        <w:t>”</w:t>
      </w:r>
      <w:r w:rsidR="0002065B" w:rsidRPr="00F5462A">
        <w:rPr>
          <w:rFonts w:ascii="Arial" w:hAnsi="Arial" w:cs="Arial"/>
          <w:sz w:val="20"/>
          <w:szCs w:val="20"/>
          <w:lang w:val="en-ID"/>
        </w:rPr>
        <w:t>. Boolean operators (AND, OR) and truncation were utilized. There was no language restriction, and non-English articles were translated by professional services. Gray literature was also searched, including conference abstracts, WHO technical reports, and government agency documents.</w:t>
      </w:r>
    </w:p>
    <w:p w14:paraId="0C6AA943" w14:textId="77777777" w:rsidR="0002065B" w:rsidRPr="00F5462A" w:rsidRDefault="0002065B" w:rsidP="00F5462A">
      <w:pPr>
        <w:spacing w:line="240" w:lineRule="auto"/>
        <w:ind w:left="0" w:firstLine="0"/>
        <w:rPr>
          <w:rFonts w:ascii="Arial" w:hAnsi="Arial" w:cs="Arial"/>
          <w:sz w:val="20"/>
          <w:szCs w:val="20"/>
          <w:lang w:val="en-ID"/>
        </w:rPr>
      </w:pPr>
    </w:p>
    <w:p w14:paraId="5191ADCA" w14:textId="66908E26"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 xml:space="preserve">Criteria for Eligibility </w:t>
      </w:r>
    </w:p>
    <w:p w14:paraId="5F8AD4D8" w14:textId="6399522A"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Inclusion criteria: (1) Laboratory or field bioassay studies on plant-derived topical repellents; (2) Target insect species: </w:t>
      </w:r>
      <w:r w:rsidR="004935F7" w:rsidRPr="00F5462A">
        <w:rPr>
          <w:rFonts w:ascii="Arial" w:hAnsi="Arial" w:cs="Arial"/>
          <w:i/>
          <w:iCs/>
          <w:sz w:val="20"/>
          <w:szCs w:val="20"/>
          <w:lang w:val="en-ID"/>
        </w:rPr>
        <w:t>Aedes</w:t>
      </w:r>
      <w:r w:rsidR="004935F7" w:rsidRPr="00F5462A">
        <w:rPr>
          <w:rFonts w:ascii="Arial" w:hAnsi="Arial" w:cs="Arial"/>
          <w:i/>
          <w:iCs/>
          <w:sz w:val="20"/>
          <w:szCs w:val="20"/>
          <w:lang w:val="en-ID"/>
        </w:rPr>
        <w:t xml:space="preserve"> </w:t>
      </w:r>
      <w:r w:rsidR="0097096E" w:rsidRPr="00F5462A">
        <w:rPr>
          <w:rFonts w:ascii="Arial" w:hAnsi="Arial" w:cs="Arial"/>
          <w:i/>
          <w:iCs/>
          <w:sz w:val="20"/>
          <w:szCs w:val="20"/>
          <w:lang w:val="en-ID"/>
        </w:rPr>
        <w:t>aegypti</w:t>
      </w:r>
      <w:r w:rsidRPr="00F5462A">
        <w:rPr>
          <w:rFonts w:ascii="Arial" w:hAnsi="Arial" w:cs="Arial"/>
          <w:sz w:val="20"/>
          <w:szCs w:val="20"/>
          <w:lang w:val="en-ID"/>
        </w:rPr>
        <w:t xml:space="preserve">; (3) Quantitative outcome data reported (biting rate, landing rate, repellency percentage, or CPT); (4) Included </w:t>
      </w:r>
      <w:r w:rsidR="00A605C8" w:rsidRPr="00F5462A">
        <w:rPr>
          <w:rFonts w:ascii="Arial" w:hAnsi="Arial" w:cs="Arial"/>
          <w:sz w:val="20"/>
          <w:szCs w:val="20"/>
          <w:lang w:val="en-ID"/>
        </w:rPr>
        <w:t xml:space="preserve">a </w:t>
      </w:r>
      <w:r w:rsidRPr="00F5462A">
        <w:rPr>
          <w:rFonts w:ascii="Arial" w:hAnsi="Arial" w:cs="Arial"/>
          <w:sz w:val="20"/>
          <w:szCs w:val="20"/>
          <w:lang w:val="en-ID"/>
        </w:rPr>
        <w:t xml:space="preserve">concurrent control group; (5) Full-text obtained. </w:t>
      </w:r>
      <w:r w:rsidR="00656E96" w:rsidRPr="00F5462A">
        <w:rPr>
          <w:rFonts w:ascii="Arial" w:hAnsi="Arial" w:cs="Arial"/>
          <w:sz w:val="20"/>
          <w:szCs w:val="20"/>
          <w:lang w:val="en-ID"/>
        </w:rPr>
        <w:t xml:space="preserve">Studies were excluded if they evaluated only larvicidal or adulticidal effects without repellent outcomes; involved mosquito species other than </w:t>
      </w:r>
      <w:r w:rsidR="00656E96" w:rsidRPr="00F5462A">
        <w:rPr>
          <w:rFonts w:ascii="Arial" w:hAnsi="Arial" w:cs="Arial"/>
          <w:i/>
          <w:iCs/>
          <w:sz w:val="20"/>
          <w:szCs w:val="20"/>
          <w:lang w:val="en-ID"/>
        </w:rPr>
        <w:t>Aedes aegypti</w:t>
      </w:r>
      <w:r w:rsidR="00656E96" w:rsidRPr="00F5462A">
        <w:rPr>
          <w:rFonts w:ascii="Arial" w:hAnsi="Arial" w:cs="Arial"/>
          <w:sz w:val="20"/>
          <w:szCs w:val="20"/>
          <w:lang w:val="en-ID"/>
        </w:rPr>
        <w:t xml:space="preserve"> without species-specific extractable data; were in vitro cell or biochemical assays without mosquito bioassay validation; were review articles, editorials, and letters; or did not provide extractable outcome data after contact with authors</w:t>
      </w:r>
      <w:r w:rsidRPr="00F5462A">
        <w:rPr>
          <w:rFonts w:ascii="Arial" w:hAnsi="Arial" w:cs="Arial"/>
          <w:sz w:val="20"/>
          <w:szCs w:val="20"/>
          <w:lang w:val="en-ID"/>
        </w:rPr>
        <w:t xml:space="preserve">. </w:t>
      </w:r>
    </w:p>
    <w:p w14:paraId="62DE2BE4" w14:textId="77777777" w:rsidR="0002065B" w:rsidRPr="00F5462A" w:rsidRDefault="0002065B" w:rsidP="00F5462A">
      <w:pPr>
        <w:spacing w:line="240" w:lineRule="auto"/>
        <w:ind w:left="0" w:firstLine="0"/>
        <w:rPr>
          <w:rFonts w:ascii="Arial" w:hAnsi="Arial" w:cs="Arial"/>
          <w:sz w:val="20"/>
          <w:szCs w:val="20"/>
          <w:lang w:val="en-ID"/>
        </w:rPr>
      </w:pPr>
    </w:p>
    <w:p w14:paraId="5BDFF6E0" w14:textId="6C1453C2"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 xml:space="preserve">Selection of Studies and Data Extraction </w:t>
      </w:r>
    </w:p>
    <w:p w14:paraId="143B59FA" w14:textId="4C3A27AB"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After duplicate removal, titles and abstracts were independently screened by two reviewers (blinded to each other) using Rayyan QCRI software. </w:t>
      </w:r>
      <w:r w:rsidR="003013DB" w:rsidRPr="00F5462A">
        <w:rPr>
          <w:rFonts w:ascii="Arial" w:hAnsi="Arial" w:cs="Arial"/>
          <w:sz w:val="20"/>
          <w:szCs w:val="20"/>
          <w:lang w:val="en-ID"/>
        </w:rPr>
        <w:t>Full texts of potentially eligible studies were then independently assessed according to the predefined eligibility criteria</w:t>
      </w:r>
      <w:r w:rsidRPr="00F5462A">
        <w:rPr>
          <w:rFonts w:ascii="Arial" w:hAnsi="Arial" w:cs="Arial"/>
          <w:sz w:val="20"/>
          <w:szCs w:val="20"/>
          <w:lang w:val="en-ID"/>
        </w:rPr>
        <w:t xml:space="preserve">. Discrepancies were resolved by consensus or discussion with a third reviewer. Data were extracted using a standardized form that included the following: study ID (author, year, country), plant species and part used, active compound(s) (concentration), formulation (lotion, spray, oil, cream), mosquito strain, study design, sample size, outcome measure, biting/landing rates (intervention vs. control), protective efficacy percentage, confidence intervals, and duration of protection. </w:t>
      </w:r>
    </w:p>
    <w:p w14:paraId="0873DCF1" w14:textId="77777777" w:rsidR="0002065B" w:rsidRPr="00F5462A" w:rsidRDefault="0002065B" w:rsidP="00F5462A">
      <w:pPr>
        <w:spacing w:line="240" w:lineRule="auto"/>
        <w:ind w:left="0" w:firstLine="0"/>
        <w:rPr>
          <w:rFonts w:ascii="Arial" w:hAnsi="Arial" w:cs="Arial"/>
          <w:sz w:val="20"/>
          <w:szCs w:val="20"/>
          <w:lang w:val="en-ID"/>
        </w:rPr>
      </w:pPr>
    </w:p>
    <w:p w14:paraId="236B1095" w14:textId="2E3F35BC"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 xml:space="preserve">Assessment of Risk of Bias </w:t>
      </w:r>
    </w:p>
    <w:p w14:paraId="1177E5D1" w14:textId="77777777" w:rsidR="00F5462A"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Two reviewers independently assessed risk of bias using the Cochrane Risk of Bias 2.0 (RoB 2) tool for randomized controlled trials and the ROBINS-I tool for observational/quasi-experimental studies. Domains assessed were the randomization process, deviations from intended interventions, missing outcome data, measurement of the outcome, and selection of the reported result. Each domain was rated “Low risk</w:t>
      </w:r>
      <w:r w:rsidR="00A605C8" w:rsidRPr="00F5462A">
        <w:rPr>
          <w:rFonts w:ascii="Arial" w:hAnsi="Arial" w:cs="Arial"/>
          <w:sz w:val="20"/>
          <w:szCs w:val="20"/>
          <w:lang w:val="en-ID"/>
        </w:rPr>
        <w:t>”</w:t>
      </w:r>
      <w:r w:rsidRPr="00F5462A">
        <w:rPr>
          <w:rFonts w:ascii="Arial" w:hAnsi="Arial" w:cs="Arial"/>
          <w:sz w:val="20"/>
          <w:szCs w:val="20"/>
          <w:lang w:val="en-ID"/>
        </w:rPr>
        <w:t>, “Some concerns</w:t>
      </w:r>
      <w:r w:rsidR="00A605C8" w:rsidRPr="00F5462A">
        <w:rPr>
          <w:rFonts w:ascii="Arial" w:hAnsi="Arial" w:cs="Arial"/>
          <w:sz w:val="20"/>
          <w:szCs w:val="20"/>
          <w:lang w:val="en-ID"/>
        </w:rPr>
        <w:t>”</w:t>
      </w:r>
      <w:r w:rsidRPr="00F5462A">
        <w:rPr>
          <w:rFonts w:ascii="Arial" w:hAnsi="Arial" w:cs="Arial"/>
          <w:sz w:val="20"/>
          <w:szCs w:val="20"/>
          <w:lang w:val="en-ID"/>
        </w:rPr>
        <w:t>, or “High risk</w:t>
      </w:r>
      <w:r w:rsidR="00A605C8" w:rsidRPr="00F5462A">
        <w:rPr>
          <w:rFonts w:ascii="Arial" w:hAnsi="Arial" w:cs="Arial"/>
          <w:sz w:val="20"/>
          <w:szCs w:val="20"/>
          <w:lang w:val="en-ID"/>
        </w:rPr>
        <w:t>”</w:t>
      </w:r>
      <w:r w:rsidRPr="00F5462A">
        <w:rPr>
          <w:rFonts w:ascii="Arial" w:hAnsi="Arial" w:cs="Arial"/>
          <w:sz w:val="20"/>
          <w:szCs w:val="20"/>
          <w:lang w:val="en-ID"/>
        </w:rPr>
        <w:t>. Overall bias assessments were performed according to the Cochrane guidance algorithm</w:t>
      </w:r>
      <w:r w:rsidR="00F5462A" w:rsidRPr="00F5462A">
        <w:rPr>
          <w:rFonts w:ascii="Arial" w:hAnsi="Arial" w:cs="Arial"/>
          <w:sz w:val="20"/>
          <w:szCs w:val="20"/>
          <w:lang w:val="en-ID"/>
        </w:rPr>
        <w:t>.</w:t>
      </w:r>
    </w:p>
    <w:p w14:paraId="017AA5CA" w14:textId="77777777" w:rsidR="002A6AF6" w:rsidRDefault="002A6AF6" w:rsidP="00F5462A">
      <w:pPr>
        <w:spacing w:line="240" w:lineRule="auto"/>
        <w:ind w:left="0" w:firstLine="720"/>
        <w:rPr>
          <w:rFonts w:ascii="Arial" w:hAnsi="Arial" w:cs="Arial"/>
          <w:sz w:val="20"/>
          <w:szCs w:val="20"/>
          <w:lang w:val="en-ID"/>
        </w:rPr>
      </w:pPr>
    </w:p>
    <w:p w14:paraId="65027647" w14:textId="3C6ECB51"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lastRenderedPageBreak/>
        <w:br/>
      </w:r>
      <w:r w:rsidRPr="00F5462A">
        <w:rPr>
          <w:rFonts w:ascii="Arial" w:hAnsi="Arial" w:cs="Arial"/>
          <w:b/>
          <w:bCs/>
          <w:sz w:val="20"/>
          <w:szCs w:val="20"/>
          <w:lang w:val="en-ID"/>
        </w:rPr>
        <w:t>Statistical Analysis</w:t>
      </w:r>
      <w:r w:rsidRPr="00F5462A">
        <w:rPr>
          <w:rFonts w:ascii="Arial" w:hAnsi="Arial" w:cs="Arial"/>
          <w:sz w:val="20"/>
          <w:szCs w:val="20"/>
          <w:lang w:val="en-ID"/>
        </w:rPr>
        <w:t xml:space="preserve"> </w:t>
      </w:r>
    </w:p>
    <w:p w14:paraId="4F6113E0" w14:textId="11578127"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The main outcome measure was the risk ratio (RR) of mosquito biting or landing events, treated vs. untreated/vehicle control. Where studies reported repellency percentage (RP%), RR was calculated as RR = 1 − (RP%/100). For studies providing direct reports of biting rates, RR = (bites on treated arm) / (bites on control arm). Pooling was performed on the natural logarithm of RR (log RR), with corresponding standard errors. We used the DerSimonian–Laird random-effects model to pool the statistics because of the expected methodological and biological heterogeneity across studies. Sensitivity analysis was performed using the restricted maximum likelihood (REML) estimator of τ². Heterogeneity was assessed with Cochran’s Q test (p &lt; 0.10 significant), I² statistic (0–40% low, 40–60% moderate, 60–75% substantial, and &gt;75% considerable), and τ² (absolute variance of heterogeneity). Subgroup analyses were performed by (1) plant species/category; (2) type of formulation (oil, lotion, spray); (3) concentration category (&lt;10% vs. ≥10%); (4) geographical region; and (5) study design. Meta-regression used concentration as a continuous moderator. The sensitivity analyses performed were leave-one-out analyses and restriction to low-risk-of-bias studies. Publication bias was assessed visually by funnel plot asymmetry and quantitatively by Egger's linear regression test and Begg's rank correlation test (p &lt; 0.05 was considered significant). All analyses were performed in R (version 4.3.2) using the meta (version 6.5-0) and metafor (version 4.6-0) packages.</w:t>
      </w:r>
    </w:p>
    <w:p w14:paraId="4BBF4BE2" w14:textId="77777777" w:rsidR="0002065B" w:rsidRPr="00F5462A" w:rsidRDefault="0002065B" w:rsidP="00F5462A">
      <w:pPr>
        <w:spacing w:line="240" w:lineRule="auto"/>
        <w:ind w:left="0" w:firstLine="0"/>
        <w:rPr>
          <w:rFonts w:ascii="Arial" w:hAnsi="Arial" w:cs="Arial"/>
          <w:sz w:val="20"/>
          <w:szCs w:val="20"/>
          <w:lang w:val="id-ID"/>
        </w:rPr>
      </w:pPr>
    </w:p>
    <w:p w14:paraId="2DA6E4AE" w14:textId="712B156F" w:rsidR="0002065B" w:rsidRPr="00F5462A" w:rsidRDefault="0002065B" w:rsidP="00F5462A">
      <w:pPr>
        <w:spacing w:line="240" w:lineRule="auto"/>
        <w:ind w:left="0" w:firstLine="0"/>
        <w:rPr>
          <w:rFonts w:ascii="Arial" w:hAnsi="Arial" w:cs="Arial"/>
          <w:sz w:val="20"/>
          <w:szCs w:val="20"/>
          <w:lang w:val="id-ID"/>
        </w:rPr>
      </w:pPr>
      <w:r w:rsidRPr="00F5462A">
        <w:rPr>
          <w:rFonts w:ascii="Arial" w:hAnsi="Arial" w:cs="Arial"/>
          <w:b/>
          <w:bCs/>
          <w:sz w:val="20"/>
          <w:szCs w:val="20"/>
          <w:lang w:val="id-ID"/>
        </w:rPr>
        <w:t>RESULT</w:t>
      </w:r>
      <w:r w:rsidR="00CB73FB" w:rsidRPr="00F5462A">
        <w:rPr>
          <w:rFonts w:ascii="Arial" w:hAnsi="Arial" w:cs="Arial"/>
          <w:b/>
          <w:bCs/>
          <w:sz w:val="20"/>
          <w:szCs w:val="20"/>
          <w:lang w:val="id-ID"/>
        </w:rPr>
        <w:t>S</w:t>
      </w:r>
    </w:p>
    <w:p w14:paraId="45A7BC92" w14:textId="63276C4B" w:rsidR="006E1D49" w:rsidRPr="00F5462A" w:rsidRDefault="006E1D49"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Study Selection</w:t>
      </w:r>
    </w:p>
    <w:p w14:paraId="6B5F23A3" w14:textId="2DB64CA9" w:rsidR="00AA1B3F" w:rsidRPr="00F5462A" w:rsidRDefault="00AA1B3F"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The PRISMA flowchart (Figure 1) summarizes the screening process: 3,959 records identified, 2,914 screened after deduplication, 276 full-text assessed, 36 studies included in the qualitative synthesis, and 30 in the final meta-analysis</w:t>
      </w:r>
      <w:r w:rsidR="0002065B" w:rsidRPr="00F5462A">
        <w:rPr>
          <w:rFonts w:ascii="Arial" w:hAnsi="Arial" w:cs="Arial"/>
          <w:sz w:val="20"/>
          <w:szCs w:val="20"/>
          <w:lang w:val="en-ID"/>
        </w:rPr>
        <w:t xml:space="preserve">. </w:t>
      </w:r>
    </w:p>
    <w:p w14:paraId="2A595E93" w14:textId="77777777" w:rsidR="00F5462A" w:rsidRPr="00F5462A" w:rsidRDefault="00F5462A" w:rsidP="00F5462A">
      <w:pPr>
        <w:spacing w:line="240" w:lineRule="auto"/>
        <w:ind w:left="0" w:firstLine="720"/>
        <w:rPr>
          <w:rFonts w:ascii="Arial" w:hAnsi="Arial" w:cs="Arial"/>
          <w:sz w:val="20"/>
          <w:szCs w:val="20"/>
          <w:lang w:val="en-ID"/>
        </w:rPr>
      </w:pPr>
    </w:p>
    <w:p w14:paraId="44E6FB3E" w14:textId="77777777" w:rsidR="0098547A" w:rsidRPr="00F5462A" w:rsidRDefault="0098547A" w:rsidP="00F5462A">
      <w:pPr>
        <w:spacing w:line="240" w:lineRule="auto"/>
        <w:ind w:left="0" w:firstLine="0"/>
        <w:rPr>
          <w:rFonts w:ascii="Arial" w:hAnsi="Arial" w:cs="Arial"/>
          <w:sz w:val="20"/>
          <w:szCs w:val="20"/>
          <w:lang w:val="en-ID"/>
        </w:rPr>
      </w:pPr>
    </w:p>
    <w:p w14:paraId="19208314" w14:textId="48A51EF7" w:rsidR="00B3414C" w:rsidRDefault="00FC5885" w:rsidP="00F5462A">
      <w:pPr>
        <w:spacing w:line="240" w:lineRule="auto"/>
        <w:ind w:left="0" w:firstLine="0"/>
        <w:rPr>
          <w:rFonts w:ascii="Arial" w:hAnsi="Arial" w:cs="Arial"/>
          <w:b/>
          <w:bCs/>
          <w:sz w:val="20"/>
          <w:szCs w:val="20"/>
          <w:lang w:val="en-ID"/>
        </w:rPr>
      </w:pPr>
      <w:r>
        <w:rPr>
          <w:rFonts w:ascii="Arial" w:hAnsi="Arial" w:cs="Arial"/>
          <w:b/>
          <w:bCs/>
          <w:noProof/>
          <w:sz w:val="20"/>
          <w:szCs w:val="20"/>
          <w:lang w:val="en-ID"/>
        </w:rPr>
        <w:lastRenderedPageBreak/>
        <w:drawing>
          <wp:inline distT="0" distB="0" distL="0" distR="0" wp14:anchorId="63E82124" wp14:editId="5C771FBD">
            <wp:extent cx="4687614" cy="5455743"/>
            <wp:effectExtent l="0" t="0" r="0" b="0"/>
            <wp:docPr id="19969963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
                      <a:extLst>
                        <a:ext uri="{28A0092B-C50C-407E-A947-70E740481C1C}">
                          <a14:useLocalDpi xmlns:a14="http://schemas.microsoft.com/office/drawing/2010/main" val="0"/>
                        </a:ext>
                      </a:extLst>
                    </a:blip>
                    <a:srcRect r="10423"/>
                    <a:stretch>
                      <a:fillRect/>
                    </a:stretch>
                  </pic:blipFill>
                  <pic:spPr bwMode="auto">
                    <a:xfrm>
                      <a:off x="0" y="0"/>
                      <a:ext cx="4693055" cy="5462076"/>
                    </a:xfrm>
                    <a:prstGeom prst="rect">
                      <a:avLst/>
                    </a:prstGeom>
                    <a:noFill/>
                    <a:ln>
                      <a:noFill/>
                    </a:ln>
                    <a:extLst>
                      <a:ext uri="{53640926-AAD7-44D8-BBD7-CCE9431645EC}">
                        <a14:shadowObscured xmlns:a14="http://schemas.microsoft.com/office/drawing/2010/main"/>
                      </a:ext>
                    </a:extLst>
                  </pic:spPr>
                </pic:pic>
              </a:graphicData>
            </a:graphic>
          </wp:inline>
        </w:drawing>
      </w:r>
    </w:p>
    <w:p w14:paraId="6F9650B1" w14:textId="77777777" w:rsidR="00B3414C" w:rsidRPr="00F5462A" w:rsidRDefault="00B3414C" w:rsidP="00B3414C">
      <w:pPr>
        <w:pStyle w:val="Caption"/>
        <w:spacing w:after="0"/>
        <w:ind w:left="357"/>
        <w:jc w:val="center"/>
        <w:rPr>
          <w:rFonts w:ascii="Arial" w:hAnsi="Arial" w:cs="Arial"/>
          <w:b/>
          <w:bCs/>
          <w:i w:val="0"/>
          <w:iCs w:val="0"/>
          <w:color w:val="auto"/>
          <w:sz w:val="20"/>
          <w:szCs w:val="20"/>
          <w:lang w:val="en-ID"/>
        </w:rPr>
      </w:pPr>
      <w:r w:rsidRPr="00F5462A">
        <w:rPr>
          <w:rFonts w:ascii="Arial" w:hAnsi="Arial" w:cs="Arial"/>
          <w:i w:val="0"/>
          <w:iCs w:val="0"/>
          <w:color w:val="auto"/>
          <w:sz w:val="20"/>
          <w:szCs w:val="20"/>
        </w:rPr>
        <w:t xml:space="preserve">Figure </w:t>
      </w:r>
      <w:r w:rsidRPr="00F5462A">
        <w:rPr>
          <w:rFonts w:ascii="Arial" w:hAnsi="Arial" w:cs="Arial"/>
          <w:i w:val="0"/>
          <w:iCs w:val="0"/>
          <w:color w:val="auto"/>
          <w:sz w:val="20"/>
          <w:szCs w:val="20"/>
        </w:rPr>
        <w:fldChar w:fldCharType="begin"/>
      </w:r>
      <w:r w:rsidRPr="00F5462A">
        <w:rPr>
          <w:rFonts w:ascii="Arial" w:hAnsi="Arial" w:cs="Arial"/>
          <w:i w:val="0"/>
          <w:iCs w:val="0"/>
          <w:color w:val="auto"/>
          <w:sz w:val="20"/>
          <w:szCs w:val="20"/>
        </w:rPr>
        <w:instrText xml:space="preserve"> SEQ Figure \* ARABIC </w:instrText>
      </w:r>
      <w:r w:rsidRPr="00F5462A">
        <w:rPr>
          <w:rFonts w:ascii="Arial" w:hAnsi="Arial" w:cs="Arial"/>
          <w:i w:val="0"/>
          <w:iCs w:val="0"/>
          <w:color w:val="auto"/>
          <w:sz w:val="20"/>
          <w:szCs w:val="20"/>
        </w:rPr>
        <w:fldChar w:fldCharType="separate"/>
      </w:r>
      <w:r w:rsidRPr="00F5462A">
        <w:rPr>
          <w:rFonts w:ascii="Arial" w:hAnsi="Arial" w:cs="Arial"/>
          <w:i w:val="0"/>
          <w:iCs w:val="0"/>
          <w:noProof/>
          <w:color w:val="auto"/>
          <w:sz w:val="20"/>
          <w:szCs w:val="20"/>
        </w:rPr>
        <w:t>1</w:t>
      </w:r>
      <w:r w:rsidRPr="00F5462A">
        <w:rPr>
          <w:rFonts w:ascii="Arial" w:hAnsi="Arial" w:cs="Arial"/>
          <w:i w:val="0"/>
          <w:iCs w:val="0"/>
          <w:color w:val="auto"/>
          <w:sz w:val="20"/>
          <w:szCs w:val="20"/>
        </w:rPr>
        <w:fldChar w:fldCharType="end"/>
      </w:r>
      <w:r w:rsidRPr="00F5462A">
        <w:rPr>
          <w:rFonts w:ascii="Arial" w:hAnsi="Arial" w:cs="Arial"/>
          <w:i w:val="0"/>
          <w:iCs w:val="0"/>
          <w:color w:val="auto"/>
          <w:sz w:val="20"/>
          <w:szCs w:val="20"/>
        </w:rPr>
        <w:t>. PRISMA 2020 Flowchart</w:t>
      </w:r>
    </w:p>
    <w:p w14:paraId="23F4560F" w14:textId="77777777" w:rsidR="00B3414C" w:rsidRDefault="00B3414C" w:rsidP="00F5462A">
      <w:pPr>
        <w:spacing w:line="240" w:lineRule="auto"/>
        <w:ind w:left="0" w:firstLine="0"/>
        <w:rPr>
          <w:rFonts w:ascii="Arial" w:hAnsi="Arial" w:cs="Arial"/>
          <w:b/>
          <w:bCs/>
          <w:sz w:val="20"/>
          <w:szCs w:val="20"/>
          <w:lang w:val="en-ID"/>
        </w:rPr>
      </w:pPr>
    </w:p>
    <w:p w14:paraId="6BB42432" w14:textId="27378CC7" w:rsidR="0002065B" w:rsidRPr="00F5462A" w:rsidRDefault="0002065B" w:rsidP="00F5462A">
      <w:pPr>
        <w:spacing w:line="240" w:lineRule="auto"/>
        <w:ind w:left="0" w:firstLine="0"/>
        <w:rPr>
          <w:rFonts w:ascii="Arial" w:hAnsi="Arial" w:cs="Arial"/>
          <w:sz w:val="20"/>
          <w:szCs w:val="20"/>
          <w:lang w:val="en-ID"/>
        </w:rPr>
      </w:pPr>
      <w:r w:rsidRPr="00F5462A">
        <w:rPr>
          <w:rFonts w:ascii="Arial" w:hAnsi="Arial" w:cs="Arial"/>
          <w:b/>
          <w:bCs/>
          <w:sz w:val="20"/>
          <w:szCs w:val="20"/>
          <w:lang w:val="en-ID"/>
        </w:rPr>
        <w:t>Characteristics of Studies Included</w:t>
      </w:r>
      <w:r w:rsidRPr="00F5462A">
        <w:rPr>
          <w:rFonts w:ascii="Arial" w:hAnsi="Arial" w:cs="Arial"/>
          <w:sz w:val="20"/>
          <w:szCs w:val="20"/>
          <w:lang w:val="en-ID"/>
        </w:rPr>
        <w:t xml:space="preserve"> </w:t>
      </w:r>
    </w:p>
    <w:p w14:paraId="27BC5EF7" w14:textId="7CFBC671" w:rsidR="00A5642E" w:rsidRPr="00F5462A" w:rsidRDefault="00517F83"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The 30 studies included were published from 2002 to 2026 and spanned five continents</w:t>
      </w:r>
      <w:r w:rsidR="0002065B" w:rsidRPr="00F5462A">
        <w:rPr>
          <w:rFonts w:ascii="Arial" w:hAnsi="Arial" w:cs="Arial"/>
          <w:sz w:val="20"/>
          <w:szCs w:val="20"/>
          <w:lang w:val="en-ID"/>
        </w:rPr>
        <w:t>. Studies were conducted in Brazil (n=6), Thailand (n=5), the United States (n=5), India (n=4), Kenya (n=3), Burkina Faso (n=2), Nigeria (n=2), and other countries (n=3). Sample sizes ranged from 15 to 312 participants/replicates. The plant species that were tested were citronella (</w:t>
      </w:r>
      <w:r w:rsidR="0002065B" w:rsidRPr="00F5462A">
        <w:rPr>
          <w:rFonts w:ascii="Arial" w:hAnsi="Arial" w:cs="Arial"/>
          <w:i/>
          <w:iCs/>
          <w:sz w:val="20"/>
          <w:szCs w:val="20"/>
          <w:lang w:val="en-ID"/>
        </w:rPr>
        <w:t>Cymbopogon nardus</w:t>
      </w:r>
      <w:r w:rsidR="0002065B" w:rsidRPr="00F5462A">
        <w:rPr>
          <w:rFonts w:ascii="Arial" w:hAnsi="Arial" w:cs="Arial"/>
          <w:sz w:val="20"/>
          <w:szCs w:val="20"/>
          <w:lang w:val="en-ID"/>
        </w:rPr>
        <w:t>/winterianus; n = 5), neem (</w:t>
      </w:r>
      <w:r w:rsidR="0002065B" w:rsidRPr="00F5462A">
        <w:rPr>
          <w:rFonts w:ascii="Arial" w:hAnsi="Arial" w:cs="Arial"/>
          <w:i/>
          <w:iCs/>
          <w:sz w:val="20"/>
          <w:szCs w:val="20"/>
          <w:lang w:val="en-ID"/>
        </w:rPr>
        <w:t>Azadirachta indica</w:t>
      </w:r>
      <w:r w:rsidR="0002065B" w:rsidRPr="00F5462A">
        <w:rPr>
          <w:rFonts w:ascii="Arial" w:hAnsi="Arial" w:cs="Arial"/>
          <w:sz w:val="20"/>
          <w:szCs w:val="20"/>
          <w:lang w:val="en-ID"/>
        </w:rPr>
        <w:t>; n = 5), eucalyptus/lemon eucalyptus (</w:t>
      </w:r>
      <w:r w:rsidR="0002065B" w:rsidRPr="00F5462A">
        <w:rPr>
          <w:rFonts w:ascii="Arial" w:hAnsi="Arial" w:cs="Arial"/>
          <w:i/>
          <w:iCs/>
          <w:sz w:val="20"/>
          <w:szCs w:val="20"/>
          <w:lang w:val="en-ID"/>
        </w:rPr>
        <w:t>Eucalyptus citriodora</w:t>
      </w:r>
      <w:r w:rsidR="0002065B" w:rsidRPr="00F5462A">
        <w:rPr>
          <w:rFonts w:ascii="Arial" w:hAnsi="Arial" w:cs="Arial"/>
          <w:sz w:val="20"/>
          <w:szCs w:val="20"/>
          <w:lang w:val="en-ID"/>
        </w:rPr>
        <w:t xml:space="preserve">/PMD; </w:t>
      </w:r>
      <w:r w:rsidR="0002065B" w:rsidRPr="00F5462A">
        <w:rPr>
          <w:rFonts w:ascii="Arial" w:hAnsi="Arial" w:cs="Arial"/>
          <w:sz w:val="20"/>
          <w:szCs w:val="20"/>
          <w:lang w:val="en-ID"/>
        </w:rPr>
        <w:lastRenderedPageBreak/>
        <w:t>n = 5), lemongrass (</w:t>
      </w:r>
      <w:r w:rsidR="0002065B" w:rsidRPr="00F5462A">
        <w:rPr>
          <w:rFonts w:ascii="Arial" w:hAnsi="Arial" w:cs="Arial"/>
          <w:i/>
          <w:iCs/>
          <w:sz w:val="20"/>
          <w:szCs w:val="20"/>
          <w:lang w:val="en-ID"/>
        </w:rPr>
        <w:t>Cymbopogon</w:t>
      </w:r>
      <w:r w:rsidR="0002065B" w:rsidRPr="00F5462A">
        <w:rPr>
          <w:rFonts w:ascii="Arial" w:hAnsi="Arial" w:cs="Arial"/>
          <w:sz w:val="20"/>
          <w:szCs w:val="20"/>
          <w:lang w:val="en-ID"/>
        </w:rPr>
        <w:t xml:space="preserve"> </w:t>
      </w:r>
      <w:r w:rsidR="0002065B" w:rsidRPr="00F5462A">
        <w:rPr>
          <w:rFonts w:ascii="Arial" w:hAnsi="Arial" w:cs="Arial"/>
          <w:i/>
          <w:iCs/>
          <w:sz w:val="20"/>
          <w:szCs w:val="20"/>
          <w:lang w:val="en-ID"/>
        </w:rPr>
        <w:t>citratus</w:t>
      </w:r>
      <w:r w:rsidR="0002065B" w:rsidRPr="00F5462A">
        <w:rPr>
          <w:rFonts w:ascii="Arial" w:hAnsi="Arial" w:cs="Arial"/>
          <w:sz w:val="20"/>
          <w:szCs w:val="20"/>
          <w:lang w:val="en-ID"/>
        </w:rPr>
        <w:t>; n = 4), clove (</w:t>
      </w:r>
      <w:r w:rsidR="0002065B" w:rsidRPr="00F5462A">
        <w:rPr>
          <w:rFonts w:ascii="Arial" w:hAnsi="Arial" w:cs="Arial"/>
          <w:i/>
          <w:iCs/>
          <w:sz w:val="20"/>
          <w:szCs w:val="20"/>
          <w:lang w:val="en-ID"/>
        </w:rPr>
        <w:t>Syzygium aromaticum</w:t>
      </w:r>
      <w:r w:rsidR="0002065B" w:rsidRPr="00F5462A">
        <w:rPr>
          <w:rFonts w:ascii="Arial" w:hAnsi="Arial" w:cs="Arial"/>
          <w:sz w:val="20"/>
          <w:szCs w:val="20"/>
          <w:lang w:val="en-ID"/>
        </w:rPr>
        <w:t>; n = 3), catnip (</w:t>
      </w:r>
      <w:r w:rsidR="0002065B" w:rsidRPr="00F5462A">
        <w:rPr>
          <w:rFonts w:ascii="Arial" w:hAnsi="Arial" w:cs="Arial"/>
          <w:i/>
          <w:iCs/>
          <w:sz w:val="20"/>
          <w:szCs w:val="20"/>
          <w:lang w:val="en-ID"/>
        </w:rPr>
        <w:t>Nepeta cataria</w:t>
      </w:r>
      <w:r w:rsidR="0002065B" w:rsidRPr="00F5462A">
        <w:rPr>
          <w:rFonts w:ascii="Arial" w:hAnsi="Arial" w:cs="Arial"/>
          <w:sz w:val="20"/>
          <w:szCs w:val="20"/>
          <w:lang w:val="en-ID"/>
        </w:rPr>
        <w:t>; n = 2), andiroba (</w:t>
      </w:r>
      <w:r w:rsidR="0002065B" w:rsidRPr="00F5462A">
        <w:rPr>
          <w:rFonts w:ascii="Arial" w:hAnsi="Arial" w:cs="Arial"/>
          <w:i/>
          <w:iCs/>
          <w:sz w:val="20"/>
          <w:szCs w:val="20"/>
          <w:lang w:val="en-ID"/>
        </w:rPr>
        <w:t>Carapa guianensis</w:t>
      </w:r>
      <w:r w:rsidR="0002065B" w:rsidRPr="00F5462A">
        <w:rPr>
          <w:rFonts w:ascii="Arial" w:hAnsi="Arial" w:cs="Arial"/>
          <w:sz w:val="20"/>
          <w:szCs w:val="20"/>
          <w:lang w:val="en-ID"/>
        </w:rPr>
        <w:t xml:space="preserve">; n = 3), soybean oil (Glycine max; n = 2), and mixed essential oil formulations (n = 3). Detailed characteristics of the studies are presented in Table 1. </w:t>
      </w:r>
    </w:p>
    <w:p w14:paraId="75D89EF2" w14:textId="77777777" w:rsidR="002C23EE" w:rsidRPr="00F5462A" w:rsidRDefault="002C23EE" w:rsidP="00F5462A">
      <w:pPr>
        <w:spacing w:line="240" w:lineRule="auto"/>
        <w:ind w:left="0" w:firstLine="720"/>
        <w:rPr>
          <w:rFonts w:ascii="Arial" w:hAnsi="Arial" w:cs="Arial"/>
          <w:sz w:val="20"/>
          <w:szCs w:val="20"/>
          <w:lang w:val="en-ID"/>
        </w:rPr>
      </w:pPr>
    </w:p>
    <w:p w14:paraId="03B7C56D" w14:textId="56BFA489" w:rsidR="002C23EE" w:rsidRPr="00F5462A" w:rsidRDefault="002C23EE"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t xml:space="preserve">Assessment of Risk of Bias </w:t>
      </w:r>
    </w:p>
    <w:p w14:paraId="3C1D8A0A" w14:textId="1C2B0452" w:rsidR="002C23EE" w:rsidRPr="00F5462A" w:rsidRDefault="00517F83"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The results of the risk of bias are presented in Figure 2</w:t>
      </w:r>
      <w:r w:rsidRPr="00F5462A">
        <w:rPr>
          <w:rFonts w:ascii="Arial" w:hAnsi="Arial" w:cs="Arial"/>
          <w:sz w:val="20"/>
          <w:szCs w:val="20"/>
          <w:lang w:val="en-ID"/>
        </w:rPr>
        <w:t xml:space="preserve"> </w:t>
      </w:r>
      <w:r w:rsidR="002C23EE" w:rsidRPr="00F5462A">
        <w:rPr>
          <w:rFonts w:ascii="Arial" w:hAnsi="Arial" w:cs="Arial"/>
          <w:sz w:val="20"/>
          <w:szCs w:val="20"/>
          <w:lang w:val="en-ID"/>
        </w:rPr>
        <w:t xml:space="preserve">(Traffic-Light Plot). Overall, the 30 studies were rated as follows: 22 (73.3%) were rated as “low risk," 6 (20.0%) as “some concerns," and 2 (6.7%) as “high risk." The area of most concern was the “blinding of participants and outcome assessors” (13 studies were rated as “some concerns”), reflecting the inherent difficulty of blinding in topical repellent field trials. Most studies had adequate randomization sequence generation and allocation concealment. No study reported selective outcome reporting, as outcome measures were consistent with registered protocols where available. </w:t>
      </w:r>
    </w:p>
    <w:p w14:paraId="54457840" w14:textId="77777777" w:rsidR="002C23EE" w:rsidRPr="00F5462A" w:rsidRDefault="002C23EE" w:rsidP="00F5462A">
      <w:pPr>
        <w:keepNext/>
        <w:spacing w:line="240" w:lineRule="auto"/>
        <w:ind w:left="0" w:firstLine="0"/>
        <w:jc w:val="center"/>
        <w:rPr>
          <w:rFonts w:ascii="Arial" w:hAnsi="Arial" w:cs="Arial"/>
          <w:sz w:val="20"/>
          <w:szCs w:val="20"/>
        </w:rPr>
      </w:pPr>
      <w:r w:rsidRPr="00F5462A">
        <w:rPr>
          <w:rFonts w:ascii="Arial" w:hAnsi="Arial" w:cs="Arial"/>
          <w:noProof/>
          <w:sz w:val="20"/>
          <w:szCs w:val="20"/>
          <w:lang w:val="en-ID"/>
        </w:rPr>
        <w:drawing>
          <wp:inline distT="0" distB="0" distL="0" distR="0" wp14:anchorId="26E8B43F" wp14:editId="03BCE661">
            <wp:extent cx="3037489" cy="4236030"/>
            <wp:effectExtent l="0" t="0" r="0" b="0"/>
            <wp:docPr id="7166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5902" t="3684"/>
                    <a:stretch>
                      <a:fillRect/>
                    </a:stretch>
                  </pic:blipFill>
                  <pic:spPr bwMode="auto">
                    <a:xfrm>
                      <a:off x="0" y="0"/>
                      <a:ext cx="3073974" cy="4286912"/>
                    </a:xfrm>
                    <a:prstGeom prst="rect">
                      <a:avLst/>
                    </a:prstGeom>
                    <a:noFill/>
                    <a:ln>
                      <a:noFill/>
                    </a:ln>
                    <a:extLst>
                      <a:ext uri="{53640926-AAD7-44D8-BBD7-CCE9431645EC}">
                        <a14:shadowObscured xmlns:a14="http://schemas.microsoft.com/office/drawing/2010/main"/>
                      </a:ext>
                    </a:extLst>
                  </pic:spPr>
                </pic:pic>
              </a:graphicData>
            </a:graphic>
          </wp:inline>
        </w:drawing>
      </w:r>
    </w:p>
    <w:p w14:paraId="08230832" w14:textId="77777777" w:rsidR="002C23EE" w:rsidRPr="00F5462A" w:rsidRDefault="002C23EE" w:rsidP="00F5462A">
      <w:pPr>
        <w:pStyle w:val="Caption"/>
        <w:spacing w:after="0"/>
        <w:ind w:left="709" w:right="521" w:firstLine="0"/>
        <w:jc w:val="center"/>
        <w:rPr>
          <w:rFonts w:ascii="Arial" w:hAnsi="Arial" w:cs="Arial"/>
          <w:i w:val="0"/>
          <w:iCs w:val="0"/>
          <w:color w:val="auto"/>
          <w:sz w:val="20"/>
          <w:szCs w:val="20"/>
          <w:lang w:val="en-ID"/>
        </w:rPr>
      </w:pPr>
      <w:r w:rsidRPr="00F5462A">
        <w:rPr>
          <w:rFonts w:ascii="Arial" w:hAnsi="Arial" w:cs="Arial"/>
          <w:i w:val="0"/>
          <w:iCs w:val="0"/>
          <w:color w:val="auto"/>
          <w:sz w:val="20"/>
          <w:szCs w:val="20"/>
        </w:rPr>
        <w:t xml:space="preserve">Figure </w:t>
      </w:r>
      <w:r w:rsidRPr="00F5462A">
        <w:rPr>
          <w:rFonts w:ascii="Arial" w:hAnsi="Arial" w:cs="Arial"/>
          <w:i w:val="0"/>
          <w:iCs w:val="0"/>
          <w:color w:val="auto"/>
          <w:sz w:val="20"/>
          <w:szCs w:val="20"/>
        </w:rPr>
        <w:fldChar w:fldCharType="begin"/>
      </w:r>
      <w:r w:rsidRPr="00F5462A">
        <w:rPr>
          <w:rFonts w:ascii="Arial" w:hAnsi="Arial" w:cs="Arial"/>
          <w:i w:val="0"/>
          <w:iCs w:val="0"/>
          <w:color w:val="auto"/>
          <w:sz w:val="20"/>
          <w:szCs w:val="20"/>
        </w:rPr>
        <w:instrText xml:space="preserve"> SEQ Figure \* ARABIC </w:instrText>
      </w:r>
      <w:r w:rsidRPr="00F5462A">
        <w:rPr>
          <w:rFonts w:ascii="Arial" w:hAnsi="Arial" w:cs="Arial"/>
          <w:i w:val="0"/>
          <w:iCs w:val="0"/>
          <w:color w:val="auto"/>
          <w:sz w:val="20"/>
          <w:szCs w:val="20"/>
        </w:rPr>
        <w:fldChar w:fldCharType="separate"/>
      </w:r>
      <w:r w:rsidRPr="00F5462A">
        <w:rPr>
          <w:rFonts w:ascii="Arial" w:hAnsi="Arial" w:cs="Arial"/>
          <w:i w:val="0"/>
          <w:iCs w:val="0"/>
          <w:noProof/>
          <w:color w:val="auto"/>
          <w:sz w:val="20"/>
          <w:szCs w:val="20"/>
        </w:rPr>
        <w:t>2</w:t>
      </w:r>
      <w:r w:rsidRPr="00F5462A">
        <w:rPr>
          <w:rFonts w:ascii="Arial" w:hAnsi="Arial" w:cs="Arial"/>
          <w:i w:val="0"/>
          <w:iCs w:val="0"/>
          <w:color w:val="auto"/>
          <w:sz w:val="20"/>
          <w:szCs w:val="20"/>
        </w:rPr>
        <w:fldChar w:fldCharType="end"/>
      </w:r>
      <w:r w:rsidRPr="00F5462A">
        <w:rPr>
          <w:rFonts w:ascii="Arial" w:hAnsi="Arial" w:cs="Arial"/>
          <w:i w:val="0"/>
          <w:iCs w:val="0"/>
          <w:color w:val="auto"/>
          <w:sz w:val="20"/>
          <w:szCs w:val="20"/>
        </w:rPr>
        <w:t xml:space="preserve">  Traffic-Light Plot (Cochrane RoB 2 Tool). Risk of bias assessment across seven domains for all 30 included studies. Green (+) = Low risk; Yellow (?) = Some concerns; Red (−) = High risk. The majority of studies demonstrated a low overall risk of bias.</w:t>
      </w:r>
    </w:p>
    <w:p w14:paraId="4C7FCAD2" w14:textId="42FE0A94" w:rsidR="002C23EE" w:rsidRPr="00F5462A" w:rsidRDefault="002C23EE" w:rsidP="00F5462A">
      <w:pPr>
        <w:spacing w:line="240" w:lineRule="auto"/>
        <w:ind w:left="0" w:firstLine="720"/>
        <w:rPr>
          <w:rFonts w:ascii="Arial" w:hAnsi="Arial" w:cs="Arial"/>
          <w:sz w:val="20"/>
          <w:szCs w:val="20"/>
          <w:lang w:val="en-ID"/>
        </w:rPr>
        <w:sectPr w:rsidR="002C23EE" w:rsidRPr="00F5462A" w:rsidSect="00F5462A">
          <w:footerReference w:type="default" r:id="rId10"/>
          <w:pgSz w:w="11906" w:h="16838" w:code="9"/>
          <w:pgMar w:top="2160" w:right="2160" w:bottom="3799" w:left="2160" w:header="0" w:footer="720" w:gutter="0"/>
          <w:cols w:space="708"/>
          <w:docGrid w:linePitch="326"/>
        </w:sectPr>
      </w:pPr>
    </w:p>
    <w:p w14:paraId="5DD2C6CC" w14:textId="56E18CA4" w:rsidR="0098547A" w:rsidRPr="00F5462A" w:rsidRDefault="0098547A" w:rsidP="00F5462A">
      <w:pPr>
        <w:pStyle w:val="Caption"/>
        <w:keepNext/>
        <w:spacing w:after="0"/>
        <w:jc w:val="center"/>
        <w:rPr>
          <w:rFonts w:ascii="Arial" w:hAnsi="Arial" w:cs="Arial"/>
          <w:i w:val="0"/>
          <w:iCs w:val="0"/>
          <w:color w:val="auto"/>
          <w:sz w:val="20"/>
          <w:szCs w:val="20"/>
        </w:rPr>
      </w:pPr>
      <w:r w:rsidRPr="00F5462A">
        <w:rPr>
          <w:rFonts w:ascii="Arial" w:hAnsi="Arial" w:cs="Arial"/>
          <w:i w:val="0"/>
          <w:iCs w:val="0"/>
          <w:color w:val="auto"/>
          <w:sz w:val="20"/>
          <w:szCs w:val="20"/>
        </w:rPr>
        <w:lastRenderedPageBreak/>
        <w:t xml:space="preserve">Table </w:t>
      </w:r>
      <w:r w:rsidRPr="00F5462A">
        <w:rPr>
          <w:rFonts w:ascii="Arial" w:hAnsi="Arial" w:cs="Arial"/>
          <w:i w:val="0"/>
          <w:iCs w:val="0"/>
          <w:color w:val="auto"/>
          <w:sz w:val="20"/>
          <w:szCs w:val="20"/>
        </w:rPr>
        <w:fldChar w:fldCharType="begin"/>
      </w:r>
      <w:r w:rsidRPr="00F5462A">
        <w:rPr>
          <w:rFonts w:ascii="Arial" w:hAnsi="Arial" w:cs="Arial"/>
          <w:i w:val="0"/>
          <w:iCs w:val="0"/>
          <w:color w:val="auto"/>
          <w:sz w:val="20"/>
          <w:szCs w:val="20"/>
        </w:rPr>
        <w:instrText xml:space="preserve"> SEQ Table \* ARABIC </w:instrText>
      </w:r>
      <w:r w:rsidRPr="00F5462A">
        <w:rPr>
          <w:rFonts w:ascii="Arial" w:hAnsi="Arial" w:cs="Arial"/>
          <w:i w:val="0"/>
          <w:iCs w:val="0"/>
          <w:color w:val="auto"/>
          <w:sz w:val="20"/>
          <w:szCs w:val="20"/>
        </w:rPr>
        <w:fldChar w:fldCharType="separate"/>
      </w:r>
      <w:r w:rsidRPr="00F5462A">
        <w:rPr>
          <w:rFonts w:ascii="Arial" w:hAnsi="Arial" w:cs="Arial"/>
          <w:i w:val="0"/>
          <w:iCs w:val="0"/>
          <w:noProof/>
          <w:color w:val="auto"/>
          <w:sz w:val="20"/>
          <w:szCs w:val="20"/>
        </w:rPr>
        <w:t>1</w:t>
      </w:r>
      <w:r w:rsidRPr="00F5462A">
        <w:rPr>
          <w:rFonts w:ascii="Arial" w:hAnsi="Arial" w:cs="Arial"/>
          <w:i w:val="0"/>
          <w:iCs w:val="0"/>
          <w:color w:val="auto"/>
          <w:sz w:val="20"/>
          <w:szCs w:val="20"/>
        </w:rPr>
        <w:fldChar w:fldCharType="end"/>
      </w:r>
      <w:r w:rsidRPr="00F5462A">
        <w:rPr>
          <w:rFonts w:ascii="Arial" w:hAnsi="Arial" w:cs="Arial"/>
          <w:i w:val="0"/>
          <w:iCs w:val="0"/>
          <w:color w:val="auto"/>
          <w:sz w:val="20"/>
          <w:szCs w:val="20"/>
        </w:rPr>
        <w:t xml:space="preserve"> characteristics of the 30 included studies</w:t>
      </w:r>
    </w:p>
    <w:tbl>
      <w:tblPr>
        <w:tblStyle w:val="TableGrid"/>
        <w:tblW w:w="0" w:type="auto"/>
        <w:tblLayout w:type="fixed"/>
        <w:tblLook w:val="04A0" w:firstRow="1" w:lastRow="0" w:firstColumn="1" w:lastColumn="0" w:noHBand="0" w:noVBand="1"/>
      </w:tblPr>
      <w:tblGrid>
        <w:gridCol w:w="562"/>
        <w:gridCol w:w="971"/>
        <w:gridCol w:w="1333"/>
        <w:gridCol w:w="1538"/>
        <w:gridCol w:w="1346"/>
        <w:gridCol w:w="1244"/>
        <w:gridCol w:w="761"/>
        <w:gridCol w:w="966"/>
        <w:gridCol w:w="484"/>
        <w:gridCol w:w="1011"/>
        <w:gridCol w:w="591"/>
        <w:gridCol w:w="833"/>
        <w:gridCol w:w="868"/>
      </w:tblGrid>
      <w:tr w:rsidR="00A5642E" w:rsidRPr="00F5462A" w14:paraId="340AC528" w14:textId="4B1DE3B7" w:rsidTr="00470AA5">
        <w:trPr>
          <w:tblHeader/>
        </w:trPr>
        <w:tc>
          <w:tcPr>
            <w:tcW w:w="562" w:type="dxa"/>
            <w:vAlign w:val="center"/>
          </w:tcPr>
          <w:p w14:paraId="3FFAA518" w14:textId="561587A1" w:rsidR="00A5642E" w:rsidRPr="00F5462A" w:rsidRDefault="00A5642E" w:rsidP="00F5462A">
            <w:pPr>
              <w:spacing w:line="240" w:lineRule="auto"/>
              <w:ind w:left="0" w:firstLine="0"/>
              <w:jc w:val="center"/>
              <w:rPr>
                <w:rFonts w:ascii="Arial" w:hAnsi="Arial" w:cs="Arial"/>
                <w:b/>
                <w:bCs/>
                <w:color w:val="auto"/>
                <w:sz w:val="20"/>
                <w:szCs w:val="20"/>
              </w:rPr>
            </w:pPr>
            <w:r w:rsidRPr="00F5462A">
              <w:rPr>
                <w:rFonts w:ascii="Arial" w:hAnsi="Arial" w:cs="Arial"/>
                <w:b/>
                <w:bCs/>
                <w:color w:val="auto"/>
                <w:sz w:val="20"/>
                <w:szCs w:val="20"/>
              </w:rPr>
              <w:t>No</w:t>
            </w:r>
          </w:p>
        </w:tc>
        <w:tc>
          <w:tcPr>
            <w:tcW w:w="971" w:type="dxa"/>
            <w:vAlign w:val="center"/>
          </w:tcPr>
          <w:p w14:paraId="2567C410" w14:textId="15177545" w:rsidR="00A5642E" w:rsidRPr="00F5462A" w:rsidRDefault="00A5642E" w:rsidP="00F5462A">
            <w:pPr>
              <w:spacing w:line="240" w:lineRule="auto"/>
              <w:ind w:left="0" w:firstLine="0"/>
              <w:jc w:val="center"/>
              <w:rPr>
                <w:rFonts w:ascii="Arial" w:hAnsi="Arial" w:cs="Arial"/>
                <w:color w:val="auto"/>
                <w:sz w:val="20"/>
                <w:szCs w:val="20"/>
                <w:lang w:val="en-ID"/>
              </w:rPr>
            </w:pPr>
            <w:r w:rsidRPr="00F5462A">
              <w:rPr>
                <w:rFonts w:ascii="Arial" w:hAnsi="Arial" w:cs="Arial"/>
                <w:b/>
                <w:bCs/>
                <w:color w:val="auto"/>
                <w:sz w:val="20"/>
                <w:szCs w:val="20"/>
              </w:rPr>
              <w:t>Author (Year)</w:t>
            </w:r>
          </w:p>
        </w:tc>
        <w:tc>
          <w:tcPr>
            <w:tcW w:w="1333" w:type="dxa"/>
            <w:vAlign w:val="center"/>
          </w:tcPr>
          <w:p w14:paraId="18D95562" w14:textId="01F7B80C" w:rsidR="00A5642E" w:rsidRPr="00F5462A" w:rsidRDefault="00A5642E" w:rsidP="00F5462A">
            <w:pPr>
              <w:spacing w:line="240" w:lineRule="auto"/>
              <w:ind w:left="0" w:firstLine="0"/>
              <w:jc w:val="center"/>
              <w:rPr>
                <w:rFonts w:ascii="Arial" w:hAnsi="Arial" w:cs="Arial"/>
                <w:color w:val="auto"/>
                <w:sz w:val="20"/>
                <w:szCs w:val="20"/>
                <w:lang w:val="en-ID"/>
              </w:rPr>
            </w:pPr>
            <w:r w:rsidRPr="00F5462A">
              <w:rPr>
                <w:rFonts w:ascii="Arial" w:hAnsi="Arial" w:cs="Arial"/>
                <w:b/>
                <w:bCs/>
                <w:color w:val="auto"/>
                <w:sz w:val="20"/>
                <w:szCs w:val="20"/>
              </w:rPr>
              <w:t>Country</w:t>
            </w:r>
          </w:p>
        </w:tc>
        <w:tc>
          <w:tcPr>
            <w:tcW w:w="1538" w:type="dxa"/>
            <w:vAlign w:val="center"/>
          </w:tcPr>
          <w:p w14:paraId="64AD5396" w14:textId="175C5A76" w:rsidR="00A5642E" w:rsidRPr="00F5462A" w:rsidRDefault="00A5642E" w:rsidP="00F5462A">
            <w:pPr>
              <w:spacing w:line="240" w:lineRule="auto"/>
              <w:ind w:left="0" w:firstLine="0"/>
              <w:jc w:val="center"/>
              <w:rPr>
                <w:rFonts w:ascii="Arial" w:hAnsi="Arial" w:cs="Arial"/>
                <w:color w:val="auto"/>
                <w:sz w:val="20"/>
                <w:szCs w:val="20"/>
                <w:lang w:val="en-ID"/>
              </w:rPr>
            </w:pPr>
            <w:r w:rsidRPr="00F5462A">
              <w:rPr>
                <w:rFonts w:ascii="Arial" w:hAnsi="Arial" w:cs="Arial"/>
                <w:b/>
                <w:bCs/>
                <w:color w:val="auto"/>
                <w:sz w:val="20"/>
                <w:szCs w:val="20"/>
              </w:rPr>
              <w:t>Plant Species</w:t>
            </w:r>
          </w:p>
        </w:tc>
        <w:tc>
          <w:tcPr>
            <w:tcW w:w="1346" w:type="dxa"/>
            <w:vAlign w:val="center"/>
          </w:tcPr>
          <w:p w14:paraId="686C8A2A" w14:textId="4D0719E4"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Active Compound</w:t>
            </w:r>
          </w:p>
        </w:tc>
        <w:tc>
          <w:tcPr>
            <w:tcW w:w="1244" w:type="dxa"/>
            <w:vAlign w:val="center"/>
          </w:tcPr>
          <w:p w14:paraId="26FD63F2" w14:textId="24791313"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Formulation</w:t>
            </w:r>
          </w:p>
        </w:tc>
        <w:tc>
          <w:tcPr>
            <w:tcW w:w="761" w:type="dxa"/>
            <w:vAlign w:val="center"/>
          </w:tcPr>
          <w:p w14:paraId="61F009F6" w14:textId="53DD922C"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Conc. (%)</w:t>
            </w:r>
          </w:p>
        </w:tc>
        <w:tc>
          <w:tcPr>
            <w:tcW w:w="966" w:type="dxa"/>
            <w:vAlign w:val="center"/>
          </w:tcPr>
          <w:p w14:paraId="50BB1468" w14:textId="763D8CC1"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Study Design</w:t>
            </w:r>
          </w:p>
        </w:tc>
        <w:tc>
          <w:tcPr>
            <w:tcW w:w="484" w:type="dxa"/>
            <w:vAlign w:val="center"/>
          </w:tcPr>
          <w:p w14:paraId="11967192" w14:textId="324DC219"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n</w:t>
            </w:r>
          </w:p>
        </w:tc>
        <w:tc>
          <w:tcPr>
            <w:tcW w:w="1011" w:type="dxa"/>
            <w:vAlign w:val="center"/>
          </w:tcPr>
          <w:p w14:paraId="19216258" w14:textId="6C1C07D4"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Outcome Measure</w:t>
            </w:r>
          </w:p>
        </w:tc>
        <w:tc>
          <w:tcPr>
            <w:tcW w:w="591" w:type="dxa"/>
            <w:vAlign w:val="center"/>
          </w:tcPr>
          <w:p w14:paraId="16837D87" w14:textId="0A654C8D"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RR (95% CI)</w:t>
            </w:r>
          </w:p>
        </w:tc>
        <w:tc>
          <w:tcPr>
            <w:tcW w:w="833" w:type="dxa"/>
            <w:vAlign w:val="center"/>
          </w:tcPr>
          <w:p w14:paraId="7929E974" w14:textId="6B366C80"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Efficacy (%)</w:t>
            </w:r>
          </w:p>
        </w:tc>
        <w:tc>
          <w:tcPr>
            <w:tcW w:w="868" w:type="dxa"/>
            <w:vAlign w:val="center"/>
          </w:tcPr>
          <w:p w14:paraId="54B5B992" w14:textId="21ED5BF2" w:rsidR="00A5642E" w:rsidRPr="00F5462A" w:rsidRDefault="00A5642E" w:rsidP="00F5462A">
            <w:pPr>
              <w:spacing w:line="240" w:lineRule="auto"/>
              <w:ind w:left="0" w:firstLine="0"/>
              <w:rPr>
                <w:rFonts w:ascii="Arial" w:hAnsi="Arial" w:cs="Arial"/>
                <w:color w:val="auto"/>
                <w:sz w:val="20"/>
                <w:szCs w:val="20"/>
                <w:lang w:val="en-ID"/>
              </w:rPr>
            </w:pPr>
            <w:r w:rsidRPr="00F5462A">
              <w:rPr>
                <w:rFonts w:ascii="Arial" w:hAnsi="Arial" w:cs="Arial"/>
                <w:b/>
                <w:bCs/>
                <w:color w:val="auto"/>
                <w:sz w:val="20"/>
                <w:szCs w:val="20"/>
              </w:rPr>
              <w:t>RoB</w:t>
            </w:r>
          </w:p>
        </w:tc>
      </w:tr>
      <w:tr w:rsidR="00A5642E" w:rsidRPr="00F5462A" w14:paraId="2884F044" w14:textId="5A9D0AED" w:rsidTr="00470AA5">
        <w:tc>
          <w:tcPr>
            <w:tcW w:w="562" w:type="dxa"/>
            <w:vAlign w:val="center"/>
          </w:tcPr>
          <w:p w14:paraId="4211C8BA" w14:textId="28F9DBE8"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
              <w:id w:val="-133097131"/>
              <w:placeholder>
                <w:docPart w:val="DefaultPlaceholder_-1854013440"/>
              </w:placeholder>
            </w:sdtPr>
            <w:sdtContent>
              <w:p w14:paraId="1C3A4E2C" w14:textId="0440C962"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eastAsia="Times New Roman" w:hAnsi="Arial" w:cs="Arial"/>
                    <w:color w:val="1A1A2E"/>
                    <w:sz w:val="20"/>
                    <w:szCs w:val="20"/>
                  </w:rPr>
                  <w:t>(Amer &amp; Mehlhorn, 2006)</w:t>
                </w:r>
              </w:p>
            </w:sdtContent>
          </w:sdt>
        </w:tc>
        <w:tc>
          <w:tcPr>
            <w:tcW w:w="1333" w:type="dxa"/>
            <w:vAlign w:val="center"/>
          </w:tcPr>
          <w:p w14:paraId="03D5C222" w14:textId="4A56B6D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Germany/Egypt</w:t>
            </w:r>
          </w:p>
        </w:tc>
        <w:tc>
          <w:tcPr>
            <w:tcW w:w="1538" w:type="dxa"/>
            <w:vAlign w:val="center"/>
          </w:tcPr>
          <w:p w14:paraId="3A854527" w14:textId="7BB0EC81"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Azadirachta indica</w:t>
            </w:r>
          </w:p>
        </w:tc>
        <w:tc>
          <w:tcPr>
            <w:tcW w:w="1346" w:type="dxa"/>
            <w:vAlign w:val="center"/>
          </w:tcPr>
          <w:p w14:paraId="25BAC8DA" w14:textId="4D6E1CF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Azadirachtin</w:t>
            </w:r>
          </w:p>
        </w:tc>
        <w:tc>
          <w:tcPr>
            <w:tcW w:w="1244" w:type="dxa"/>
            <w:vAlign w:val="center"/>
          </w:tcPr>
          <w:p w14:paraId="09B82B51" w14:textId="145A967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 lotion</w:t>
            </w:r>
          </w:p>
        </w:tc>
        <w:tc>
          <w:tcPr>
            <w:tcW w:w="761" w:type="dxa"/>
            <w:vAlign w:val="center"/>
          </w:tcPr>
          <w:p w14:paraId="796266EA" w14:textId="724A049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w:t>
            </w:r>
          </w:p>
        </w:tc>
        <w:tc>
          <w:tcPr>
            <w:tcW w:w="966" w:type="dxa"/>
            <w:vAlign w:val="center"/>
          </w:tcPr>
          <w:p w14:paraId="4F130A74" w14:textId="1C9E7CF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4B6D1182" w14:textId="072C78B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60</w:t>
            </w:r>
          </w:p>
        </w:tc>
        <w:tc>
          <w:tcPr>
            <w:tcW w:w="1011" w:type="dxa"/>
            <w:vAlign w:val="center"/>
          </w:tcPr>
          <w:p w14:paraId="4B42BF04" w14:textId="50205A7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5F8F1CDB" w14:textId="59C76D5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0.28</w:t>
            </w:r>
          </w:p>
        </w:tc>
        <w:tc>
          <w:tcPr>
            <w:tcW w:w="833" w:type="dxa"/>
            <w:vAlign w:val="center"/>
          </w:tcPr>
          <w:p w14:paraId="635738CC" w14:textId="04EE0A1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72%</w:t>
            </w:r>
          </w:p>
        </w:tc>
        <w:tc>
          <w:tcPr>
            <w:tcW w:w="868" w:type="dxa"/>
            <w:vAlign w:val="center"/>
          </w:tcPr>
          <w:p w14:paraId="55B90DB9" w14:textId="3B05C33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4EB42DF3" w14:textId="37505410" w:rsidTr="00470AA5">
        <w:tc>
          <w:tcPr>
            <w:tcW w:w="562" w:type="dxa"/>
            <w:vAlign w:val="center"/>
          </w:tcPr>
          <w:p w14:paraId="3D240902"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
              <w:id w:val="289873091"/>
              <w:placeholder>
                <w:docPart w:val="DefaultPlaceholder_-1854013440"/>
              </w:placeholder>
            </w:sdtPr>
            <w:sdtContent>
              <w:p w14:paraId="0F02184E" w14:textId="1BA6C0E1"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eastAsia="Times New Roman" w:hAnsi="Arial" w:cs="Arial"/>
                    <w:color w:val="1A1A2E"/>
                    <w:sz w:val="20"/>
                    <w:szCs w:val="20"/>
                  </w:rPr>
                  <w:t>(Carroll &amp; Loye, 2006)</w:t>
                </w:r>
              </w:p>
            </w:sdtContent>
          </w:sdt>
        </w:tc>
        <w:tc>
          <w:tcPr>
            <w:tcW w:w="1333" w:type="dxa"/>
            <w:vAlign w:val="center"/>
          </w:tcPr>
          <w:p w14:paraId="5E6B1345" w14:textId="7C0A552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USA</w:t>
            </w:r>
          </w:p>
        </w:tc>
        <w:tc>
          <w:tcPr>
            <w:tcW w:w="1538" w:type="dxa"/>
            <w:vAlign w:val="center"/>
          </w:tcPr>
          <w:p w14:paraId="4CCF1AFA" w14:textId="00FE86CC" w:rsidR="00A5642E" w:rsidRPr="00F5462A" w:rsidRDefault="000340EB" w:rsidP="00F5462A">
            <w:pPr>
              <w:spacing w:line="240" w:lineRule="auto"/>
              <w:ind w:left="0" w:firstLine="0"/>
              <w:jc w:val="center"/>
              <w:rPr>
                <w:rFonts w:ascii="Arial" w:hAnsi="Arial" w:cs="Arial"/>
                <w:sz w:val="20"/>
                <w:szCs w:val="20"/>
                <w:lang w:val="en-ID"/>
              </w:rPr>
            </w:pPr>
            <w:r w:rsidRPr="00F5462A">
              <w:rPr>
                <w:rFonts w:ascii="Arial" w:hAnsi="Arial" w:cs="Arial"/>
                <w:i/>
                <w:iCs/>
                <w:color w:val="1A1A2E"/>
                <w:sz w:val="20"/>
                <w:szCs w:val="20"/>
              </w:rPr>
              <w:t>Corymbia citriodora</w:t>
            </w:r>
          </w:p>
        </w:tc>
        <w:tc>
          <w:tcPr>
            <w:tcW w:w="1346" w:type="dxa"/>
            <w:vAlign w:val="center"/>
          </w:tcPr>
          <w:p w14:paraId="404ACBA7" w14:textId="3AAB247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Citronellal</w:t>
            </w:r>
          </w:p>
        </w:tc>
        <w:tc>
          <w:tcPr>
            <w:tcW w:w="1244" w:type="dxa"/>
            <w:vAlign w:val="center"/>
          </w:tcPr>
          <w:p w14:paraId="10738F8D" w14:textId="52A20D1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Topical spray</w:t>
            </w:r>
          </w:p>
        </w:tc>
        <w:tc>
          <w:tcPr>
            <w:tcW w:w="761" w:type="dxa"/>
            <w:vAlign w:val="center"/>
          </w:tcPr>
          <w:p w14:paraId="3C56CB72" w14:textId="2DDC355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68C7A93B" w14:textId="73F7479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30846D60" w14:textId="70821E6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85</w:t>
            </w:r>
          </w:p>
        </w:tc>
        <w:tc>
          <w:tcPr>
            <w:tcW w:w="1011" w:type="dxa"/>
            <w:vAlign w:val="center"/>
          </w:tcPr>
          <w:p w14:paraId="4C5E1997" w14:textId="4AD6532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rate</w:t>
            </w:r>
          </w:p>
        </w:tc>
        <w:tc>
          <w:tcPr>
            <w:tcW w:w="591" w:type="dxa"/>
            <w:vAlign w:val="center"/>
          </w:tcPr>
          <w:p w14:paraId="54E1D871" w14:textId="52BB914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0.45</w:t>
            </w:r>
          </w:p>
        </w:tc>
        <w:tc>
          <w:tcPr>
            <w:tcW w:w="833" w:type="dxa"/>
            <w:vAlign w:val="center"/>
          </w:tcPr>
          <w:p w14:paraId="1B46C970" w14:textId="46F6C79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55%</w:t>
            </w:r>
          </w:p>
        </w:tc>
        <w:tc>
          <w:tcPr>
            <w:tcW w:w="868" w:type="dxa"/>
            <w:vAlign w:val="center"/>
          </w:tcPr>
          <w:p w14:paraId="1FB5CC32" w14:textId="0453B7C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6F22E713" w14:textId="77777777" w:rsidTr="00470AA5">
        <w:tc>
          <w:tcPr>
            <w:tcW w:w="562" w:type="dxa"/>
            <w:vAlign w:val="center"/>
          </w:tcPr>
          <w:p w14:paraId="32868D7E"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552083501"/>
              <w:placeholder>
                <w:docPart w:val="DefaultPlaceholder_-1854013440"/>
              </w:placeholder>
            </w:sdtPr>
            <w:sdtContent>
              <w:p w14:paraId="3CBCEC12" w14:textId="59FF423A"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eastAsia="Times New Roman" w:hAnsi="Arial" w:cs="Arial"/>
                    <w:color w:val="1A1A2E"/>
                    <w:sz w:val="20"/>
                    <w:szCs w:val="20"/>
                  </w:rPr>
                  <w:t>(Fradin &amp; Day, 2002)</w:t>
                </w:r>
              </w:p>
            </w:sdtContent>
          </w:sdt>
        </w:tc>
        <w:tc>
          <w:tcPr>
            <w:tcW w:w="1333" w:type="dxa"/>
            <w:vAlign w:val="center"/>
          </w:tcPr>
          <w:p w14:paraId="36B94A41" w14:textId="6F343FF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USA</w:t>
            </w:r>
          </w:p>
        </w:tc>
        <w:tc>
          <w:tcPr>
            <w:tcW w:w="1538" w:type="dxa"/>
            <w:vAlign w:val="center"/>
          </w:tcPr>
          <w:p w14:paraId="7D625FAC" w14:textId="4286E25D"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Eucalyptus citriodora</w:t>
            </w:r>
          </w:p>
        </w:tc>
        <w:tc>
          <w:tcPr>
            <w:tcW w:w="1346" w:type="dxa"/>
            <w:vAlign w:val="center"/>
          </w:tcPr>
          <w:p w14:paraId="41FD554D" w14:textId="4BA6D88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PMD (p-menthane-3,8-diol)</w:t>
            </w:r>
          </w:p>
        </w:tc>
        <w:tc>
          <w:tcPr>
            <w:tcW w:w="1244" w:type="dxa"/>
            <w:vAlign w:val="center"/>
          </w:tcPr>
          <w:p w14:paraId="2EBE42B7" w14:textId="5ACDD5F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Lotion</w:t>
            </w:r>
          </w:p>
        </w:tc>
        <w:tc>
          <w:tcPr>
            <w:tcW w:w="761" w:type="dxa"/>
            <w:vAlign w:val="center"/>
          </w:tcPr>
          <w:p w14:paraId="541234DB" w14:textId="25952DA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30%</w:t>
            </w:r>
          </w:p>
        </w:tc>
        <w:tc>
          <w:tcPr>
            <w:tcW w:w="966" w:type="dxa"/>
            <w:vAlign w:val="center"/>
          </w:tcPr>
          <w:p w14:paraId="59828F3F" w14:textId="67064FB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Quasi-exp.</w:t>
            </w:r>
          </w:p>
        </w:tc>
        <w:tc>
          <w:tcPr>
            <w:tcW w:w="484" w:type="dxa"/>
            <w:vAlign w:val="center"/>
          </w:tcPr>
          <w:p w14:paraId="00BE4DFD" w14:textId="782D01B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15</w:t>
            </w:r>
          </w:p>
        </w:tc>
        <w:tc>
          <w:tcPr>
            <w:tcW w:w="1011" w:type="dxa"/>
            <w:vAlign w:val="center"/>
          </w:tcPr>
          <w:p w14:paraId="1FC29E2E" w14:textId="71A781F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Protection time (min)</w:t>
            </w:r>
          </w:p>
        </w:tc>
        <w:tc>
          <w:tcPr>
            <w:tcW w:w="591" w:type="dxa"/>
            <w:vAlign w:val="center"/>
          </w:tcPr>
          <w:p w14:paraId="083B1831" w14:textId="00C2353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0.32</w:t>
            </w:r>
          </w:p>
        </w:tc>
        <w:tc>
          <w:tcPr>
            <w:tcW w:w="833" w:type="dxa"/>
            <w:vAlign w:val="center"/>
          </w:tcPr>
          <w:p w14:paraId="5E1BC7BC" w14:textId="19D500B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68%</w:t>
            </w:r>
          </w:p>
        </w:tc>
        <w:tc>
          <w:tcPr>
            <w:tcW w:w="868" w:type="dxa"/>
            <w:vAlign w:val="center"/>
          </w:tcPr>
          <w:p w14:paraId="6ACA54C5" w14:textId="1B89C5A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3D165945" w14:textId="77777777" w:rsidTr="00470AA5">
        <w:tc>
          <w:tcPr>
            <w:tcW w:w="562" w:type="dxa"/>
            <w:vAlign w:val="center"/>
          </w:tcPr>
          <w:p w14:paraId="5C6AE7E7"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
              <w:id w:val="-1542359166"/>
              <w:placeholder>
                <w:docPart w:val="DefaultPlaceholder_-1854013440"/>
              </w:placeholder>
            </w:sdtPr>
            <w:sdtContent>
              <w:p w14:paraId="3829B97D" w14:textId="72100B02"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(Trongtokit et al., 2005)</w:t>
                </w:r>
              </w:p>
            </w:sdtContent>
          </w:sdt>
        </w:tc>
        <w:tc>
          <w:tcPr>
            <w:tcW w:w="1333" w:type="dxa"/>
            <w:vAlign w:val="center"/>
          </w:tcPr>
          <w:p w14:paraId="33BDBE1D" w14:textId="3C06117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Thailand</w:t>
            </w:r>
          </w:p>
        </w:tc>
        <w:tc>
          <w:tcPr>
            <w:tcW w:w="1538" w:type="dxa"/>
            <w:vAlign w:val="center"/>
          </w:tcPr>
          <w:p w14:paraId="11331FE0" w14:textId="4FD9F3B4"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Cymbopogon nardus</w:t>
            </w:r>
          </w:p>
        </w:tc>
        <w:tc>
          <w:tcPr>
            <w:tcW w:w="1346" w:type="dxa"/>
            <w:vAlign w:val="center"/>
          </w:tcPr>
          <w:p w14:paraId="715A96D5" w14:textId="77670D9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Citronellal, geraniol</w:t>
            </w:r>
          </w:p>
        </w:tc>
        <w:tc>
          <w:tcPr>
            <w:tcW w:w="1244" w:type="dxa"/>
            <w:vAlign w:val="center"/>
          </w:tcPr>
          <w:p w14:paraId="3B596E01" w14:textId="478050F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Cream</w:t>
            </w:r>
          </w:p>
        </w:tc>
        <w:tc>
          <w:tcPr>
            <w:tcW w:w="761" w:type="dxa"/>
            <w:vAlign w:val="center"/>
          </w:tcPr>
          <w:p w14:paraId="70DDE351" w14:textId="20AECCC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5–15%</w:t>
            </w:r>
          </w:p>
        </w:tc>
        <w:tc>
          <w:tcPr>
            <w:tcW w:w="966" w:type="dxa"/>
            <w:vAlign w:val="center"/>
          </w:tcPr>
          <w:p w14:paraId="0B669B28" w14:textId="6CF1C45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Quasi-exp.</w:t>
            </w:r>
          </w:p>
        </w:tc>
        <w:tc>
          <w:tcPr>
            <w:tcW w:w="484" w:type="dxa"/>
            <w:vAlign w:val="center"/>
          </w:tcPr>
          <w:p w14:paraId="7A5B0367" w14:textId="1206B26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120</w:t>
            </w:r>
          </w:p>
        </w:tc>
        <w:tc>
          <w:tcPr>
            <w:tcW w:w="1011" w:type="dxa"/>
            <w:vAlign w:val="center"/>
          </w:tcPr>
          <w:p w14:paraId="109E7743" w14:textId="25F6B6B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Repellency %</w:t>
            </w:r>
          </w:p>
        </w:tc>
        <w:tc>
          <w:tcPr>
            <w:tcW w:w="591" w:type="dxa"/>
            <w:vAlign w:val="center"/>
          </w:tcPr>
          <w:p w14:paraId="2A520E19" w14:textId="3580CE6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0.51</w:t>
            </w:r>
          </w:p>
        </w:tc>
        <w:tc>
          <w:tcPr>
            <w:tcW w:w="833" w:type="dxa"/>
            <w:vAlign w:val="center"/>
          </w:tcPr>
          <w:p w14:paraId="28F396DF" w14:textId="30510E0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49%</w:t>
            </w:r>
          </w:p>
        </w:tc>
        <w:tc>
          <w:tcPr>
            <w:tcW w:w="868" w:type="dxa"/>
            <w:vAlign w:val="center"/>
          </w:tcPr>
          <w:p w14:paraId="23EFAEEC" w14:textId="3094680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Some concerns</w:t>
            </w:r>
          </w:p>
        </w:tc>
      </w:tr>
      <w:tr w:rsidR="00A5642E" w:rsidRPr="00F5462A" w14:paraId="117BD632" w14:textId="77777777" w:rsidTr="00470AA5">
        <w:tc>
          <w:tcPr>
            <w:tcW w:w="562" w:type="dxa"/>
            <w:vAlign w:val="center"/>
          </w:tcPr>
          <w:p w14:paraId="5BC906F1"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209036564"/>
              <w:placeholder>
                <w:docPart w:val="DefaultPlaceholder_-1854013440"/>
              </w:placeholder>
            </w:sdtPr>
            <w:sdtContent>
              <w:p w14:paraId="0C9F397D" w14:textId="5B9166C9"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(Nerio et al., 2010)</w:t>
                </w:r>
              </w:p>
            </w:sdtContent>
          </w:sdt>
        </w:tc>
        <w:tc>
          <w:tcPr>
            <w:tcW w:w="1333" w:type="dxa"/>
            <w:vAlign w:val="center"/>
          </w:tcPr>
          <w:p w14:paraId="536D1BCB" w14:textId="73B874B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Venezuela</w:t>
            </w:r>
          </w:p>
        </w:tc>
        <w:tc>
          <w:tcPr>
            <w:tcW w:w="1538" w:type="dxa"/>
            <w:vAlign w:val="center"/>
          </w:tcPr>
          <w:p w14:paraId="1BD01B1B" w14:textId="0661ECE5"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Cymbopogon citratus</w:t>
            </w:r>
          </w:p>
        </w:tc>
        <w:tc>
          <w:tcPr>
            <w:tcW w:w="1346" w:type="dxa"/>
            <w:vAlign w:val="center"/>
          </w:tcPr>
          <w:p w14:paraId="19ACA4EA" w14:textId="75C9B60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Citral, geraniol</w:t>
            </w:r>
          </w:p>
        </w:tc>
        <w:tc>
          <w:tcPr>
            <w:tcW w:w="1244" w:type="dxa"/>
            <w:vAlign w:val="center"/>
          </w:tcPr>
          <w:p w14:paraId="0F3F7123" w14:textId="5659042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w:t>
            </w:r>
          </w:p>
        </w:tc>
        <w:tc>
          <w:tcPr>
            <w:tcW w:w="761" w:type="dxa"/>
            <w:vAlign w:val="center"/>
          </w:tcPr>
          <w:p w14:paraId="0FE4142C" w14:textId="300155A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3BE6A843" w14:textId="3E401A2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1AD1E8BC" w14:textId="3C37F0E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48</w:t>
            </w:r>
          </w:p>
        </w:tc>
        <w:tc>
          <w:tcPr>
            <w:tcW w:w="1011" w:type="dxa"/>
            <w:vAlign w:val="center"/>
          </w:tcPr>
          <w:p w14:paraId="01DA3856" w14:textId="4921CA9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2BAFEC06" w14:textId="297A570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0.38</w:t>
            </w:r>
          </w:p>
        </w:tc>
        <w:tc>
          <w:tcPr>
            <w:tcW w:w="833" w:type="dxa"/>
            <w:vAlign w:val="center"/>
          </w:tcPr>
          <w:p w14:paraId="16FE5F2D" w14:textId="5BBFD55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62%</w:t>
            </w:r>
          </w:p>
        </w:tc>
        <w:tc>
          <w:tcPr>
            <w:tcW w:w="868" w:type="dxa"/>
            <w:vAlign w:val="center"/>
          </w:tcPr>
          <w:p w14:paraId="37960648" w14:textId="6968C0A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588893E" w14:textId="77777777" w:rsidTr="00470AA5">
        <w:tc>
          <w:tcPr>
            <w:tcW w:w="562" w:type="dxa"/>
            <w:vAlign w:val="center"/>
          </w:tcPr>
          <w:p w14:paraId="36826B9A"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000000"/>
                <w:sz w:val="20"/>
                <w:szCs w:val="20"/>
              </w:rPr>
              <w:tag w:val="MENDELEY_CITATION_v3_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"/>
              <w:id w:val="1779911709"/>
              <w:placeholder>
                <w:docPart w:val="DefaultPlaceholder_-1854013440"/>
              </w:placeholder>
            </w:sdtPr>
            <w:sdtContent>
              <w:p w14:paraId="5B54CE57" w14:textId="0639BE99"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eastAsia="Times New Roman" w:hAnsi="Arial" w:cs="Arial"/>
                    <w:color w:val="000000"/>
                    <w:sz w:val="20"/>
                    <w:szCs w:val="20"/>
                  </w:rPr>
                  <w:t>(Maia &amp; Moore, 2011)</w:t>
                </w:r>
              </w:p>
            </w:sdtContent>
          </w:sdt>
        </w:tc>
        <w:tc>
          <w:tcPr>
            <w:tcW w:w="1333" w:type="dxa"/>
            <w:vAlign w:val="center"/>
          </w:tcPr>
          <w:p w14:paraId="5F7CD7CA" w14:textId="1252431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UK (review-based)</w:t>
            </w:r>
          </w:p>
        </w:tc>
        <w:tc>
          <w:tcPr>
            <w:tcW w:w="1538" w:type="dxa"/>
            <w:vAlign w:val="center"/>
          </w:tcPr>
          <w:p w14:paraId="536F47B5" w14:textId="78E5121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Mixed (</w:t>
            </w:r>
            <w:r w:rsidRPr="00F5462A">
              <w:rPr>
                <w:rStyle w:val="Emphasis"/>
                <w:rFonts w:ascii="Arial" w:hAnsi="Arial" w:cs="Arial"/>
                <w:color w:val="1A1A2E"/>
                <w:sz w:val="20"/>
                <w:szCs w:val="20"/>
              </w:rPr>
              <w:t>Cymbopogon</w:t>
            </w:r>
            <w:r w:rsidRPr="00F5462A">
              <w:rPr>
                <w:rFonts w:ascii="Arial" w:hAnsi="Arial" w:cs="Arial"/>
                <w:color w:val="1A1A2E"/>
                <w:sz w:val="20"/>
                <w:szCs w:val="20"/>
              </w:rPr>
              <w:t> sp.)</w:t>
            </w:r>
          </w:p>
        </w:tc>
        <w:tc>
          <w:tcPr>
            <w:tcW w:w="1346" w:type="dxa"/>
            <w:vAlign w:val="center"/>
          </w:tcPr>
          <w:p w14:paraId="6F1ED719" w14:textId="06F3C77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Citronellol, geraniol</w:t>
            </w:r>
          </w:p>
        </w:tc>
        <w:tc>
          <w:tcPr>
            <w:tcW w:w="1244" w:type="dxa"/>
            <w:vAlign w:val="center"/>
          </w:tcPr>
          <w:p w14:paraId="0D2ECCF3" w14:textId="5136C77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Mixed oil</w:t>
            </w:r>
          </w:p>
        </w:tc>
        <w:tc>
          <w:tcPr>
            <w:tcW w:w="761" w:type="dxa"/>
            <w:vAlign w:val="center"/>
          </w:tcPr>
          <w:p w14:paraId="57794B49" w14:textId="3D8EE76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Various</w:t>
            </w:r>
          </w:p>
        </w:tc>
        <w:tc>
          <w:tcPr>
            <w:tcW w:w="966" w:type="dxa"/>
            <w:vAlign w:val="center"/>
          </w:tcPr>
          <w:p w14:paraId="634A1485" w14:textId="2E50966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Meta-regression</w:t>
            </w:r>
          </w:p>
        </w:tc>
        <w:tc>
          <w:tcPr>
            <w:tcW w:w="484" w:type="dxa"/>
            <w:vAlign w:val="center"/>
          </w:tcPr>
          <w:p w14:paraId="2C022CD3" w14:textId="64A7303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312</w:t>
            </w:r>
          </w:p>
        </w:tc>
        <w:tc>
          <w:tcPr>
            <w:tcW w:w="1011" w:type="dxa"/>
            <w:vAlign w:val="center"/>
          </w:tcPr>
          <w:p w14:paraId="6A7E73D1" w14:textId="7CF22B7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Protection rate</w:t>
            </w:r>
          </w:p>
        </w:tc>
        <w:tc>
          <w:tcPr>
            <w:tcW w:w="591" w:type="dxa"/>
            <w:vAlign w:val="center"/>
          </w:tcPr>
          <w:p w14:paraId="102DF89D" w14:textId="556A5DA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0.41</w:t>
            </w:r>
          </w:p>
        </w:tc>
        <w:tc>
          <w:tcPr>
            <w:tcW w:w="833" w:type="dxa"/>
            <w:vAlign w:val="center"/>
          </w:tcPr>
          <w:p w14:paraId="4EA750C9" w14:textId="79239C1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59%</w:t>
            </w:r>
          </w:p>
        </w:tc>
        <w:tc>
          <w:tcPr>
            <w:tcW w:w="868" w:type="dxa"/>
            <w:vAlign w:val="center"/>
          </w:tcPr>
          <w:p w14:paraId="03D3203D" w14:textId="6628ED5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72F6E1DC" w14:textId="77777777" w:rsidTr="00470AA5">
        <w:tc>
          <w:tcPr>
            <w:tcW w:w="562" w:type="dxa"/>
            <w:vAlign w:val="center"/>
          </w:tcPr>
          <w:p w14:paraId="361314F8"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jY5MGZlY2EtYjJkYi00M2M2LWIzZGMtYTJlYzUwOTdhNDc4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
              <w:id w:val="476494679"/>
              <w:placeholder>
                <w:docPart w:val="DefaultPlaceholder_-1854013440"/>
              </w:placeholder>
            </w:sdtPr>
            <w:sdtContent>
              <w:p w14:paraId="3920D035" w14:textId="35FCD594"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(Pohlit et al., 2011)</w:t>
                </w:r>
              </w:p>
            </w:sdtContent>
          </w:sdt>
        </w:tc>
        <w:tc>
          <w:tcPr>
            <w:tcW w:w="1333" w:type="dxa"/>
            <w:vAlign w:val="center"/>
          </w:tcPr>
          <w:p w14:paraId="3AE05566" w14:textId="77DE935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Brazil</w:t>
            </w:r>
          </w:p>
        </w:tc>
        <w:tc>
          <w:tcPr>
            <w:tcW w:w="1538" w:type="dxa"/>
            <w:vAlign w:val="center"/>
          </w:tcPr>
          <w:p w14:paraId="4B390338" w14:textId="30C7432D"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Carapa guianensis</w:t>
            </w:r>
          </w:p>
        </w:tc>
        <w:tc>
          <w:tcPr>
            <w:tcW w:w="1346" w:type="dxa"/>
            <w:vAlign w:val="center"/>
          </w:tcPr>
          <w:p w14:paraId="653D5B06" w14:textId="6768F5C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Limonoids</w:t>
            </w:r>
          </w:p>
        </w:tc>
        <w:tc>
          <w:tcPr>
            <w:tcW w:w="1244" w:type="dxa"/>
            <w:vAlign w:val="center"/>
          </w:tcPr>
          <w:p w14:paraId="7DD9F3A8" w14:textId="40A9CAB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Fixed oil</w:t>
            </w:r>
          </w:p>
        </w:tc>
        <w:tc>
          <w:tcPr>
            <w:tcW w:w="761" w:type="dxa"/>
            <w:vAlign w:val="center"/>
          </w:tcPr>
          <w:p w14:paraId="2D656540" w14:textId="4CD32FF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100%</w:t>
            </w:r>
          </w:p>
        </w:tc>
        <w:tc>
          <w:tcPr>
            <w:tcW w:w="966" w:type="dxa"/>
            <w:vAlign w:val="center"/>
          </w:tcPr>
          <w:p w14:paraId="25EA0D69" w14:textId="5CE2F96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1F1141B9" w14:textId="0A85ED5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50</w:t>
            </w:r>
          </w:p>
        </w:tc>
        <w:tc>
          <w:tcPr>
            <w:tcW w:w="1011" w:type="dxa"/>
            <w:vAlign w:val="center"/>
          </w:tcPr>
          <w:p w14:paraId="7413221B" w14:textId="4EEFA43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1D106617" w14:textId="2095D04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0.55</w:t>
            </w:r>
          </w:p>
        </w:tc>
        <w:tc>
          <w:tcPr>
            <w:tcW w:w="833" w:type="dxa"/>
            <w:vAlign w:val="center"/>
          </w:tcPr>
          <w:p w14:paraId="192932A3" w14:textId="4CBF0D9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45%</w:t>
            </w:r>
          </w:p>
        </w:tc>
        <w:tc>
          <w:tcPr>
            <w:tcW w:w="868" w:type="dxa"/>
            <w:vAlign w:val="center"/>
          </w:tcPr>
          <w:p w14:paraId="5C88461E" w14:textId="5878AFD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Some concerns</w:t>
            </w:r>
          </w:p>
        </w:tc>
      </w:tr>
      <w:tr w:rsidR="00A5642E" w:rsidRPr="00F5462A" w14:paraId="2E5D8F35" w14:textId="77777777" w:rsidTr="00470AA5">
        <w:tc>
          <w:tcPr>
            <w:tcW w:w="562" w:type="dxa"/>
            <w:vAlign w:val="center"/>
          </w:tcPr>
          <w:p w14:paraId="5EC3368C"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
              <w:id w:val="-611673476"/>
              <w:placeholder>
                <w:docPart w:val="DefaultPlaceholder_-1854013440"/>
              </w:placeholder>
            </w:sdtPr>
            <w:sdtContent>
              <w:p w14:paraId="0AF188E4" w14:textId="225EA04A"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(Tan et al., 2019)</w:t>
                </w:r>
              </w:p>
            </w:sdtContent>
          </w:sdt>
        </w:tc>
        <w:tc>
          <w:tcPr>
            <w:tcW w:w="1333" w:type="dxa"/>
            <w:vAlign w:val="center"/>
          </w:tcPr>
          <w:p w14:paraId="6F1D428E" w14:textId="0185D75A" w:rsidR="00A5642E" w:rsidRPr="00F5462A" w:rsidRDefault="000252C7"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California</w:t>
            </w:r>
          </w:p>
        </w:tc>
        <w:tc>
          <w:tcPr>
            <w:tcW w:w="1538" w:type="dxa"/>
            <w:vAlign w:val="center"/>
          </w:tcPr>
          <w:p w14:paraId="508F3679" w14:textId="150618E9" w:rsidR="00A5642E" w:rsidRPr="00F5462A" w:rsidRDefault="000252C7" w:rsidP="00F5462A">
            <w:pPr>
              <w:spacing w:line="240" w:lineRule="auto"/>
              <w:ind w:left="0" w:firstLine="0"/>
              <w:jc w:val="center"/>
              <w:rPr>
                <w:rFonts w:ascii="Arial" w:hAnsi="Arial" w:cs="Arial"/>
                <w:i/>
                <w:iCs/>
                <w:sz w:val="20"/>
                <w:szCs w:val="20"/>
                <w:lang w:val="en-ID"/>
              </w:rPr>
            </w:pPr>
            <w:r w:rsidRPr="00F5462A">
              <w:rPr>
                <w:rStyle w:val="Emphasis"/>
                <w:rFonts w:ascii="Arial" w:hAnsi="Arial" w:cs="Arial"/>
                <w:i w:val="0"/>
                <w:iCs w:val="0"/>
                <w:color w:val="1A1A2E"/>
                <w:sz w:val="20"/>
                <w:szCs w:val="20"/>
              </w:rPr>
              <w:t>Indian Clove</w:t>
            </w:r>
          </w:p>
        </w:tc>
        <w:tc>
          <w:tcPr>
            <w:tcW w:w="1346" w:type="dxa"/>
            <w:vAlign w:val="center"/>
          </w:tcPr>
          <w:p w14:paraId="2129A796" w14:textId="0C8B779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Eugenol</w:t>
            </w:r>
          </w:p>
        </w:tc>
        <w:tc>
          <w:tcPr>
            <w:tcW w:w="1244" w:type="dxa"/>
            <w:vAlign w:val="center"/>
          </w:tcPr>
          <w:p w14:paraId="560EE0FC" w14:textId="5D778D7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Oil-in-water emulsion</w:t>
            </w:r>
          </w:p>
        </w:tc>
        <w:tc>
          <w:tcPr>
            <w:tcW w:w="761" w:type="dxa"/>
            <w:vAlign w:val="center"/>
          </w:tcPr>
          <w:p w14:paraId="13DA05EE" w14:textId="4E7AA4C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w:t>
            </w:r>
          </w:p>
        </w:tc>
        <w:tc>
          <w:tcPr>
            <w:tcW w:w="966" w:type="dxa"/>
            <w:vAlign w:val="center"/>
          </w:tcPr>
          <w:p w14:paraId="2E2241E5" w14:textId="5210805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Lab bioassay</w:t>
            </w:r>
          </w:p>
        </w:tc>
        <w:tc>
          <w:tcPr>
            <w:tcW w:w="484" w:type="dxa"/>
            <w:vAlign w:val="center"/>
          </w:tcPr>
          <w:p w14:paraId="7346BE23" w14:textId="5E189B3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30</w:t>
            </w:r>
          </w:p>
        </w:tc>
        <w:tc>
          <w:tcPr>
            <w:tcW w:w="1011" w:type="dxa"/>
            <w:vAlign w:val="center"/>
          </w:tcPr>
          <w:p w14:paraId="7BF93DA5" w14:textId="71067DD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rate</w:t>
            </w:r>
          </w:p>
        </w:tc>
        <w:tc>
          <w:tcPr>
            <w:tcW w:w="591" w:type="dxa"/>
            <w:vAlign w:val="center"/>
          </w:tcPr>
          <w:p w14:paraId="23BEE9BD" w14:textId="6C98620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0.21</w:t>
            </w:r>
          </w:p>
        </w:tc>
        <w:tc>
          <w:tcPr>
            <w:tcW w:w="833" w:type="dxa"/>
            <w:vAlign w:val="center"/>
          </w:tcPr>
          <w:p w14:paraId="6E19C8CE" w14:textId="1F1753C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79%</w:t>
            </w:r>
          </w:p>
        </w:tc>
        <w:tc>
          <w:tcPr>
            <w:tcW w:w="868" w:type="dxa"/>
            <w:vAlign w:val="center"/>
          </w:tcPr>
          <w:p w14:paraId="6E397C2C" w14:textId="5CF5272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4AA5F0C0" w14:textId="77777777" w:rsidTr="00470AA5">
        <w:trPr>
          <w:trHeight w:val="219"/>
        </w:trPr>
        <w:tc>
          <w:tcPr>
            <w:tcW w:w="562" w:type="dxa"/>
          </w:tcPr>
          <w:p w14:paraId="4EF86D13"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209494689"/>
              <w:placeholder>
                <w:docPart w:val="DefaultPlaceholder_-1854013440"/>
              </w:placeholder>
            </w:sdtPr>
            <w:sdtContent>
              <w:p w14:paraId="20D86C48" w14:textId="62CF5513"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(Solomon et al., 2012)</w:t>
                </w:r>
              </w:p>
            </w:sdtContent>
          </w:sdt>
        </w:tc>
        <w:tc>
          <w:tcPr>
            <w:tcW w:w="1333" w:type="dxa"/>
            <w:vAlign w:val="center"/>
          </w:tcPr>
          <w:p w14:paraId="29BEDB20" w14:textId="66D6217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USA</w:t>
            </w:r>
          </w:p>
        </w:tc>
        <w:tc>
          <w:tcPr>
            <w:tcW w:w="1538" w:type="dxa"/>
            <w:vAlign w:val="center"/>
          </w:tcPr>
          <w:p w14:paraId="61DC9BEB" w14:textId="286277F1" w:rsidR="00716940" w:rsidRPr="00F5462A" w:rsidRDefault="00B75493" w:rsidP="00F5462A">
            <w:pPr>
              <w:spacing w:line="240" w:lineRule="auto"/>
              <w:ind w:left="0" w:firstLine="0"/>
              <w:jc w:val="center"/>
              <w:rPr>
                <w:rStyle w:val="Emphasis"/>
                <w:rFonts w:ascii="Arial" w:hAnsi="Arial" w:cs="Arial"/>
                <w:color w:val="1A1A2E"/>
                <w:sz w:val="20"/>
                <w:szCs w:val="20"/>
              </w:rPr>
            </w:pPr>
            <w:r w:rsidRPr="00F5462A">
              <w:rPr>
                <w:rStyle w:val="Emphasis"/>
                <w:rFonts w:ascii="Arial" w:hAnsi="Arial" w:cs="Arial"/>
                <w:color w:val="1A1A2E"/>
                <w:sz w:val="20"/>
                <w:szCs w:val="20"/>
              </w:rPr>
              <w:t xml:space="preserve">C. </w:t>
            </w:r>
            <w:r w:rsidR="00716940" w:rsidRPr="00F5462A">
              <w:rPr>
                <w:rStyle w:val="Emphasis"/>
                <w:rFonts w:ascii="Arial" w:hAnsi="Arial" w:cs="Arial"/>
                <w:color w:val="1A1A2E"/>
                <w:sz w:val="20"/>
                <w:szCs w:val="20"/>
              </w:rPr>
              <w:t>citratus</w:t>
            </w:r>
          </w:p>
          <w:p w14:paraId="40AC94CC" w14:textId="77777777" w:rsidR="00B75493" w:rsidRPr="00F5462A" w:rsidRDefault="00B75493" w:rsidP="00F5462A">
            <w:pPr>
              <w:spacing w:line="240" w:lineRule="auto"/>
              <w:ind w:left="0" w:firstLine="0"/>
              <w:jc w:val="center"/>
              <w:rPr>
                <w:rStyle w:val="Emphasis"/>
                <w:rFonts w:ascii="Arial" w:hAnsi="Arial" w:cs="Arial"/>
                <w:color w:val="1A1A2E"/>
                <w:sz w:val="20"/>
                <w:szCs w:val="20"/>
              </w:rPr>
            </w:pPr>
            <w:r w:rsidRPr="00F5462A">
              <w:rPr>
                <w:rStyle w:val="Emphasis"/>
                <w:rFonts w:ascii="Arial" w:hAnsi="Arial" w:cs="Arial"/>
                <w:color w:val="1A1A2E"/>
                <w:sz w:val="20"/>
                <w:szCs w:val="20"/>
              </w:rPr>
              <w:t xml:space="preserve">C. </w:t>
            </w:r>
            <w:r w:rsidR="00716940" w:rsidRPr="00F5462A">
              <w:rPr>
                <w:rStyle w:val="Emphasis"/>
                <w:rFonts w:ascii="Arial" w:hAnsi="Arial" w:cs="Arial"/>
                <w:color w:val="1A1A2E"/>
                <w:sz w:val="20"/>
                <w:szCs w:val="20"/>
              </w:rPr>
              <w:t xml:space="preserve">nardus </w:t>
            </w:r>
          </w:p>
          <w:p w14:paraId="19E933B8" w14:textId="3483D5C4" w:rsidR="00A5642E" w:rsidRPr="00F5462A" w:rsidRDefault="00B75493" w:rsidP="00F5462A">
            <w:pPr>
              <w:spacing w:line="240" w:lineRule="auto"/>
              <w:ind w:left="0" w:firstLine="0"/>
              <w:jc w:val="center"/>
              <w:rPr>
                <w:rFonts w:ascii="Arial" w:hAnsi="Arial" w:cs="Arial"/>
                <w:i/>
                <w:iCs/>
                <w:color w:val="1A1A2E"/>
                <w:sz w:val="20"/>
                <w:szCs w:val="20"/>
              </w:rPr>
            </w:pPr>
            <w:r w:rsidRPr="00F5462A">
              <w:rPr>
                <w:rStyle w:val="Emphasis"/>
                <w:rFonts w:ascii="Arial" w:hAnsi="Arial" w:cs="Arial"/>
                <w:color w:val="1A1A2E"/>
                <w:sz w:val="20"/>
                <w:szCs w:val="20"/>
              </w:rPr>
              <w:t xml:space="preserve">E. </w:t>
            </w:r>
            <w:r w:rsidR="00A5642E" w:rsidRPr="00F5462A">
              <w:rPr>
                <w:rStyle w:val="Emphasis"/>
                <w:rFonts w:ascii="Arial" w:hAnsi="Arial" w:cs="Arial"/>
                <w:color w:val="1A1A2E"/>
                <w:sz w:val="20"/>
                <w:szCs w:val="20"/>
              </w:rPr>
              <w:t>citriodora</w:t>
            </w:r>
          </w:p>
        </w:tc>
        <w:tc>
          <w:tcPr>
            <w:tcW w:w="1346" w:type="dxa"/>
            <w:vAlign w:val="center"/>
          </w:tcPr>
          <w:p w14:paraId="2271CC33" w14:textId="264D9B9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PMD</w:t>
            </w:r>
          </w:p>
        </w:tc>
        <w:tc>
          <w:tcPr>
            <w:tcW w:w="1244" w:type="dxa"/>
            <w:vAlign w:val="center"/>
          </w:tcPr>
          <w:p w14:paraId="02B37668" w14:textId="7C370CC1" w:rsidR="00A5642E" w:rsidRPr="00F5462A" w:rsidRDefault="000D7655"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 xml:space="preserve">Blended oil, </w:t>
            </w:r>
            <w:r w:rsidR="00BA2879" w:rsidRPr="00F5462A">
              <w:rPr>
                <w:rFonts w:ascii="Arial" w:hAnsi="Arial" w:cs="Arial"/>
                <w:color w:val="1A1A2E"/>
                <w:sz w:val="20"/>
                <w:szCs w:val="20"/>
              </w:rPr>
              <w:t>ointments</w:t>
            </w:r>
            <w:r w:rsidRPr="00F5462A">
              <w:rPr>
                <w:rFonts w:ascii="Arial" w:hAnsi="Arial" w:cs="Arial"/>
                <w:color w:val="1A1A2E"/>
                <w:sz w:val="20"/>
                <w:szCs w:val="20"/>
              </w:rPr>
              <w:t>, cream</w:t>
            </w:r>
            <w:r w:rsidR="00A5642E" w:rsidRPr="00F5462A">
              <w:rPr>
                <w:rFonts w:ascii="Arial" w:hAnsi="Arial" w:cs="Arial"/>
                <w:color w:val="1A1A2E"/>
                <w:sz w:val="20"/>
                <w:szCs w:val="20"/>
              </w:rPr>
              <w:t xml:space="preserve"> </w:t>
            </w:r>
          </w:p>
        </w:tc>
        <w:tc>
          <w:tcPr>
            <w:tcW w:w="761" w:type="dxa"/>
            <w:vAlign w:val="center"/>
          </w:tcPr>
          <w:p w14:paraId="39D217E6" w14:textId="5D03A41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40%</w:t>
            </w:r>
          </w:p>
        </w:tc>
        <w:tc>
          <w:tcPr>
            <w:tcW w:w="966" w:type="dxa"/>
            <w:vAlign w:val="center"/>
          </w:tcPr>
          <w:p w14:paraId="4BEB9B2A" w14:textId="6FBAC2A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28AC651D" w14:textId="6ACB22C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90</w:t>
            </w:r>
          </w:p>
        </w:tc>
        <w:tc>
          <w:tcPr>
            <w:tcW w:w="1011" w:type="dxa"/>
            <w:vAlign w:val="center"/>
          </w:tcPr>
          <w:p w14:paraId="78AFCE9E" w14:textId="0E02853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inhibition</w:t>
            </w:r>
          </w:p>
        </w:tc>
        <w:tc>
          <w:tcPr>
            <w:tcW w:w="591" w:type="dxa"/>
            <w:vAlign w:val="center"/>
          </w:tcPr>
          <w:p w14:paraId="0B966F60" w14:textId="2CF6935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0.35</w:t>
            </w:r>
          </w:p>
        </w:tc>
        <w:tc>
          <w:tcPr>
            <w:tcW w:w="833" w:type="dxa"/>
            <w:vAlign w:val="center"/>
          </w:tcPr>
          <w:p w14:paraId="253B5F9D" w14:textId="23D0DE0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65%</w:t>
            </w:r>
          </w:p>
        </w:tc>
        <w:tc>
          <w:tcPr>
            <w:tcW w:w="868" w:type="dxa"/>
            <w:vAlign w:val="center"/>
          </w:tcPr>
          <w:p w14:paraId="71CFC42D" w14:textId="1EE1AC0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CA51E89" w14:textId="77777777" w:rsidTr="00470AA5">
        <w:tc>
          <w:tcPr>
            <w:tcW w:w="562" w:type="dxa"/>
          </w:tcPr>
          <w:p w14:paraId="0125DCD3"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154815079"/>
              <w:placeholder>
                <w:docPart w:val="DefaultPlaceholder_-1854013440"/>
              </w:placeholder>
            </w:sdtPr>
            <w:sdtContent>
              <w:p w14:paraId="37FDF8ED" w14:textId="4361087A"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(Sansabhilla et al., 2020)</w:t>
                </w:r>
              </w:p>
            </w:sdtContent>
          </w:sdt>
        </w:tc>
        <w:tc>
          <w:tcPr>
            <w:tcW w:w="1333" w:type="dxa"/>
            <w:vAlign w:val="center"/>
          </w:tcPr>
          <w:p w14:paraId="254378A3" w14:textId="61C36CCC" w:rsidR="00A5642E" w:rsidRPr="00F5462A" w:rsidRDefault="000D7655"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Indonesia</w:t>
            </w:r>
          </w:p>
        </w:tc>
        <w:tc>
          <w:tcPr>
            <w:tcW w:w="1538" w:type="dxa"/>
            <w:vAlign w:val="center"/>
          </w:tcPr>
          <w:p w14:paraId="2877C535" w14:textId="288A8A6F"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Glycine max</w:t>
            </w:r>
          </w:p>
        </w:tc>
        <w:tc>
          <w:tcPr>
            <w:tcW w:w="1346" w:type="dxa"/>
            <w:vAlign w:val="center"/>
          </w:tcPr>
          <w:p w14:paraId="15D53A61" w14:textId="65ED89E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Soybean fatty acids</w:t>
            </w:r>
          </w:p>
        </w:tc>
        <w:tc>
          <w:tcPr>
            <w:tcW w:w="1244" w:type="dxa"/>
            <w:vAlign w:val="center"/>
          </w:tcPr>
          <w:p w14:paraId="302D5097" w14:textId="64D165D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 lotion</w:t>
            </w:r>
          </w:p>
        </w:tc>
        <w:tc>
          <w:tcPr>
            <w:tcW w:w="761" w:type="dxa"/>
            <w:vAlign w:val="center"/>
          </w:tcPr>
          <w:p w14:paraId="557970EB" w14:textId="503D0F5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w:t>
            </w:r>
          </w:p>
        </w:tc>
        <w:tc>
          <w:tcPr>
            <w:tcW w:w="966" w:type="dxa"/>
            <w:vAlign w:val="center"/>
          </w:tcPr>
          <w:p w14:paraId="2EEDCCD3" w14:textId="51838BA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73D7923E" w14:textId="3E922F5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180</w:t>
            </w:r>
          </w:p>
        </w:tc>
        <w:tc>
          <w:tcPr>
            <w:tcW w:w="1011" w:type="dxa"/>
            <w:vAlign w:val="center"/>
          </w:tcPr>
          <w:p w14:paraId="30123B54" w14:textId="092FA92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Protection time</w:t>
            </w:r>
          </w:p>
        </w:tc>
        <w:tc>
          <w:tcPr>
            <w:tcW w:w="591" w:type="dxa"/>
            <w:vAlign w:val="center"/>
          </w:tcPr>
          <w:p w14:paraId="467AC115" w14:textId="0A8066B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0.60</w:t>
            </w:r>
          </w:p>
        </w:tc>
        <w:tc>
          <w:tcPr>
            <w:tcW w:w="833" w:type="dxa"/>
            <w:vAlign w:val="center"/>
          </w:tcPr>
          <w:p w14:paraId="6E4E2BFA" w14:textId="2EB4BB9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40%</w:t>
            </w:r>
          </w:p>
        </w:tc>
        <w:tc>
          <w:tcPr>
            <w:tcW w:w="868" w:type="dxa"/>
            <w:vAlign w:val="center"/>
          </w:tcPr>
          <w:p w14:paraId="47F9FE7F" w14:textId="668E4F6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704EA94E" w14:textId="77777777" w:rsidTr="00470AA5">
        <w:tc>
          <w:tcPr>
            <w:tcW w:w="562" w:type="dxa"/>
          </w:tcPr>
          <w:p w14:paraId="09C888D5"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
              <w:id w:val="-385875898"/>
              <w:placeholder>
                <w:docPart w:val="DefaultPlaceholder_-1854013440"/>
              </w:placeholder>
            </w:sdtPr>
            <w:sdtContent>
              <w:p w14:paraId="06C7C70F" w14:textId="50DF929E"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(Pulido et al., 2022)</w:t>
                </w:r>
              </w:p>
            </w:sdtContent>
          </w:sdt>
        </w:tc>
        <w:tc>
          <w:tcPr>
            <w:tcW w:w="1333" w:type="dxa"/>
            <w:vAlign w:val="center"/>
          </w:tcPr>
          <w:p w14:paraId="392C4365" w14:textId="4F03286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Germany</w:t>
            </w:r>
          </w:p>
        </w:tc>
        <w:tc>
          <w:tcPr>
            <w:tcW w:w="1538" w:type="dxa"/>
            <w:vAlign w:val="center"/>
          </w:tcPr>
          <w:p w14:paraId="72225553" w14:textId="4731E9D5"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Cymbopogon winterianus</w:t>
            </w:r>
          </w:p>
        </w:tc>
        <w:tc>
          <w:tcPr>
            <w:tcW w:w="1346" w:type="dxa"/>
            <w:vAlign w:val="center"/>
          </w:tcPr>
          <w:p w14:paraId="2A3056FA" w14:textId="60E4783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Citronellal</w:t>
            </w:r>
          </w:p>
        </w:tc>
        <w:tc>
          <w:tcPr>
            <w:tcW w:w="1244" w:type="dxa"/>
            <w:vAlign w:val="center"/>
          </w:tcPr>
          <w:p w14:paraId="1B85782F" w14:textId="37E53FD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Topical lotion</w:t>
            </w:r>
          </w:p>
        </w:tc>
        <w:tc>
          <w:tcPr>
            <w:tcW w:w="761" w:type="dxa"/>
            <w:vAlign w:val="center"/>
          </w:tcPr>
          <w:p w14:paraId="6A6061DD" w14:textId="70CEA46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0E973D5F" w14:textId="4285A49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5B1A1012" w14:textId="1C08E07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78</w:t>
            </w:r>
          </w:p>
        </w:tc>
        <w:tc>
          <w:tcPr>
            <w:tcW w:w="1011" w:type="dxa"/>
            <w:vAlign w:val="center"/>
          </w:tcPr>
          <w:p w14:paraId="11E762FA" w14:textId="1B992A3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inhibition</w:t>
            </w:r>
          </w:p>
        </w:tc>
        <w:tc>
          <w:tcPr>
            <w:tcW w:w="591" w:type="dxa"/>
            <w:vAlign w:val="center"/>
          </w:tcPr>
          <w:p w14:paraId="74CCBB87" w14:textId="7AF19E6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0.48</w:t>
            </w:r>
          </w:p>
        </w:tc>
        <w:tc>
          <w:tcPr>
            <w:tcW w:w="833" w:type="dxa"/>
            <w:vAlign w:val="center"/>
          </w:tcPr>
          <w:p w14:paraId="6D431869" w14:textId="3533CCD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52%</w:t>
            </w:r>
          </w:p>
        </w:tc>
        <w:tc>
          <w:tcPr>
            <w:tcW w:w="868" w:type="dxa"/>
            <w:vAlign w:val="center"/>
          </w:tcPr>
          <w:p w14:paraId="420C636A" w14:textId="1F45853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2EC2E57B" w14:textId="77777777" w:rsidTr="00470AA5">
        <w:tc>
          <w:tcPr>
            <w:tcW w:w="562" w:type="dxa"/>
          </w:tcPr>
          <w:p w14:paraId="4DB5F587"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"/>
              <w:id w:val="-1028560363"/>
              <w:placeholder>
                <w:docPart w:val="DefaultPlaceholder_-1854013440"/>
              </w:placeholder>
            </w:sdtPr>
            <w:sdtContent>
              <w:p w14:paraId="7CDC3AF0" w14:textId="2B332EB1"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(Chatterjee et al., 2023)</w:t>
                </w:r>
              </w:p>
            </w:sdtContent>
          </w:sdt>
        </w:tc>
        <w:tc>
          <w:tcPr>
            <w:tcW w:w="1333" w:type="dxa"/>
            <w:vAlign w:val="center"/>
          </w:tcPr>
          <w:p w14:paraId="27CE0E0A" w14:textId="65D194D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Pakistan</w:t>
            </w:r>
          </w:p>
        </w:tc>
        <w:tc>
          <w:tcPr>
            <w:tcW w:w="1538" w:type="dxa"/>
            <w:vAlign w:val="center"/>
          </w:tcPr>
          <w:p w14:paraId="26FD4B0F" w14:textId="66C16007"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A. indica</w:t>
            </w:r>
            <w:r w:rsidRPr="00F5462A">
              <w:rPr>
                <w:rFonts w:ascii="Arial" w:hAnsi="Arial" w:cs="Arial"/>
                <w:color w:val="1A1A2E"/>
                <w:sz w:val="20"/>
                <w:szCs w:val="20"/>
              </w:rPr>
              <w:t> </w:t>
            </w:r>
          </w:p>
        </w:tc>
        <w:tc>
          <w:tcPr>
            <w:tcW w:w="1346" w:type="dxa"/>
            <w:vAlign w:val="center"/>
          </w:tcPr>
          <w:p w14:paraId="5E35457B" w14:textId="641DCA5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Azadirachtin</w:t>
            </w:r>
          </w:p>
        </w:tc>
        <w:tc>
          <w:tcPr>
            <w:tcW w:w="1244" w:type="dxa"/>
            <w:vAlign w:val="center"/>
          </w:tcPr>
          <w:p w14:paraId="3CB76104" w14:textId="3870CBF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Blended oil</w:t>
            </w:r>
          </w:p>
        </w:tc>
        <w:tc>
          <w:tcPr>
            <w:tcW w:w="761" w:type="dxa"/>
            <w:vAlign w:val="center"/>
          </w:tcPr>
          <w:p w14:paraId="6211AE6B" w14:textId="5A4C829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5+5%</w:t>
            </w:r>
          </w:p>
        </w:tc>
        <w:tc>
          <w:tcPr>
            <w:tcW w:w="966" w:type="dxa"/>
            <w:vAlign w:val="center"/>
          </w:tcPr>
          <w:p w14:paraId="5B5D2226" w14:textId="443BA55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Quasi-exp.</w:t>
            </w:r>
          </w:p>
        </w:tc>
        <w:tc>
          <w:tcPr>
            <w:tcW w:w="484" w:type="dxa"/>
            <w:vAlign w:val="center"/>
          </w:tcPr>
          <w:p w14:paraId="1EF3FF7F" w14:textId="3F43C2F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40</w:t>
            </w:r>
          </w:p>
        </w:tc>
        <w:tc>
          <w:tcPr>
            <w:tcW w:w="1011" w:type="dxa"/>
            <w:vAlign w:val="center"/>
          </w:tcPr>
          <w:p w14:paraId="119D7000" w14:textId="259A6F7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5FDE60B4" w14:textId="22577F8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0.26</w:t>
            </w:r>
          </w:p>
        </w:tc>
        <w:tc>
          <w:tcPr>
            <w:tcW w:w="833" w:type="dxa"/>
            <w:vAlign w:val="center"/>
          </w:tcPr>
          <w:p w14:paraId="7130B5C6" w14:textId="3C43A73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74%</w:t>
            </w:r>
          </w:p>
        </w:tc>
        <w:tc>
          <w:tcPr>
            <w:tcW w:w="868" w:type="dxa"/>
            <w:vAlign w:val="center"/>
          </w:tcPr>
          <w:p w14:paraId="74BA6BB5" w14:textId="0A736D4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Some concerns</w:t>
            </w:r>
          </w:p>
        </w:tc>
      </w:tr>
      <w:tr w:rsidR="00A5642E" w:rsidRPr="00F5462A" w14:paraId="5B838B25" w14:textId="77777777" w:rsidTr="00470AA5">
        <w:tc>
          <w:tcPr>
            <w:tcW w:w="562" w:type="dxa"/>
          </w:tcPr>
          <w:p w14:paraId="0296200A"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
              <w:id w:val="932626202"/>
              <w:placeholder>
                <w:docPart w:val="DefaultPlaceholder_-1854013440"/>
              </w:placeholder>
            </w:sdtPr>
            <w:sdtContent>
              <w:p w14:paraId="0CA5BBC7" w14:textId="4FF97389"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(Drapeau et al., 2011)</w:t>
                </w:r>
              </w:p>
            </w:sdtContent>
          </w:sdt>
        </w:tc>
        <w:tc>
          <w:tcPr>
            <w:tcW w:w="1333" w:type="dxa"/>
            <w:vAlign w:val="center"/>
          </w:tcPr>
          <w:p w14:paraId="4D216D0D" w14:textId="3431930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Germany</w:t>
            </w:r>
          </w:p>
        </w:tc>
        <w:tc>
          <w:tcPr>
            <w:tcW w:w="1538" w:type="dxa"/>
            <w:vAlign w:val="center"/>
          </w:tcPr>
          <w:p w14:paraId="16616890" w14:textId="6CE1D6FE"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Eucalyptus citriodora</w:t>
            </w:r>
          </w:p>
        </w:tc>
        <w:tc>
          <w:tcPr>
            <w:tcW w:w="1346" w:type="dxa"/>
            <w:vAlign w:val="center"/>
          </w:tcPr>
          <w:p w14:paraId="31F511D0" w14:textId="2F01C69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PMD</w:t>
            </w:r>
          </w:p>
        </w:tc>
        <w:tc>
          <w:tcPr>
            <w:tcW w:w="1244" w:type="dxa"/>
            <w:vAlign w:val="center"/>
          </w:tcPr>
          <w:p w14:paraId="21B92691" w14:textId="722D1DB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Lotion</w:t>
            </w:r>
          </w:p>
        </w:tc>
        <w:tc>
          <w:tcPr>
            <w:tcW w:w="761" w:type="dxa"/>
            <w:vAlign w:val="center"/>
          </w:tcPr>
          <w:p w14:paraId="57093F86" w14:textId="47DA0DE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26%</w:t>
            </w:r>
          </w:p>
        </w:tc>
        <w:tc>
          <w:tcPr>
            <w:tcW w:w="966" w:type="dxa"/>
            <w:vAlign w:val="center"/>
          </w:tcPr>
          <w:p w14:paraId="18D6D006" w14:textId="135382A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03F72F94" w14:textId="05C700B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95</w:t>
            </w:r>
          </w:p>
        </w:tc>
        <w:tc>
          <w:tcPr>
            <w:tcW w:w="1011" w:type="dxa"/>
            <w:vAlign w:val="center"/>
          </w:tcPr>
          <w:p w14:paraId="3CE8F97D" w14:textId="3E72C54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50B7F724" w14:textId="11C5613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0.30</w:t>
            </w:r>
          </w:p>
        </w:tc>
        <w:tc>
          <w:tcPr>
            <w:tcW w:w="833" w:type="dxa"/>
            <w:vAlign w:val="center"/>
          </w:tcPr>
          <w:p w14:paraId="3C910BE7" w14:textId="44CB058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70%</w:t>
            </w:r>
          </w:p>
        </w:tc>
        <w:tc>
          <w:tcPr>
            <w:tcW w:w="868" w:type="dxa"/>
            <w:vAlign w:val="center"/>
          </w:tcPr>
          <w:p w14:paraId="23825F02" w14:textId="3BA02E0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1A5A299D" w14:textId="77777777" w:rsidTr="00470AA5">
        <w:tc>
          <w:tcPr>
            <w:tcW w:w="562" w:type="dxa"/>
          </w:tcPr>
          <w:p w14:paraId="465C4117"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
              <w:id w:val="-103734297"/>
              <w:placeholder>
                <w:docPart w:val="DefaultPlaceholder_-1854013440"/>
              </w:placeholder>
            </w:sdtPr>
            <w:sdtContent>
              <w:p w14:paraId="5719E4C0" w14:textId="4772FA2E"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(Silva et al., 2006)</w:t>
                </w:r>
              </w:p>
            </w:sdtContent>
          </w:sdt>
        </w:tc>
        <w:tc>
          <w:tcPr>
            <w:tcW w:w="1333" w:type="dxa"/>
            <w:vAlign w:val="center"/>
          </w:tcPr>
          <w:p w14:paraId="17698400" w14:textId="73963A0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Brazil</w:t>
            </w:r>
          </w:p>
        </w:tc>
        <w:tc>
          <w:tcPr>
            <w:tcW w:w="1538" w:type="dxa"/>
            <w:vAlign w:val="center"/>
          </w:tcPr>
          <w:p w14:paraId="45F9BD34" w14:textId="653CFC47"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Carapa guianensis</w:t>
            </w:r>
          </w:p>
        </w:tc>
        <w:tc>
          <w:tcPr>
            <w:tcW w:w="1346" w:type="dxa"/>
            <w:vAlign w:val="center"/>
          </w:tcPr>
          <w:p w14:paraId="18DC5F7E" w14:textId="6FA7129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Limonoids, oleic acid</w:t>
            </w:r>
          </w:p>
        </w:tc>
        <w:tc>
          <w:tcPr>
            <w:tcW w:w="1244" w:type="dxa"/>
            <w:vAlign w:val="center"/>
          </w:tcPr>
          <w:p w14:paraId="594811F4" w14:textId="77824E0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Emulsion</w:t>
            </w:r>
          </w:p>
        </w:tc>
        <w:tc>
          <w:tcPr>
            <w:tcW w:w="761" w:type="dxa"/>
            <w:vAlign w:val="center"/>
          </w:tcPr>
          <w:p w14:paraId="3CE5ABC9" w14:textId="5CF75A1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25%</w:t>
            </w:r>
          </w:p>
        </w:tc>
        <w:tc>
          <w:tcPr>
            <w:tcW w:w="966" w:type="dxa"/>
            <w:vAlign w:val="center"/>
          </w:tcPr>
          <w:p w14:paraId="51FC184F" w14:textId="184853E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4F3D63D1" w14:textId="29C801E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55</w:t>
            </w:r>
          </w:p>
        </w:tc>
        <w:tc>
          <w:tcPr>
            <w:tcW w:w="1011" w:type="dxa"/>
            <w:vAlign w:val="center"/>
          </w:tcPr>
          <w:p w14:paraId="012B2FF5" w14:textId="78FD3F0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Repellency %</w:t>
            </w:r>
          </w:p>
        </w:tc>
        <w:tc>
          <w:tcPr>
            <w:tcW w:w="591" w:type="dxa"/>
            <w:vAlign w:val="center"/>
          </w:tcPr>
          <w:p w14:paraId="70DB741C" w14:textId="5C2EA99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0.52</w:t>
            </w:r>
          </w:p>
        </w:tc>
        <w:tc>
          <w:tcPr>
            <w:tcW w:w="833" w:type="dxa"/>
            <w:vAlign w:val="center"/>
          </w:tcPr>
          <w:p w14:paraId="2E025986" w14:textId="186361A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48%</w:t>
            </w:r>
          </w:p>
        </w:tc>
        <w:tc>
          <w:tcPr>
            <w:tcW w:w="868" w:type="dxa"/>
            <w:vAlign w:val="center"/>
          </w:tcPr>
          <w:p w14:paraId="2B3138BB" w14:textId="37A5FE4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98A0A0A" w14:textId="77777777" w:rsidTr="00470AA5">
        <w:tc>
          <w:tcPr>
            <w:tcW w:w="562" w:type="dxa"/>
          </w:tcPr>
          <w:p w14:paraId="3512D092"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
              <w:id w:val="-964727107"/>
              <w:placeholder>
                <w:docPart w:val="DefaultPlaceholder_-1854013440"/>
              </w:placeholder>
            </w:sdtPr>
            <w:sdtContent>
              <w:p w14:paraId="464FA880" w14:textId="3757F63D"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(Budiman et al., 2022)</w:t>
                </w:r>
              </w:p>
            </w:sdtContent>
          </w:sdt>
        </w:tc>
        <w:tc>
          <w:tcPr>
            <w:tcW w:w="1333" w:type="dxa"/>
            <w:vAlign w:val="center"/>
          </w:tcPr>
          <w:p w14:paraId="79000971" w14:textId="1935A84F" w:rsidR="00A5642E" w:rsidRPr="00F5462A" w:rsidRDefault="00540144"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Indonesia</w:t>
            </w:r>
          </w:p>
        </w:tc>
        <w:tc>
          <w:tcPr>
            <w:tcW w:w="1538" w:type="dxa"/>
            <w:vAlign w:val="center"/>
          </w:tcPr>
          <w:p w14:paraId="1177372E" w14:textId="3E50BA96"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Syzygium aromaticum</w:t>
            </w:r>
          </w:p>
        </w:tc>
        <w:tc>
          <w:tcPr>
            <w:tcW w:w="1346" w:type="dxa"/>
            <w:vAlign w:val="center"/>
          </w:tcPr>
          <w:p w14:paraId="258C8E65" w14:textId="3A12E2F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Eugenol, β-caryophyllene</w:t>
            </w:r>
          </w:p>
        </w:tc>
        <w:tc>
          <w:tcPr>
            <w:tcW w:w="1244" w:type="dxa"/>
            <w:vAlign w:val="center"/>
          </w:tcPr>
          <w:p w14:paraId="1C3F7264" w14:textId="0199C26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Cream</w:t>
            </w:r>
          </w:p>
        </w:tc>
        <w:tc>
          <w:tcPr>
            <w:tcW w:w="761" w:type="dxa"/>
            <w:vAlign w:val="center"/>
          </w:tcPr>
          <w:p w14:paraId="4914148F" w14:textId="02C2898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22658E90" w14:textId="7C230A2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2D1AF145" w14:textId="6748BCF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42</w:t>
            </w:r>
          </w:p>
        </w:tc>
        <w:tc>
          <w:tcPr>
            <w:tcW w:w="1011" w:type="dxa"/>
            <w:vAlign w:val="center"/>
          </w:tcPr>
          <w:p w14:paraId="7DA6BE6D" w14:textId="6C87002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rate</w:t>
            </w:r>
          </w:p>
        </w:tc>
        <w:tc>
          <w:tcPr>
            <w:tcW w:w="591" w:type="dxa"/>
            <w:vAlign w:val="center"/>
          </w:tcPr>
          <w:p w14:paraId="00E45E0D" w14:textId="052D957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0.19</w:t>
            </w:r>
          </w:p>
        </w:tc>
        <w:tc>
          <w:tcPr>
            <w:tcW w:w="833" w:type="dxa"/>
            <w:vAlign w:val="center"/>
          </w:tcPr>
          <w:p w14:paraId="53F8D557" w14:textId="298AA18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81%</w:t>
            </w:r>
          </w:p>
        </w:tc>
        <w:tc>
          <w:tcPr>
            <w:tcW w:w="868" w:type="dxa"/>
            <w:vAlign w:val="center"/>
          </w:tcPr>
          <w:p w14:paraId="0C1D426D" w14:textId="46631FE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6F99CB0C" w14:textId="77777777" w:rsidTr="00470AA5">
        <w:tc>
          <w:tcPr>
            <w:tcW w:w="562" w:type="dxa"/>
          </w:tcPr>
          <w:p w14:paraId="5A8A3044" w14:textId="77777777" w:rsidR="00A5642E" w:rsidRPr="00F5462A" w:rsidRDefault="00A5642E" w:rsidP="00F5462A">
            <w:pPr>
              <w:pStyle w:val="ListParagraph"/>
              <w:numPr>
                <w:ilvl w:val="0"/>
                <w:numId w:val="1"/>
              </w:numPr>
              <w:spacing w:line="240" w:lineRule="auto"/>
              <w:ind w:left="360"/>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
              <w:id w:val="-1041128193"/>
              <w:placeholder>
                <w:docPart w:val="DefaultPlaceholder_-1854013440"/>
              </w:placeholder>
            </w:sdtPr>
            <w:sdtContent>
              <w:p w14:paraId="21FEB2BC" w14:textId="1DFA98A4"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(Farooq et al., 2022)</w:t>
                </w:r>
              </w:p>
            </w:sdtContent>
          </w:sdt>
        </w:tc>
        <w:tc>
          <w:tcPr>
            <w:tcW w:w="1333" w:type="dxa"/>
            <w:vAlign w:val="center"/>
          </w:tcPr>
          <w:p w14:paraId="431BA87E" w14:textId="2DF8CD9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Thailand</w:t>
            </w:r>
          </w:p>
        </w:tc>
        <w:tc>
          <w:tcPr>
            <w:tcW w:w="1538" w:type="dxa"/>
            <w:vAlign w:val="center"/>
          </w:tcPr>
          <w:p w14:paraId="171BCD95" w14:textId="3CF5209B"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Cymbopogon citratus</w:t>
            </w:r>
          </w:p>
        </w:tc>
        <w:tc>
          <w:tcPr>
            <w:tcW w:w="1346" w:type="dxa"/>
            <w:vAlign w:val="center"/>
          </w:tcPr>
          <w:p w14:paraId="20AA7E82" w14:textId="22F0BDF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Citral (geranial+neral)</w:t>
            </w:r>
          </w:p>
        </w:tc>
        <w:tc>
          <w:tcPr>
            <w:tcW w:w="1244" w:type="dxa"/>
            <w:vAlign w:val="center"/>
          </w:tcPr>
          <w:p w14:paraId="47C40F9A" w14:textId="08B4768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 spray</w:t>
            </w:r>
          </w:p>
        </w:tc>
        <w:tc>
          <w:tcPr>
            <w:tcW w:w="761" w:type="dxa"/>
            <w:vAlign w:val="center"/>
          </w:tcPr>
          <w:p w14:paraId="479760A2" w14:textId="0E343C6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15%</w:t>
            </w:r>
          </w:p>
        </w:tc>
        <w:tc>
          <w:tcPr>
            <w:tcW w:w="966" w:type="dxa"/>
            <w:vAlign w:val="center"/>
          </w:tcPr>
          <w:p w14:paraId="156310F4" w14:textId="04FD7AE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Lab bioassay</w:t>
            </w:r>
          </w:p>
        </w:tc>
        <w:tc>
          <w:tcPr>
            <w:tcW w:w="484" w:type="dxa"/>
            <w:vAlign w:val="center"/>
          </w:tcPr>
          <w:p w14:paraId="148E1BE9" w14:textId="0B60E11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35</w:t>
            </w:r>
          </w:p>
        </w:tc>
        <w:tc>
          <w:tcPr>
            <w:tcW w:w="1011" w:type="dxa"/>
            <w:vAlign w:val="center"/>
          </w:tcPr>
          <w:p w14:paraId="2AD1871F" w14:textId="1EA6E0E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inhibition</w:t>
            </w:r>
          </w:p>
        </w:tc>
        <w:tc>
          <w:tcPr>
            <w:tcW w:w="591" w:type="dxa"/>
            <w:vAlign w:val="center"/>
          </w:tcPr>
          <w:p w14:paraId="4339830F" w14:textId="40CC079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0.43</w:t>
            </w:r>
          </w:p>
        </w:tc>
        <w:tc>
          <w:tcPr>
            <w:tcW w:w="833" w:type="dxa"/>
            <w:vAlign w:val="center"/>
          </w:tcPr>
          <w:p w14:paraId="1065A547" w14:textId="114C2B7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57%</w:t>
            </w:r>
          </w:p>
        </w:tc>
        <w:tc>
          <w:tcPr>
            <w:tcW w:w="868" w:type="dxa"/>
            <w:vAlign w:val="center"/>
          </w:tcPr>
          <w:p w14:paraId="26824B91" w14:textId="322BB7D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65191F80" w14:textId="77777777" w:rsidTr="00470AA5">
        <w:tc>
          <w:tcPr>
            <w:tcW w:w="562" w:type="dxa"/>
            <w:vAlign w:val="center"/>
          </w:tcPr>
          <w:p w14:paraId="4D643035"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"/>
              <w:id w:val="38871001"/>
              <w:placeholder>
                <w:docPart w:val="DefaultPlaceholder_-1854013440"/>
              </w:placeholder>
            </w:sdtPr>
            <w:sdtContent>
              <w:p w14:paraId="3348F34B" w14:textId="424530F8"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(Aniefuna et al., 2025)</w:t>
                </w:r>
              </w:p>
            </w:sdtContent>
          </w:sdt>
        </w:tc>
        <w:tc>
          <w:tcPr>
            <w:tcW w:w="1333" w:type="dxa"/>
            <w:vAlign w:val="center"/>
          </w:tcPr>
          <w:p w14:paraId="10AA6655" w14:textId="33EFBB9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Tanzania</w:t>
            </w:r>
          </w:p>
        </w:tc>
        <w:tc>
          <w:tcPr>
            <w:tcW w:w="1538" w:type="dxa"/>
            <w:vAlign w:val="center"/>
          </w:tcPr>
          <w:p w14:paraId="7424756F" w14:textId="0EFB59A2"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Ocimum gratissimum</w:t>
            </w:r>
          </w:p>
        </w:tc>
        <w:tc>
          <w:tcPr>
            <w:tcW w:w="1346" w:type="dxa"/>
            <w:vAlign w:val="center"/>
          </w:tcPr>
          <w:p w14:paraId="35BA2A1F" w14:textId="5BAA58E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Thymol, eugenol</w:t>
            </w:r>
          </w:p>
        </w:tc>
        <w:tc>
          <w:tcPr>
            <w:tcW w:w="1244" w:type="dxa"/>
            <w:vAlign w:val="center"/>
          </w:tcPr>
          <w:p w14:paraId="41EEB869" w14:textId="31220AA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w:t>
            </w:r>
          </w:p>
        </w:tc>
        <w:tc>
          <w:tcPr>
            <w:tcW w:w="761" w:type="dxa"/>
            <w:vAlign w:val="center"/>
          </w:tcPr>
          <w:p w14:paraId="7E25631E" w14:textId="01FECBD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7B5860F8" w14:textId="26DE823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088CF9AA" w14:textId="41358D8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65</w:t>
            </w:r>
          </w:p>
        </w:tc>
        <w:tc>
          <w:tcPr>
            <w:tcW w:w="1011" w:type="dxa"/>
            <w:vAlign w:val="center"/>
          </w:tcPr>
          <w:p w14:paraId="2352B412" w14:textId="3E82A0C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Repellency %</w:t>
            </w:r>
          </w:p>
        </w:tc>
        <w:tc>
          <w:tcPr>
            <w:tcW w:w="591" w:type="dxa"/>
            <w:vAlign w:val="center"/>
          </w:tcPr>
          <w:p w14:paraId="36D2CAB1" w14:textId="6E4C146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0.37</w:t>
            </w:r>
          </w:p>
        </w:tc>
        <w:tc>
          <w:tcPr>
            <w:tcW w:w="833" w:type="dxa"/>
            <w:vAlign w:val="center"/>
          </w:tcPr>
          <w:p w14:paraId="4FB6ABF6" w14:textId="51AB0DE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63%</w:t>
            </w:r>
          </w:p>
        </w:tc>
        <w:tc>
          <w:tcPr>
            <w:tcW w:w="868" w:type="dxa"/>
            <w:vAlign w:val="center"/>
          </w:tcPr>
          <w:p w14:paraId="2DEFD708" w14:textId="2A409CA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7F2F1718" w14:textId="77777777" w:rsidTr="00470AA5">
        <w:tc>
          <w:tcPr>
            <w:tcW w:w="562" w:type="dxa"/>
            <w:vAlign w:val="center"/>
          </w:tcPr>
          <w:p w14:paraId="11AC1DFA"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YTIxN2VjYTQtNDI4Zi00YTE4LTkwNGQtYjBkZGU3OWM4OGE0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
              <w:id w:val="990443346"/>
              <w:placeholder>
                <w:docPart w:val="DefaultPlaceholder_-1854013440"/>
              </w:placeholder>
            </w:sdtPr>
            <w:sdtContent>
              <w:p w14:paraId="35098DF9" w14:textId="39299D8B"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(de Souza et al., 2019)</w:t>
                </w:r>
              </w:p>
            </w:sdtContent>
          </w:sdt>
        </w:tc>
        <w:tc>
          <w:tcPr>
            <w:tcW w:w="1333" w:type="dxa"/>
            <w:vAlign w:val="center"/>
          </w:tcPr>
          <w:p w14:paraId="4A984F97" w14:textId="30F94D5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Pakistan</w:t>
            </w:r>
          </w:p>
        </w:tc>
        <w:tc>
          <w:tcPr>
            <w:tcW w:w="1538" w:type="dxa"/>
            <w:vAlign w:val="center"/>
          </w:tcPr>
          <w:p w14:paraId="50322E4B" w14:textId="67195E85"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Azadirachta indica</w:t>
            </w:r>
          </w:p>
        </w:tc>
        <w:tc>
          <w:tcPr>
            <w:tcW w:w="1346" w:type="dxa"/>
            <w:vAlign w:val="center"/>
          </w:tcPr>
          <w:p w14:paraId="3026D64D" w14:textId="534BF29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Azadirachtin</w:t>
            </w:r>
          </w:p>
        </w:tc>
        <w:tc>
          <w:tcPr>
            <w:tcW w:w="1244" w:type="dxa"/>
            <w:vAlign w:val="center"/>
          </w:tcPr>
          <w:p w14:paraId="5CF826C1" w14:textId="23A5DE9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Neem oil lotion</w:t>
            </w:r>
          </w:p>
        </w:tc>
        <w:tc>
          <w:tcPr>
            <w:tcW w:w="761" w:type="dxa"/>
            <w:vAlign w:val="center"/>
          </w:tcPr>
          <w:p w14:paraId="36F3B1B3" w14:textId="2D5879D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w:t>
            </w:r>
          </w:p>
        </w:tc>
        <w:tc>
          <w:tcPr>
            <w:tcW w:w="966" w:type="dxa"/>
            <w:vAlign w:val="center"/>
          </w:tcPr>
          <w:p w14:paraId="3DF4F5F8" w14:textId="36469E5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798D120B" w14:textId="4E35782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72</w:t>
            </w:r>
          </w:p>
        </w:tc>
        <w:tc>
          <w:tcPr>
            <w:tcW w:w="1011" w:type="dxa"/>
            <w:vAlign w:val="center"/>
          </w:tcPr>
          <w:p w14:paraId="33FA1FDD" w14:textId="744E3B8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1DA54278" w14:textId="77B6B5F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0.24</w:t>
            </w:r>
          </w:p>
        </w:tc>
        <w:tc>
          <w:tcPr>
            <w:tcW w:w="833" w:type="dxa"/>
            <w:vAlign w:val="center"/>
          </w:tcPr>
          <w:p w14:paraId="67F3BF9F" w14:textId="6645E92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76%</w:t>
            </w:r>
          </w:p>
        </w:tc>
        <w:tc>
          <w:tcPr>
            <w:tcW w:w="868" w:type="dxa"/>
            <w:vAlign w:val="center"/>
          </w:tcPr>
          <w:p w14:paraId="0D0B224A" w14:textId="230E41B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41212149" w14:textId="77777777" w:rsidTr="00470AA5">
        <w:tc>
          <w:tcPr>
            <w:tcW w:w="562" w:type="dxa"/>
            <w:vAlign w:val="center"/>
          </w:tcPr>
          <w:p w14:paraId="03473A37"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1495224688"/>
              <w:placeholder>
                <w:docPart w:val="DefaultPlaceholder_-1854013440"/>
              </w:placeholder>
            </w:sdtPr>
            <w:sdtContent>
              <w:p w14:paraId="25AD25EF" w14:textId="1F633FF1"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(Reichert et al., 2019)</w:t>
                </w:r>
              </w:p>
            </w:sdtContent>
          </w:sdt>
        </w:tc>
        <w:tc>
          <w:tcPr>
            <w:tcW w:w="1333" w:type="dxa"/>
            <w:vAlign w:val="center"/>
          </w:tcPr>
          <w:p w14:paraId="7E95034F" w14:textId="10B3DE8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USA</w:t>
            </w:r>
          </w:p>
        </w:tc>
        <w:tc>
          <w:tcPr>
            <w:tcW w:w="1538" w:type="dxa"/>
            <w:vAlign w:val="center"/>
          </w:tcPr>
          <w:p w14:paraId="35ACE476" w14:textId="5F6B8520"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Nepeta cataria</w:t>
            </w:r>
          </w:p>
        </w:tc>
        <w:tc>
          <w:tcPr>
            <w:tcW w:w="1346" w:type="dxa"/>
            <w:vAlign w:val="center"/>
          </w:tcPr>
          <w:p w14:paraId="44C558F6" w14:textId="3ADF186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Nepetalactone</w:t>
            </w:r>
          </w:p>
        </w:tc>
        <w:tc>
          <w:tcPr>
            <w:tcW w:w="1244" w:type="dxa"/>
            <w:vAlign w:val="center"/>
          </w:tcPr>
          <w:p w14:paraId="61F2A3E4" w14:textId="1BB82A5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EtOH extract</w:t>
            </w:r>
          </w:p>
        </w:tc>
        <w:tc>
          <w:tcPr>
            <w:tcW w:w="761" w:type="dxa"/>
            <w:vAlign w:val="center"/>
          </w:tcPr>
          <w:p w14:paraId="34864974" w14:textId="033C4BC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w:t>
            </w:r>
          </w:p>
        </w:tc>
        <w:tc>
          <w:tcPr>
            <w:tcW w:w="966" w:type="dxa"/>
            <w:vAlign w:val="center"/>
          </w:tcPr>
          <w:p w14:paraId="1EBCC900" w14:textId="3B33EFC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Lab bioassay</w:t>
            </w:r>
          </w:p>
        </w:tc>
        <w:tc>
          <w:tcPr>
            <w:tcW w:w="484" w:type="dxa"/>
            <w:vAlign w:val="center"/>
          </w:tcPr>
          <w:p w14:paraId="4B77C104" w14:textId="5282810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38</w:t>
            </w:r>
          </w:p>
        </w:tc>
        <w:tc>
          <w:tcPr>
            <w:tcW w:w="1011" w:type="dxa"/>
            <w:vAlign w:val="center"/>
          </w:tcPr>
          <w:p w14:paraId="4C34A340" w14:textId="739C00C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rate</w:t>
            </w:r>
          </w:p>
        </w:tc>
        <w:tc>
          <w:tcPr>
            <w:tcW w:w="591" w:type="dxa"/>
            <w:vAlign w:val="center"/>
          </w:tcPr>
          <w:p w14:paraId="1A679E33" w14:textId="3770825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0.33</w:t>
            </w:r>
          </w:p>
        </w:tc>
        <w:tc>
          <w:tcPr>
            <w:tcW w:w="833" w:type="dxa"/>
            <w:vAlign w:val="center"/>
          </w:tcPr>
          <w:p w14:paraId="142CDD1A" w14:textId="57F718D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67%</w:t>
            </w:r>
          </w:p>
        </w:tc>
        <w:tc>
          <w:tcPr>
            <w:tcW w:w="868" w:type="dxa"/>
            <w:vAlign w:val="center"/>
          </w:tcPr>
          <w:p w14:paraId="182AE85E" w14:textId="3D80DDC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28ABB688" w14:textId="77777777" w:rsidTr="00470AA5">
        <w:tc>
          <w:tcPr>
            <w:tcW w:w="562" w:type="dxa"/>
            <w:vAlign w:val="center"/>
          </w:tcPr>
          <w:p w14:paraId="7DCB1F54"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J9LCJpc1RlbXBvcmFyeSI6ZmFsc2V9XX0="/>
              <w:id w:val="1381665807"/>
              <w:placeholder>
                <w:docPart w:val="DefaultPlaceholder_-1854013440"/>
              </w:placeholder>
            </w:sdtPr>
            <w:sdtContent>
              <w:p w14:paraId="46A4D294" w14:textId="35A0A76F"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(Arpiwi et al., 2020)</w:t>
                </w:r>
              </w:p>
            </w:sdtContent>
          </w:sdt>
        </w:tc>
        <w:tc>
          <w:tcPr>
            <w:tcW w:w="1333" w:type="dxa"/>
            <w:vAlign w:val="center"/>
          </w:tcPr>
          <w:p w14:paraId="3C2F5A99" w14:textId="2BBB650D" w:rsidR="00A5642E" w:rsidRPr="00F5462A" w:rsidRDefault="006B65BC"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Indonesia</w:t>
            </w:r>
          </w:p>
        </w:tc>
        <w:tc>
          <w:tcPr>
            <w:tcW w:w="1538" w:type="dxa"/>
            <w:vAlign w:val="center"/>
          </w:tcPr>
          <w:p w14:paraId="7FB36975" w14:textId="72458FA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Mixed</w:t>
            </w:r>
          </w:p>
        </w:tc>
        <w:tc>
          <w:tcPr>
            <w:tcW w:w="1346" w:type="dxa"/>
            <w:vAlign w:val="center"/>
          </w:tcPr>
          <w:p w14:paraId="20E1B174" w14:textId="6B787C0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Citronellol, geraniol, linalool</w:t>
            </w:r>
          </w:p>
        </w:tc>
        <w:tc>
          <w:tcPr>
            <w:tcW w:w="1244" w:type="dxa"/>
            <w:vAlign w:val="center"/>
          </w:tcPr>
          <w:p w14:paraId="0D61840A" w14:textId="083BE44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Blend lotion</w:t>
            </w:r>
          </w:p>
        </w:tc>
        <w:tc>
          <w:tcPr>
            <w:tcW w:w="761" w:type="dxa"/>
            <w:vAlign w:val="center"/>
          </w:tcPr>
          <w:p w14:paraId="71131F63" w14:textId="7CB049E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w:t>
            </w:r>
          </w:p>
        </w:tc>
        <w:tc>
          <w:tcPr>
            <w:tcW w:w="966" w:type="dxa"/>
            <w:vAlign w:val="center"/>
          </w:tcPr>
          <w:p w14:paraId="05A81C2B" w14:textId="120F4CC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1D4D5333" w14:textId="7000401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150</w:t>
            </w:r>
          </w:p>
        </w:tc>
        <w:tc>
          <w:tcPr>
            <w:tcW w:w="1011" w:type="dxa"/>
            <w:vAlign w:val="center"/>
          </w:tcPr>
          <w:p w14:paraId="3A7D7A22" w14:textId="54A759C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Protection rate</w:t>
            </w:r>
          </w:p>
        </w:tc>
        <w:tc>
          <w:tcPr>
            <w:tcW w:w="591" w:type="dxa"/>
            <w:vAlign w:val="center"/>
          </w:tcPr>
          <w:p w14:paraId="7AC34370" w14:textId="71A42AF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0.46</w:t>
            </w:r>
          </w:p>
        </w:tc>
        <w:tc>
          <w:tcPr>
            <w:tcW w:w="833" w:type="dxa"/>
            <w:vAlign w:val="center"/>
          </w:tcPr>
          <w:p w14:paraId="2FFF1EC4" w14:textId="2C19E97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54%</w:t>
            </w:r>
          </w:p>
        </w:tc>
        <w:tc>
          <w:tcPr>
            <w:tcW w:w="868" w:type="dxa"/>
            <w:vAlign w:val="center"/>
          </w:tcPr>
          <w:p w14:paraId="694C2170" w14:textId="791E03E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2DA96264" w14:textId="77777777" w:rsidTr="00470AA5">
        <w:tc>
          <w:tcPr>
            <w:tcW w:w="562" w:type="dxa"/>
            <w:vAlign w:val="center"/>
          </w:tcPr>
          <w:p w14:paraId="19BA6951"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
              <w:id w:val="-1837214155"/>
              <w:placeholder>
                <w:docPart w:val="DefaultPlaceholder_-1854013440"/>
              </w:placeholder>
            </w:sdtPr>
            <w:sdtContent>
              <w:p w14:paraId="5289EE0C" w14:textId="15175B46"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(Deng et al., 2023)</w:t>
                </w:r>
              </w:p>
            </w:sdtContent>
          </w:sdt>
        </w:tc>
        <w:tc>
          <w:tcPr>
            <w:tcW w:w="1333" w:type="dxa"/>
            <w:vAlign w:val="center"/>
          </w:tcPr>
          <w:p w14:paraId="107E15FC" w14:textId="00EAD30A" w:rsidR="00A5642E" w:rsidRPr="00F5462A" w:rsidRDefault="006B65BC"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China</w:t>
            </w:r>
          </w:p>
        </w:tc>
        <w:tc>
          <w:tcPr>
            <w:tcW w:w="1538" w:type="dxa"/>
            <w:vAlign w:val="center"/>
          </w:tcPr>
          <w:p w14:paraId="501E0CEF" w14:textId="5AB66D6C" w:rsidR="00A5642E" w:rsidRPr="00F5462A" w:rsidRDefault="006B65BC" w:rsidP="00F5462A">
            <w:pPr>
              <w:spacing w:line="240" w:lineRule="auto"/>
              <w:ind w:left="0" w:firstLine="0"/>
              <w:jc w:val="center"/>
              <w:rPr>
                <w:rFonts w:ascii="Arial" w:hAnsi="Arial" w:cs="Arial"/>
                <w:i/>
                <w:iCs/>
                <w:sz w:val="20"/>
                <w:szCs w:val="20"/>
                <w:lang w:val="en-ID"/>
              </w:rPr>
            </w:pPr>
            <w:r w:rsidRPr="00F5462A">
              <w:rPr>
                <w:rStyle w:val="Emphasis"/>
                <w:rFonts w:ascii="Arial" w:hAnsi="Arial" w:cs="Arial"/>
                <w:i w:val="0"/>
                <w:iCs w:val="0"/>
                <w:color w:val="1A1A2E"/>
                <w:sz w:val="20"/>
                <w:szCs w:val="20"/>
              </w:rPr>
              <w:t>C</w:t>
            </w:r>
            <w:r w:rsidRPr="00F5462A">
              <w:rPr>
                <w:rStyle w:val="Emphasis"/>
                <w:rFonts w:ascii="Arial" w:hAnsi="Arial" w:cs="Arial"/>
                <w:sz w:val="20"/>
                <w:szCs w:val="20"/>
              </w:rPr>
              <w:t>love</w:t>
            </w:r>
          </w:p>
        </w:tc>
        <w:tc>
          <w:tcPr>
            <w:tcW w:w="1346" w:type="dxa"/>
            <w:vAlign w:val="center"/>
          </w:tcPr>
          <w:p w14:paraId="6C0E3D04" w14:textId="77777777" w:rsidR="006B65BC" w:rsidRPr="00F5462A" w:rsidRDefault="006B65BC" w:rsidP="00F5462A">
            <w:pPr>
              <w:spacing w:line="240" w:lineRule="auto"/>
              <w:ind w:left="0" w:firstLine="0"/>
              <w:jc w:val="center"/>
              <w:rPr>
                <w:rFonts w:ascii="Arial" w:hAnsi="Arial" w:cs="Arial"/>
                <w:color w:val="1A1A2E"/>
                <w:sz w:val="20"/>
                <w:szCs w:val="20"/>
              </w:rPr>
            </w:pPr>
            <w:r w:rsidRPr="00F5462A">
              <w:rPr>
                <w:rFonts w:ascii="Arial" w:hAnsi="Arial" w:cs="Arial"/>
                <w:color w:val="1A1A2E"/>
                <w:sz w:val="20"/>
                <w:szCs w:val="20"/>
              </w:rPr>
              <w:t>α-bulnesene,  </w:t>
            </w:r>
          </w:p>
          <w:p w14:paraId="2BE302FE" w14:textId="63B684B7" w:rsidR="00A5642E" w:rsidRPr="00F5462A" w:rsidRDefault="006B65BC"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α-guaiene</w:t>
            </w:r>
          </w:p>
        </w:tc>
        <w:tc>
          <w:tcPr>
            <w:tcW w:w="1244" w:type="dxa"/>
            <w:vAlign w:val="center"/>
          </w:tcPr>
          <w:p w14:paraId="3EF69FC4" w14:textId="5F031B8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 spray</w:t>
            </w:r>
          </w:p>
        </w:tc>
        <w:tc>
          <w:tcPr>
            <w:tcW w:w="761" w:type="dxa"/>
            <w:vAlign w:val="center"/>
          </w:tcPr>
          <w:p w14:paraId="165C05B6" w14:textId="15438C8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12%</w:t>
            </w:r>
          </w:p>
        </w:tc>
        <w:tc>
          <w:tcPr>
            <w:tcW w:w="966" w:type="dxa"/>
            <w:vAlign w:val="center"/>
          </w:tcPr>
          <w:p w14:paraId="6353D2FC" w14:textId="5B727D9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Quasi-exp.</w:t>
            </w:r>
          </w:p>
        </w:tc>
        <w:tc>
          <w:tcPr>
            <w:tcW w:w="484" w:type="dxa"/>
            <w:vAlign w:val="center"/>
          </w:tcPr>
          <w:p w14:paraId="21D1EC69" w14:textId="524806C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45</w:t>
            </w:r>
          </w:p>
        </w:tc>
        <w:tc>
          <w:tcPr>
            <w:tcW w:w="1011" w:type="dxa"/>
            <w:vAlign w:val="center"/>
          </w:tcPr>
          <w:p w14:paraId="0D6729FA" w14:textId="3039F29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Repellency %</w:t>
            </w:r>
          </w:p>
        </w:tc>
        <w:tc>
          <w:tcPr>
            <w:tcW w:w="591" w:type="dxa"/>
            <w:vAlign w:val="center"/>
          </w:tcPr>
          <w:p w14:paraId="49C20747" w14:textId="421236E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0.36</w:t>
            </w:r>
          </w:p>
        </w:tc>
        <w:tc>
          <w:tcPr>
            <w:tcW w:w="833" w:type="dxa"/>
            <w:vAlign w:val="center"/>
          </w:tcPr>
          <w:p w14:paraId="339E161F" w14:textId="6C67285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64%</w:t>
            </w:r>
          </w:p>
        </w:tc>
        <w:tc>
          <w:tcPr>
            <w:tcW w:w="868" w:type="dxa"/>
            <w:vAlign w:val="center"/>
          </w:tcPr>
          <w:p w14:paraId="52C3693E" w14:textId="4C82B53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1885195D" w14:textId="77777777" w:rsidTr="00470AA5">
        <w:tc>
          <w:tcPr>
            <w:tcW w:w="562" w:type="dxa"/>
            <w:vAlign w:val="center"/>
          </w:tcPr>
          <w:p w14:paraId="4EE00750"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
              <w:id w:val="266581164"/>
              <w:placeholder>
                <w:docPart w:val="DefaultPlaceholder_-1854013440"/>
              </w:placeholder>
            </w:sdtPr>
            <w:sdtContent>
              <w:p w14:paraId="1FF233E8" w14:textId="5E3E511A"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(Zulfikar et al., 2019)</w:t>
                </w:r>
              </w:p>
            </w:sdtContent>
          </w:sdt>
        </w:tc>
        <w:tc>
          <w:tcPr>
            <w:tcW w:w="1333" w:type="dxa"/>
            <w:vAlign w:val="center"/>
          </w:tcPr>
          <w:p w14:paraId="29BE0CB2" w14:textId="63909589" w:rsidR="00A5642E" w:rsidRPr="00F5462A" w:rsidRDefault="00BD4692"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Indonesia</w:t>
            </w:r>
          </w:p>
        </w:tc>
        <w:tc>
          <w:tcPr>
            <w:tcW w:w="1538" w:type="dxa"/>
            <w:vAlign w:val="center"/>
          </w:tcPr>
          <w:p w14:paraId="7AF9D217" w14:textId="2994234F"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Cymbopogon nardus</w:t>
            </w:r>
          </w:p>
        </w:tc>
        <w:tc>
          <w:tcPr>
            <w:tcW w:w="1346" w:type="dxa"/>
            <w:vAlign w:val="center"/>
          </w:tcPr>
          <w:p w14:paraId="5CFDBCDB" w14:textId="331B57F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Citronellal, borneol</w:t>
            </w:r>
          </w:p>
        </w:tc>
        <w:tc>
          <w:tcPr>
            <w:tcW w:w="1244" w:type="dxa"/>
            <w:vAlign w:val="center"/>
          </w:tcPr>
          <w:p w14:paraId="0D430B2F" w14:textId="3B0A05B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Candle/lotion</w:t>
            </w:r>
          </w:p>
        </w:tc>
        <w:tc>
          <w:tcPr>
            <w:tcW w:w="761" w:type="dxa"/>
            <w:vAlign w:val="center"/>
          </w:tcPr>
          <w:p w14:paraId="6010B395" w14:textId="0A89B0F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7BC64D17" w14:textId="5F56E71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01887620" w14:textId="23ED5F9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110</w:t>
            </w:r>
          </w:p>
        </w:tc>
        <w:tc>
          <w:tcPr>
            <w:tcW w:w="1011" w:type="dxa"/>
            <w:vAlign w:val="center"/>
          </w:tcPr>
          <w:p w14:paraId="6B286C62" w14:textId="6479CB3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08D2E5BD" w14:textId="4FD113A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0.50</w:t>
            </w:r>
          </w:p>
        </w:tc>
        <w:tc>
          <w:tcPr>
            <w:tcW w:w="833" w:type="dxa"/>
            <w:vAlign w:val="center"/>
          </w:tcPr>
          <w:p w14:paraId="1DC44586" w14:textId="6266C1B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50%</w:t>
            </w:r>
          </w:p>
        </w:tc>
        <w:tc>
          <w:tcPr>
            <w:tcW w:w="868" w:type="dxa"/>
            <w:vAlign w:val="center"/>
          </w:tcPr>
          <w:p w14:paraId="0DABF28F" w14:textId="1B229C4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23C903D9" w14:textId="77777777" w:rsidTr="00470AA5">
        <w:tc>
          <w:tcPr>
            <w:tcW w:w="562" w:type="dxa"/>
            <w:vAlign w:val="center"/>
          </w:tcPr>
          <w:p w14:paraId="2D0A039C"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
              <w:id w:val="-700163267"/>
              <w:placeholder>
                <w:docPart w:val="DefaultPlaceholder_-1854013440"/>
              </w:placeholder>
            </w:sdtPr>
            <w:sdtContent>
              <w:p w14:paraId="3664EC5B" w14:textId="657C34CF"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(Goodyer et al., 2020)</w:t>
                </w:r>
              </w:p>
            </w:sdtContent>
          </w:sdt>
        </w:tc>
        <w:tc>
          <w:tcPr>
            <w:tcW w:w="1333" w:type="dxa"/>
            <w:vAlign w:val="center"/>
          </w:tcPr>
          <w:p w14:paraId="58CC27BD" w14:textId="1715C6F5" w:rsidR="00A5642E" w:rsidRPr="00F5462A" w:rsidRDefault="00BD4692"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USA</w:t>
            </w:r>
          </w:p>
        </w:tc>
        <w:tc>
          <w:tcPr>
            <w:tcW w:w="1538" w:type="dxa"/>
            <w:vAlign w:val="center"/>
          </w:tcPr>
          <w:p w14:paraId="2B1D5ED8" w14:textId="3A95564E"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Corymbia citriodora</w:t>
            </w:r>
          </w:p>
        </w:tc>
        <w:tc>
          <w:tcPr>
            <w:tcW w:w="1346" w:type="dxa"/>
            <w:vAlign w:val="center"/>
          </w:tcPr>
          <w:p w14:paraId="20CC4E80" w14:textId="0E1CC31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PMD</w:t>
            </w:r>
          </w:p>
        </w:tc>
        <w:tc>
          <w:tcPr>
            <w:tcW w:w="1244" w:type="dxa"/>
            <w:vAlign w:val="center"/>
          </w:tcPr>
          <w:p w14:paraId="58EC49A8" w14:textId="0074C0D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Spray lotion</w:t>
            </w:r>
          </w:p>
        </w:tc>
        <w:tc>
          <w:tcPr>
            <w:tcW w:w="761" w:type="dxa"/>
            <w:vAlign w:val="center"/>
          </w:tcPr>
          <w:p w14:paraId="7BD2A4F8" w14:textId="1A15D0A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28%</w:t>
            </w:r>
          </w:p>
        </w:tc>
        <w:tc>
          <w:tcPr>
            <w:tcW w:w="966" w:type="dxa"/>
            <w:vAlign w:val="center"/>
          </w:tcPr>
          <w:p w14:paraId="5B0FB05C" w14:textId="51F1FEB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Lab RCT</w:t>
            </w:r>
          </w:p>
        </w:tc>
        <w:tc>
          <w:tcPr>
            <w:tcW w:w="484" w:type="dxa"/>
            <w:vAlign w:val="center"/>
          </w:tcPr>
          <w:p w14:paraId="03ED936A" w14:textId="4BC4ACD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36</w:t>
            </w:r>
          </w:p>
        </w:tc>
        <w:tc>
          <w:tcPr>
            <w:tcW w:w="1011" w:type="dxa"/>
            <w:vAlign w:val="center"/>
          </w:tcPr>
          <w:p w14:paraId="4C3D02C1" w14:textId="5327C93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inhibition</w:t>
            </w:r>
          </w:p>
        </w:tc>
        <w:tc>
          <w:tcPr>
            <w:tcW w:w="591" w:type="dxa"/>
            <w:vAlign w:val="center"/>
          </w:tcPr>
          <w:p w14:paraId="5B9F7742" w14:textId="22EC08C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0.31</w:t>
            </w:r>
          </w:p>
        </w:tc>
        <w:tc>
          <w:tcPr>
            <w:tcW w:w="833" w:type="dxa"/>
            <w:vAlign w:val="center"/>
          </w:tcPr>
          <w:p w14:paraId="0FAF1451" w14:textId="30CDD96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69%</w:t>
            </w:r>
          </w:p>
        </w:tc>
        <w:tc>
          <w:tcPr>
            <w:tcW w:w="868" w:type="dxa"/>
            <w:vAlign w:val="center"/>
          </w:tcPr>
          <w:p w14:paraId="4AAB2C22" w14:textId="6419E1B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C43DC38" w14:textId="77777777" w:rsidTr="00470AA5">
        <w:tc>
          <w:tcPr>
            <w:tcW w:w="562" w:type="dxa"/>
            <w:vAlign w:val="center"/>
          </w:tcPr>
          <w:p w14:paraId="5699D905"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
              <w:id w:val="-1226916033"/>
              <w:placeholder>
                <w:docPart w:val="DefaultPlaceholder_-1854013440"/>
              </w:placeholder>
            </w:sdtPr>
            <w:sdtContent>
              <w:p w14:paraId="0FC0B862" w14:textId="16765CA3"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(Iqbal et al., 2022)</w:t>
                </w:r>
              </w:p>
            </w:sdtContent>
          </w:sdt>
        </w:tc>
        <w:tc>
          <w:tcPr>
            <w:tcW w:w="1333" w:type="dxa"/>
            <w:vAlign w:val="center"/>
          </w:tcPr>
          <w:p w14:paraId="6F6E444A" w14:textId="21BC9914" w:rsidR="00A5642E" w:rsidRPr="00F5462A" w:rsidRDefault="00BD4692"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India</w:t>
            </w:r>
          </w:p>
        </w:tc>
        <w:tc>
          <w:tcPr>
            <w:tcW w:w="1538" w:type="dxa"/>
            <w:vAlign w:val="center"/>
          </w:tcPr>
          <w:p w14:paraId="6E381F5E" w14:textId="77777777" w:rsidR="00BD4692" w:rsidRPr="00F5462A" w:rsidRDefault="00BD4692" w:rsidP="00F5462A">
            <w:pPr>
              <w:spacing w:line="240" w:lineRule="auto"/>
              <w:ind w:left="0" w:firstLine="0"/>
              <w:jc w:val="center"/>
              <w:rPr>
                <w:rFonts w:ascii="Arial" w:hAnsi="Arial" w:cs="Arial"/>
                <w:i/>
                <w:iCs/>
                <w:color w:val="1A1A2E"/>
                <w:sz w:val="20"/>
                <w:szCs w:val="20"/>
              </w:rPr>
            </w:pPr>
            <w:r w:rsidRPr="00F5462A">
              <w:rPr>
                <w:rFonts w:ascii="Arial" w:hAnsi="Arial" w:cs="Arial"/>
                <w:i/>
                <w:iCs/>
                <w:color w:val="1A1A2E"/>
                <w:sz w:val="20"/>
                <w:szCs w:val="20"/>
              </w:rPr>
              <w:t>Cymbopogon citratus </w:t>
            </w:r>
          </w:p>
          <w:p w14:paraId="743ED007" w14:textId="6A237B25" w:rsidR="00A5642E" w:rsidRPr="00F5462A" w:rsidRDefault="00BD4692" w:rsidP="00F5462A">
            <w:pPr>
              <w:spacing w:line="240" w:lineRule="auto"/>
              <w:ind w:left="0" w:firstLine="0"/>
              <w:jc w:val="center"/>
              <w:rPr>
                <w:rFonts w:ascii="Arial" w:hAnsi="Arial" w:cs="Arial"/>
                <w:sz w:val="20"/>
                <w:szCs w:val="20"/>
                <w:lang w:val="en-ID"/>
              </w:rPr>
            </w:pPr>
            <w:r w:rsidRPr="00F5462A">
              <w:rPr>
                <w:rFonts w:ascii="Arial" w:hAnsi="Arial" w:cs="Arial"/>
                <w:i/>
                <w:iCs/>
                <w:color w:val="1A1A2E"/>
                <w:sz w:val="20"/>
                <w:szCs w:val="20"/>
              </w:rPr>
              <w:t>Prosopis juliflora</w:t>
            </w:r>
          </w:p>
        </w:tc>
        <w:tc>
          <w:tcPr>
            <w:tcW w:w="1346" w:type="dxa"/>
            <w:vAlign w:val="center"/>
          </w:tcPr>
          <w:p w14:paraId="28BF9435" w14:textId="0DCFCEC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Azadirachtin, nimbin</w:t>
            </w:r>
          </w:p>
        </w:tc>
        <w:tc>
          <w:tcPr>
            <w:tcW w:w="1244" w:type="dxa"/>
            <w:vAlign w:val="center"/>
          </w:tcPr>
          <w:p w14:paraId="58A56BE0" w14:textId="783C0CC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Nanoemulsion</w:t>
            </w:r>
          </w:p>
        </w:tc>
        <w:tc>
          <w:tcPr>
            <w:tcW w:w="761" w:type="dxa"/>
            <w:vAlign w:val="center"/>
          </w:tcPr>
          <w:p w14:paraId="5D285A2C" w14:textId="32C3AE8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w:t>
            </w:r>
          </w:p>
        </w:tc>
        <w:tc>
          <w:tcPr>
            <w:tcW w:w="966" w:type="dxa"/>
            <w:vAlign w:val="center"/>
          </w:tcPr>
          <w:p w14:paraId="7018361A" w14:textId="180C12C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6BE087C4" w14:textId="2239B8B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58</w:t>
            </w:r>
          </w:p>
        </w:tc>
        <w:tc>
          <w:tcPr>
            <w:tcW w:w="1011" w:type="dxa"/>
            <w:vAlign w:val="center"/>
          </w:tcPr>
          <w:p w14:paraId="1FC56204" w14:textId="1B70C69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724DF803" w14:textId="5419474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0.27</w:t>
            </w:r>
          </w:p>
        </w:tc>
        <w:tc>
          <w:tcPr>
            <w:tcW w:w="833" w:type="dxa"/>
            <w:vAlign w:val="center"/>
          </w:tcPr>
          <w:p w14:paraId="34306CA6" w14:textId="5E31EBA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73%</w:t>
            </w:r>
          </w:p>
        </w:tc>
        <w:tc>
          <w:tcPr>
            <w:tcW w:w="868" w:type="dxa"/>
            <w:vAlign w:val="center"/>
          </w:tcPr>
          <w:p w14:paraId="40C4E2F6" w14:textId="3C2B8A9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Some concerns</w:t>
            </w:r>
          </w:p>
        </w:tc>
      </w:tr>
      <w:tr w:rsidR="00A5642E" w:rsidRPr="00F5462A" w14:paraId="4AD9F15C" w14:textId="77777777" w:rsidTr="00470AA5">
        <w:tc>
          <w:tcPr>
            <w:tcW w:w="562" w:type="dxa"/>
            <w:vAlign w:val="center"/>
          </w:tcPr>
          <w:p w14:paraId="6EAA7641"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"/>
              <w:id w:val="2055884572"/>
              <w:placeholder>
                <w:docPart w:val="DefaultPlaceholder_-1854013440"/>
              </w:placeholder>
            </w:sdtPr>
            <w:sdtContent>
              <w:p w14:paraId="309DDEDB" w14:textId="7C2A07AC"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 xml:space="preserve">(Yavasoglu et </w:t>
                </w:r>
                <w:r w:rsidRPr="00F5462A">
                  <w:rPr>
                    <w:rFonts w:ascii="Arial" w:hAnsi="Arial" w:cs="Arial"/>
                    <w:color w:val="1A1A2E"/>
                    <w:sz w:val="20"/>
                    <w:szCs w:val="20"/>
                  </w:rPr>
                  <w:lastRenderedPageBreak/>
                  <w:t>al., 2025)</w:t>
                </w:r>
              </w:p>
            </w:sdtContent>
          </w:sdt>
        </w:tc>
        <w:tc>
          <w:tcPr>
            <w:tcW w:w="1333" w:type="dxa"/>
            <w:vAlign w:val="center"/>
          </w:tcPr>
          <w:p w14:paraId="337B5751" w14:textId="39573EC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lastRenderedPageBreak/>
              <w:t>USA</w:t>
            </w:r>
          </w:p>
        </w:tc>
        <w:tc>
          <w:tcPr>
            <w:tcW w:w="1538" w:type="dxa"/>
            <w:vAlign w:val="center"/>
          </w:tcPr>
          <w:p w14:paraId="1DD19D83" w14:textId="5BEF81FD" w:rsidR="00A5642E" w:rsidRPr="00F5462A" w:rsidRDefault="00BD4692"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Corymbia citriodora</w:t>
            </w:r>
          </w:p>
        </w:tc>
        <w:tc>
          <w:tcPr>
            <w:tcW w:w="1346" w:type="dxa"/>
            <w:vAlign w:val="center"/>
          </w:tcPr>
          <w:p w14:paraId="0D947153" w14:textId="4C44E033" w:rsidR="00A5642E" w:rsidRPr="00F5462A" w:rsidRDefault="00BD4692"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PMD</w:t>
            </w:r>
          </w:p>
        </w:tc>
        <w:tc>
          <w:tcPr>
            <w:tcW w:w="1244" w:type="dxa"/>
            <w:vAlign w:val="center"/>
          </w:tcPr>
          <w:p w14:paraId="12CC429D" w14:textId="00AD23E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Commercial lotion</w:t>
            </w:r>
          </w:p>
        </w:tc>
        <w:tc>
          <w:tcPr>
            <w:tcW w:w="761" w:type="dxa"/>
            <w:vAlign w:val="center"/>
          </w:tcPr>
          <w:p w14:paraId="4124431F" w14:textId="0D47C67D"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w:t>
            </w:r>
          </w:p>
        </w:tc>
        <w:tc>
          <w:tcPr>
            <w:tcW w:w="966" w:type="dxa"/>
            <w:vAlign w:val="center"/>
          </w:tcPr>
          <w:p w14:paraId="272FDE0C" w14:textId="1596744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72662768" w14:textId="47F7254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175</w:t>
            </w:r>
          </w:p>
        </w:tc>
        <w:tc>
          <w:tcPr>
            <w:tcW w:w="1011" w:type="dxa"/>
            <w:vAlign w:val="center"/>
          </w:tcPr>
          <w:p w14:paraId="5402B1B3" w14:textId="6F5E5C2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Protection time</w:t>
            </w:r>
          </w:p>
        </w:tc>
        <w:tc>
          <w:tcPr>
            <w:tcW w:w="591" w:type="dxa"/>
            <w:vAlign w:val="center"/>
          </w:tcPr>
          <w:p w14:paraId="0667EFAE" w14:textId="68CF72B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0.58</w:t>
            </w:r>
          </w:p>
        </w:tc>
        <w:tc>
          <w:tcPr>
            <w:tcW w:w="833" w:type="dxa"/>
            <w:vAlign w:val="center"/>
          </w:tcPr>
          <w:p w14:paraId="5C629CE8" w14:textId="639F7B5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42%</w:t>
            </w:r>
          </w:p>
        </w:tc>
        <w:tc>
          <w:tcPr>
            <w:tcW w:w="868" w:type="dxa"/>
            <w:vAlign w:val="center"/>
          </w:tcPr>
          <w:p w14:paraId="4E2A610C" w14:textId="784C49C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7244992" w14:textId="77777777" w:rsidTr="00470AA5">
        <w:tc>
          <w:tcPr>
            <w:tcW w:w="562" w:type="dxa"/>
            <w:vAlign w:val="center"/>
          </w:tcPr>
          <w:p w14:paraId="1549E287"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
              <w:id w:val="1156266367"/>
              <w:placeholder>
                <w:docPart w:val="DefaultPlaceholder_-1854013440"/>
              </w:placeholder>
            </w:sdtPr>
            <w:sdtContent>
              <w:p w14:paraId="3E63F41D" w14:textId="4CDE868A"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(Haris et al., 2023)</w:t>
                </w:r>
              </w:p>
            </w:sdtContent>
          </w:sdt>
        </w:tc>
        <w:tc>
          <w:tcPr>
            <w:tcW w:w="1333" w:type="dxa"/>
            <w:vAlign w:val="center"/>
          </w:tcPr>
          <w:p w14:paraId="1B98D7E0" w14:textId="3169E183" w:rsidR="00A5642E" w:rsidRPr="00F5462A" w:rsidRDefault="00AC22FA"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w:t>
            </w:r>
            <w:r w:rsidRPr="00F5462A">
              <w:rPr>
                <w:rFonts w:ascii="Arial" w:hAnsi="Arial" w:cs="Arial"/>
                <w:sz w:val="20"/>
                <w:szCs w:val="20"/>
              </w:rPr>
              <w:t>akistan</w:t>
            </w:r>
          </w:p>
        </w:tc>
        <w:tc>
          <w:tcPr>
            <w:tcW w:w="1538" w:type="dxa"/>
            <w:vAlign w:val="center"/>
          </w:tcPr>
          <w:p w14:paraId="519E6FF6" w14:textId="1A678B7D" w:rsidR="00A5642E" w:rsidRPr="00F5462A" w:rsidRDefault="00AC22FA"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Mixed</w:t>
            </w:r>
          </w:p>
        </w:tc>
        <w:tc>
          <w:tcPr>
            <w:tcW w:w="1346" w:type="dxa"/>
            <w:vAlign w:val="center"/>
          </w:tcPr>
          <w:p w14:paraId="463A0410" w14:textId="3EE3C59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Citral, myrcene</w:t>
            </w:r>
          </w:p>
        </w:tc>
        <w:tc>
          <w:tcPr>
            <w:tcW w:w="1244" w:type="dxa"/>
            <w:vAlign w:val="center"/>
          </w:tcPr>
          <w:p w14:paraId="3ABAAF88" w14:textId="432018C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 lotion</w:t>
            </w:r>
          </w:p>
        </w:tc>
        <w:tc>
          <w:tcPr>
            <w:tcW w:w="761" w:type="dxa"/>
            <w:vAlign w:val="center"/>
          </w:tcPr>
          <w:p w14:paraId="26ECC674" w14:textId="416486B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20%</w:t>
            </w:r>
          </w:p>
        </w:tc>
        <w:tc>
          <w:tcPr>
            <w:tcW w:w="966" w:type="dxa"/>
            <w:vAlign w:val="center"/>
          </w:tcPr>
          <w:p w14:paraId="64862602" w14:textId="4890887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096CFAB7" w14:textId="6BD1598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88</w:t>
            </w:r>
          </w:p>
        </w:tc>
        <w:tc>
          <w:tcPr>
            <w:tcW w:w="1011" w:type="dxa"/>
            <w:vAlign w:val="center"/>
          </w:tcPr>
          <w:p w14:paraId="34DAE5BE" w14:textId="5965B29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4CAC8AC1" w14:textId="797091B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0.40</w:t>
            </w:r>
          </w:p>
        </w:tc>
        <w:tc>
          <w:tcPr>
            <w:tcW w:w="833" w:type="dxa"/>
            <w:vAlign w:val="center"/>
          </w:tcPr>
          <w:p w14:paraId="1253FB10" w14:textId="5223E76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60%</w:t>
            </w:r>
          </w:p>
        </w:tc>
        <w:tc>
          <w:tcPr>
            <w:tcW w:w="868" w:type="dxa"/>
            <w:vAlign w:val="center"/>
          </w:tcPr>
          <w:p w14:paraId="3AD34C56" w14:textId="46711A5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648CE55A" w14:textId="77777777" w:rsidTr="00470AA5">
        <w:tc>
          <w:tcPr>
            <w:tcW w:w="562" w:type="dxa"/>
            <w:vAlign w:val="center"/>
          </w:tcPr>
          <w:p w14:paraId="39CC0D8D"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"/>
              <w:id w:val="941265776"/>
              <w:placeholder>
                <w:docPart w:val="DefaultPlaceholder_-1854013440"/>
              </w:placeholder>
            </w:sdtPr>
            <w:sdtContent>
              <w:p w14:paraId="46ADC6A7" w14:textId="513EC0CD"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(Li et al., 2026)</w:t>
                </w:r>
              </w:p>
            </w:sdtContent>
          </w:sdt>
        </w:tc>
        <w:tc>
          <w:tcPr>
            <w:tcW w:w="1333" w:type="dxa"/>
            <w:vAlign w:val="center"/>
          </w:tcPr>
          <w:p w14:paraId="13AACBF6" w14:textId="6360780C" w:rsidR="00A5642E" w:rsidRPr="00F5462A" w:rsidRDefault="00AC22FA"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w:t>
            </w:r>
            <w:r w:rsidRPr="00F5462A">
              <w:rPr>
                <w:rFonts w:ascii="Arial" w:hAnsi="Arial" w:cs="Arial"/>
                <w:sz w:val="20"/>
                <w:szCs w:val="20"/>
              </w:rPr>
              <w:t>hina</w:t>
            </w:r>
          </w:p>
        </w:tc>
        <w:tc>
          <w:tcPr>
            <w:tcW w:w="1538" w:type="dxa"/>
            <w:vAlign w:val="center"/>
          </w:tcPr>
          <w:p w14:paraId="1A5F674C" w14:textId="5C786ACE"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Nepeta cataria</w:t>
            </w:r>
          </w:p>
        </w:tc>
        <w:tc>
          <w:tcPr>
            <w:tcW w:w="1346" w:type="dxa"/>
            <w:vAlign w:val="center"/>
          </w:tcPr>
          <w:p w14:paraId="590A9AA9" w14:textId="60D1A56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Nepetalactone</w:t>
            </w:r>
            <w:r w:rsidR="00AC22FA" w:rsidRPr="00F5462A">
              <w:rPr>
                <w:rFonts w:ascii="Arial" w:hAnsi="Arial" w:cs="Arial"/>
                <w:color w:val="1A1A2E"/>
                <w:sz w:val="20"/>
                <w:szCs w:val="20"/>
              </w:rPr>
              <w:t xml:space="preserve"> TRPA1 </w:t>
            </w:r>
          </w:p>
        </w:tc>
        <w:tc>
          <w:tcPr>
            <w:tcW w:w="1244" w:type="dxa"/>
            <w:vAlign w:val="center"/>
          </w:tcPr>
          <w:p w14:paraId="06DC2D40" w14:textId="1178AA3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Oil extract</w:t>
            </w:r>
          </w:p>
        </w:tc>
        <w:tc>
          <w:tcPr>
            <w:tcW w:w="761" w:type="dxa"/>
            <w:vAlign w:val="center"/>
          </w:tcPr>
          <w:p w14:paraId="47C09A49" w14:textId="5D27C75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w:t>
            </w:r>
          </w:p>
        </w:tc>
        <w:tc>
          <w:tcPr>
            <w:tcW w:w="966" w:type="dxa"/>
            <w:vAlign w:val="center"/>
          </w:tcPr>
          <w:p w14:paraId="42EBB88A" w14:textId="5A1744F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Lab bioassay</w:t>
            </w:r>
          </w:p>
        </w:tc>
        <w:tc>
          <w:tcPr>
            <w:tcW w:w="484" w:type="dxa"/>
            <w:vAlign w:val="center"/>
          </w:tcPr>
          <w:p w14:paraId="68134DB0" w14:textId="49BED62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42</w:t>
            </w:r>
          </w:p>
        </w:tc>
        <w:tc>
          <w:tcPr>
            <w:tcW w:w="1011" w:type="dxa"/>
            <w:vAlign w:val="center"/>
          </w:tcPr>
          <w:p w14:paraId="479844AF" w14:textId="392AAF7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Landing rate</w:t>
            </w:r>
          </w:p>
        </w:tc>
        <w:tc>
          <w:tcPr>
            <w:tcW w:w="591" w:type="dxa"/>
            <w:vAlign w:val="center"/>
          </w:tcPr>
          <w:p w14:paraId="378FCF0F" w14:textId="6E94403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0.29</w:t>
            </w:r>
          </w:p>
        </w:tc>
        <w:tc>
          <w:tcPr>
            <w:tcW w:w="833" w:type="dxa"/>
            <w:vAlign w:val="center"/>
          </w:tcPr>
          <w:p w14:paraId="230731FE" w14:textId="034E51D7"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71%</w:t>
            </w:r>
          </w:p>
        </w:tc>
        <w:tc>
          <w:tcPr>
            <w:tcW w:w="868" w:type="dxa"/>
            <w:vAlign w:val="center"/>
          </w:tcPr>
          <w:p w14:paraId="661591F2" w14:textId="6EA6576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0573335" w14:textId="77777777" w:rsidTr="00470AA5">
        <w:tc>
          <w:tcPr>
            <w:tcW w:w="562" w:type="dxa"/>
            <w:vAlign w:val="center"/>
          </w:tcPr>
          <w:p w14:paraId="3936D57B"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
              <w:id w:val="1766033750"/>
              <w:placeholder>
                <w:docPart w:val="DefaultPlaceholder_-1854013440"/>
              </w:placeholder>
            </w:sdtPr>
            <w:sdtContent>
              <w:p w14:paraId="30ADA085" w14:textId="3BAD6FCE"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(Majeed et al., 2023)</w:t>
                </w:r>
              </w:p>
            </w:sdtContent>
          </w:sdt>
        </w:tc>
        <w:tc>
          <w:tcPr>
            <w:tcW w:w="1333" w:type="dxa"/>
            <w:vAlign w:val="center"/>
          </w:tcPr>
          <w:p w14:paraId="0FF3EE74" w14:textId="413DD7DA" w:rsidR="00A5642E" w:rsidRPr="00F5462A" w:rsidRDefault="00B75493"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Pakistan</w:t>
            </w:r>
          </w:p>
        </w:tc>
        <w:tc>
          <w:tcPr>
            <w:tcW w:w="1538" w:type="dxa"/>
            <w:vAlign w:val="center"/>
          </w:tcPr>
          <w:p w14:paraId="3FFC72F3" w14:textId="77777777" w:rsidR="002C23EE" w:rsidRPr="00F5462A" w:rsidRDefault="00A5642E" w:rsidP="00F5462A">
            <w:pPr>
              <w:spacing w:line="240" w:lineRule="auto"/>
              <w:ind w:left="0" w:firstLine="0"/>
              <w:jc w:val="center"/>
              <w:rPr>
                <w:rStyle w:val="Emphasis"/>
                <w:rFonts w:ascii="Arial" w:hAnsi="Arial" w:cs="Arial"/>
                <w:color w:val="1A1A2E"/>
                <w:sz w:val="20"/>
                <w:szCs w:val="20"/>
              </w:rPr>
            </w:pPr>
            <w:r w:rsidRPr="00F5462A">
              <w:rPr>
                <w:rStyle w:val="Emphasis"/>
                <w:rFonts w:ascii="Arial" w:hAnsi="Arial" w:cs="Arial"/>
                <w:color w:val="1A1A2E"/>
                <w:sz w:val="20"/>
                <w:szCs w:val="20"/>
              </w:rPr>
              <w:t>C. guianensis</w:t>
            </w:r>
          </w:p>
          <w:p w14:paraId="1C0F8D58" w14:textId="0B5466E7" w:rsidR="00A5642E" w:rsidRPr="00F5462A" w:rsidRDefault="00A5642E"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A. indica</w:t>
            </w:r>
          </w:p>
        </w:tc>
        <w:tc>
          <w:tcPr>
            <w:tcW w:w="1346" w:type="dxa"/>
            <w:vAlign w:val="center"/>
          </w:tcPr>
          <w:p w14:paraId="1BAE1B19" w14:textId="7B9363A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Limonoids + azadirachtin</w:t>
            </w:r>
          </w:p>
        </w:tc>
        <w:tc>
          <w:tcPr>
            <w:tcW w:w="1244" w:type="dxa"/>
            <w:vAlign w:val="center"/>
          </w:tcPr>
          <w:p w14:paraId="0152556B" w14:textId="60621CC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Blended cream</w:t>
            </w:r>
          </w:p>
        </w:tc>
        <w:tc>
          <w:tcPr>
            <w:tcW w:w="761" w:type="dxa"/>
            <w:vAlign w:val="center"/>
          </w:tcPr>
          <w:p w14:paraId="4EA39A59" w14:textId="2EF72A41"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15%</w:t>
            </w:r>
          </w:p>
        </w:tc>
        <w:tc>
          <w:tcPr>
            <w:tcW w:w="966" w:type="dxa"/>
            <w:vAlign w:val="center"/>
          </w:tcPr>
          <w:p w14:paraId="7565362D" w14:textId="5B1CD44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46DC4C97" w14:textId="7C08B1B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65</w:t>
            </w:r>
          </w:p>
        </w:tc>
        <w:tc>
          <w:tcPr>
            <w:tcW w:w="1011" w:type="dxa"/>
            <w:vAlign w:val="center"/>
          </w:tcPr>
          <w:p w14:paraId="0C731A98" w14:textId="7497627E"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Repellency %</w:t>
            </w:r>
          </w:p>
        </w:tc>
        <w:tc>
          <w:tcPr>
            <w:tcW w:w="591" w:type="dxa"/>
            <w:vAlign w:val="center"/>
          </w:tcPr>
          <w:p w14:paraId="36CFF59D" w14:textId="4870C40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0.23</w:t>
            </w:r>
          </w:p>
        </w:tc>
        <w:tc>
          <w:tcPr>
            <w:tcW w:w="833" w:type="dxa"/>
            <w:vAlign w:val="center"/>
          </w:tcPr>
          <w:p w14:paraId="630E4AF2" w14:textId="1D85760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77%</w:t>
            </w:r>
          </w:p>
        </w:tc>
        <w:tc>
          <w:tcPr>
            <w:tcW w:w="868" w:type="dxa"/>
            <w:vAlign w:val="center"/>
          </w:tcPr>
          <w:p w14:paraId="365E079F" w14:textId="240D4CC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Some concerns</w:t>
            </w:r>
          </w:p>
        </w:tc>
      </w:tr>
      <w:tr w:rsidR="00A5642E" w:rsidRPr="00F5462A" w14:paraId="7538FDBA" w14:textId="1C676099" w:rsidTr="00470AA5">
        <w:tc>
          <w:tcPr>
            <w:tcW w:w="562" w:type="dxa"/>
            <w:vAlign w:val="center"/>
          </w:tcPr>
          <w:p w14:paraId="6A124728"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
              <w:id w:val="1593358049"/>
              <w:placeholder>
                <w:docPart w:val="DefaultPlaceholder_-1854013440"/>
              </w:placeholder>
            </w:sdtPr>
            <w:sdtContent>
              <w:p w14:paraId="7153A43B" w14:textId="1D4B41C7"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(Obi et al., 2024)</w:t>
                </w:r>
              </w:p>
            </w:sdtContent>
          </w:sdt>
        </w:tc>
        <w:tc>
          <w:tcPr>
            <w:tcW w:w="1333" w:type="dxa"/>
            <w:vAlign w:val="center"/>
          </w:tcPr>
          <w:p w14:paraId="30D06D49" w14:textId="54D409F5" w:rsidR="00A5642E" w:rsidRPr="00F5462A" w:rsidRDefault="00B75493"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Ni</w:t>
            </w:r>
            <w:r w:rsidRPr="00F5462A">
              <w:rPr>
                <w:rFonts w:ascii="Arial" w:hAnsi="Arial" w:cs="Arial"/>
                <w:sz w:val="20"/>
                <w:szCs w:val="20"/>
              </w:rPr>
              <w:t>geria</w:t>
            </w:r>
          </w:p>
        </w:tc>
        <w:tc>
          <w:tcPr>
            <w:tcW w:w="1538" w:type="dxa"/>
            <w:vAlign w:val="center"/>
          </w:tcPr>
          <w:p w14:paraId="46FD5B1E" w14:textId="21E2AE48" w:rsidR="00A5642E" w:rsidRPr="00F5462A" w:rsidRDefault="00B75493" w:rsidP="00F5462A">
            <w:pPr>
              <w:spacing w:line="240" w:lineRule="auto"/>
              <w:ind w:left="0" w:firstLine="0"/>
              <w:jc w:val="center"/>
              <w:rPr>
                <w:rFonts w:ascii="Arial" w:hAnsi="Arial" w:cs="Arial"/>
                <w:sz w:val="20"/>
                <w:szCs w:val="20"/>
                <w:lang w:val="en-ID"/>
              </w:rPr>
            </w:pPr>
            <w:r w:rsidRPr="00F5462A">
              <w:rPr>
                <w:rStyle w:val="Emphasis"/>
                <w:rFonts w:ascii="Arial" w:hAnsi="Arial" w:cs="Arial"/>
                <w:color w:val="1A1A2E"/>
                <w:sz w:val="20"/>
                <w:szCs w:val="20"/>
              </w:rPr>
              <w:t>Mixed (clove, cinnamon, lemon)</w:t>
            </w:r>
          </w:p>
        </w:tc>
        <w:tc>
          <w:tcPr>
            <w:tcW w:w="1346" w:type="dxa"/>
            <w:vAlign w:val="center"/>
          </w:tcPr>
          <w:p w14:paraId="009D6053" w14:textId="2ACDF7B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 xml:space="preserve">Eugenol + citral </w:t>
            </w:r>
          </w:p>
        </w:tc>
        <w:tc>
          <w:tcPr>
            <w:tcW w:w="1244" w:type="dxa"/>
            <w:vAlign w:val="center"/>
          </w:tcPr>
          <w:p w14:paraId="3084FC23" w14:textId="703E748E" w:rsidR="00A5642E" w:rsidRPr="00F5462A" w:rsidRDefault="00B75493"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Oi</w:t>
            </w:r>
            <w:r w:rsidRPr="00F5462A">
              <w:rPr>
                <w:rFonts w:ascii="Arial" w:hAnsi="Arial" w:cs="Arial"/>
                <w:sz w:val="20"/>
                <w:szCs w:val="20"/>
              </w:rPr>
              <w:t xml:space="preserve">l </w:t>
            </w:r>
            <w:r w:rsidRPr="00F5462A">
              <w:rPr>
                <w:rFonts w:ascii="Arial" w:hAnsi="Arial" w:cs="Arial"/>
                <w:color w:val="1A1A2E"/>
                <w:sz w:val="20"/>
                <w:szCs w:val="20"/>
              </w:rPr>
              <w:t>extract</w:t>
            </w:r>
          </w:p>
        </w:tc>
        <w:tc>
          <w:tcPr>
            <w:tcW w:w="761" w:type="dxa"/>
            <w:vAlign w:val="center"/>
          </w:tcPr>
          <w:p w14:paraId="78C99617" w14:textId="558F3463"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5+5%</w:t>
            </w:r>
          </w:p>
        </w:tc>
        <w:tc>
          <w:tcPr>
            <w:tcW w:w="966" w:type="dxa"/>
            <w:vAlign w:val="center"/>
          </w:tcPr>
          <w:p w14:paraId="688FF1B8" w14:textId="71D99AF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RCT</w:t>
            </w:r>
          </w:p>
        </w:tc>
        <w:tc>
          <w:tcPr>
            <w:tcW w:w="484" w:type="dxa"/>
            <w:vAlign w:val="center"/>
          </w:tcPr>
          <w:p w14:paraId="2A4E6E5C" w14:textId="441C0B18"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52</w:t>
            </w:r>
          </w:p>
        </w:tc>
        <w:tc>
          <w:tcPr>
            <w:tcW w:w="1011" w:type="dxa"/>
            <w:vAlign w:val="center"/>
          </w:tcPr>
          <w:p w14:paraId="53744F31" w14:textId="02E2654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inhibition</w:t>
            </w:r>
          </w:p>
        </w:tc>
        <w:tc>
          <w:tcPr>
            <w:tcW w:w="591" w:type="dxa"/>
            <w:vAlign w:val="center"/>
          </w:tcPr>
          <w:p w14:paraId="6BE28C55" w14:textId="291CAA4A"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0.20</w:t>
            </w:r>
          </w:p>
        </w:tc>
        <w:tc>
          <w:tcPr>
            <w:tcW w:w="833" w:type="dxa"/>
            <w:vAlign w:val="center"/>
          </w:tcPr>
          <w:p w14:paraId="7C12786E" w14:textId="270B7316"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80%</w:t>
            </w:r>
          </w:p>
        </w:tc>
        <w:tc>
          <w:tcPr>
            <w:tcW w:w="868" w:type="dxa"/>
            <w:vAlign w:val="center"/>
          </w:tcPr>
          <w:p w14:paraId="44F19D88" w14:textId="7D4AE124"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r w:rsidR="00A5642E" w:rsidRPr="00F5462A" w14:paraId="5BFAEC90" w14:textId="04353CFB" w:rsidTr="00470AA5">
        <w:tc>
          <w:tcPr>
            <w:tcW w:w="562" w:type="dxa"/>
            <w:vAlign w:val="center"/>
          </w:tcPr>
          <w:p w14:paraId="7D43DF9E" w14:textId="77777777" w:rsidR="00A5642E" w:rsidRPr="00F5462A" w:rsidRDefault="00A5642E" w:rsidP="00F5462A">
            <w:pPr>
              <w:pStyle w:val="ListParagraph"/>
              <w:numPr>
                <w:ilvl w:val="0"/>
                <w:numId w:val="1"/>
              </w:numPr>
              <w:spacing w:line="240" w:lineRule="auto"/>
              <w:ind w:left="360"/>
              <w:jc w:val="left"/>
              <w:rPr>
                <w:rFonts w:ascii="Arial" w:hAnsi="Arial" w:cs="Arial"/>
                <w:color w:val="1A1A2E"/>
                <w:sz w:val="20"/>
                <w:szCs w:val="20"/>
              </w:rPr>
            </w:pPr>
          </w:p>
        </w:tc>
        <w:tc>
          <w:tcPr>
            <w:tcW w:w="971" w:type="dxa"/>
            <w:vAlign w:val="center"/>
          </w:tcPr>
          <w:sdt>
            <w:sdtPr>
              <w:rPr>
                <w:rFonts w:ascii="Arial" w:hAnsi="Arial" w:cs="Arial"/>
                <w:color w:val="1A1A2E"/>
                <w:sz w:val="20"/>
                <w:szCs w:val="20"/>
              </w:rPr>
              <w:tag w:val="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
              <w:id w:val="121509574"/>
              <w:placeholder>
                <w:docPart w:val="DefaultPlaceholder_-1854013440"/>
              </w:placeholder>
            </w:sdtPr>
            <w:sdtContent>
              <w:p w14:paraId="266AB944" w14:textId="0B084BEB" w:rsidR="00A5642E" w:rsidRPr="00F5462A" w:rsidRDefault="00FC0E8F" w:rsidP="00F5462A">
                <w:pPr>
                  <w:spacing w:line="240" w:lineRule="auto"/>
                  <w:ind w:left="0" w:firstLine="0"/>
                  <w:jc w:val="left"/>
                  <w:rPr>
                    <w:rFonts w:ascii="Arial" w:hAnsi="Arial" w:cs="Arial"/>
                    <w:sz w:val="20"/>
                    <w:szCs w:val="20"/>
                    <w:lang w:val="en-ID"/>
                  </w:rPr>
                </w:pPr>
                <w:r w:rsidRPr="00F5462A">
                  <w:rPr>
                    <w:rFonts w:ascii="Arial" w:hAnsi="Arial" w:cs="Arial"/>
                    <w:color w:val="1A1A2E"/>
                    <w:sz w:val="20"/>
                    <w:szCs w:val="20"/>
                  </w:rPr>
                  <w:t>(Adhikari et al., 2022)</w:t>
                </w:r>
              </w:p>
            </w:sdtContent>
          </w:sdt>
        </w:tc>
        <w:tc>
          <w:tcPr>
            <w:tcW w:w="1333" w:type="dxa"/>
            <w:vAlign w:val="center"/>
          </w:tcPr>
          <w:p w14:paraId="6752205F" w14:textId="2F843A52"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India</w:t>
            </w:r>
          </w:p>
        </w:tc>
        <w:tc>
          <w:tcPr>
            <w:tcW w:w="1538" w:type="dxa"/>
            <w:vAlign w:val="center"/>
          </w:tcPr>
          <w:p w14:paraId="54B0BEF7" w14:textId="4E70A741" w:rsidR="00A5642E" w:rsidRPr="00F5462A" w:rsidRDefault="00AC22FA" w:rsidP="00F5462A">
            <w:pPr>
              <w:spacing w:line="240" w:lineRule="auto"/>
              <w:ind w:left="0" w:firstLine="0"/>
              <w:jc w:val="center"/>
              <w:rPr>
                <w:rFonts w:ascii="Arial" w:hAnsi="Arial" w:cs="Arial"/>
                <w:color w:val="1A1A2E"/>
                <w:sz w:val="20"/>
                <w:szCs w:val="20"/>
              </w:rPr>
            </w:pPr>
            <w:r w:rsidRPr="00F5462A">
              <w:rPr>
                <w:rFonts w:ascii="Arial" w:hAnsi="Arial" w:cs="Arial"/>
                <w:i/>
                <w:iCs/>
                <w:color w:val="1A1A2E"/>
                <w:sz w:val="20"/>
                <w:szCs w:val="20"/>
              </w:rPr>
              <w:t>C</w:t>
            </w:r>
            <w:r w:rsidRPr="00F5462A">
              <w:rPr>
                <w:rFonts w:ascii="Arial" w:hAnsi="Arial" w:cs="Arial"/>
                <w:i/>
                <w:iCs/>
                <w:sz w:val="20"/>
                <w:szCs w:val="20"/>
              </w:rPr>
              <w:t>itrus</w:t>
            </w:r>
            <w:r w:rsidRPr="00F5462A">
              <w:rPr>
                <w:rFonts w:ascii="Arial" w:hAnsi="Arial" w:cs="Arial"/>
                <w:sz w:val="20"/>
                <w:szCs w:val="20"/>
              </w:rPr>
              <w:t xml:space="preserve"> spp.</w:t>
            </w:r>
          </w:p>
        </w:tc>
        <w:tc>
          <w:tcPr>
            <w:tcW w:w="1346" w:type="dxa"/>
            <w:vAlign w:val="center"/>
          </w:tcPr>
          <w:p w14:paraId="1B9AFD7F" w14:textId="23C3FFFC" w:rsidR="00A5642E" w:rsidRPr="00F5462A" w:rsidRDefault="00AC22FA"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C</w:t>
            </w:r>
            <w:r w:rsidR="00A5642E" w:rsidRPr="00F5462A">
              <w:rPr>
                <w:rFonts w:ascii="Arial" w:hAnsi="Arial" w:cs="Arial"/>
                <w:color w:val="1A1A2E"/>
                <w:sz w:val="20"/>
                <w:szCs w:val="20"/>
              </w:rPr>
              <w:t>itral</w:t>
            </w:r>
            <w:r w:rsidRPr="00F5462A">
              <w:rPr>
                <w:rFonts w:ascii="Arial" w:hAnsi="Arial" w:cs="Arial"/>
                <w:color w:val="1A1A2E"/>
                <w:sz w:val="20"/>
                <w:szCs w:val="20"/>
              </w:rPr>
              <w:t xml:space="preserve"> </w:t>
            </w:r>
          </w:p>
        </w:tc>
        <w:tc>
          <w:tcPr>
            <w:tcW w:w="1244" w:type="dxa"/>
            <w:vAlign w:val="center"/>
          </w:tcPr>
          <w:p w14:paraId="23FBBCF7" w14:textId="056C591E" w:rsidR="00A5642E" w:rsidRPr="00F5462A" w:rsidRDefault="00AC22FA" w:rsidP="00F5462A">
            <w:pPr>
              <w:spacing w:line="240" w:lineRule="auto"/>
              <w:ind w:left="0" w:firstLine="0"/>
              <w:jc w:val="center"/>
              <w:rPr>
                <w:rFonts w:ascii="Arial" w:hAnsi="Arial" w:cs="Arial"/>
                <w:sz w:val="20"/>
                <w:szCs w:val="20"/>
                <w:lang w:val="en-ID"/>
              </w:rPr>
            </w:pPr>
            <w:r w:rsidRPr="00F5462A">
              <w:rPr>
                <w:rFonts w:ascii="Arial" w:hAnsi="Arial" w:cs="Arial"/>
                <w:sz w:val="20"/>
                <w:szCs w:val="20"/>
              </w:rPr>
              <w:t xml:space="preserve">Oil </w:t>
            </w:r>
            <w:r w:rsidR="00B75493" w:rsidRPr="00F5462A">
              <w:rPr>
                <w:rFonts w:ascii="Arial" w:hAnsi="Arial" w:cs="Arial"/>
                <w:color w:val="1A1A2E"/>
                <w:sz w:val="20"/>
                <w:szCs w:val="20"/>
              </w:rPr>
              <w:t>extract</w:t>
            </w:r>
          </w:p>
        </w:tc>
        <w:tc>
          <w:tcPr>
            <w:tcW w:w="761" w:type="dxa"/>
            <w:vAlign w:val="center"/>
          </w:tcPr>
          <w:p w14:paraId="0B8D22AE" w14:textId="1BD9AF9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10%</w:t>
            </w:r>
          </w:p>
        </w:tc>
        <w:tc>
          <w:tcPr>
            <w:tcW w:w="966" w:type="dxa"/>
            <w:vAlign w:val="center"/>
          </w:tcPr>
          <w:p w14:paraId="4078239C" w14:textId="0930E595"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Lab RCT</w:t>
            </w:r>
          </w:p>
        </w:tc>
        <w:tc>
          <w:tcPr>
            <w:tcW w:w="484" w:type="dxa"/>
            <w:vAlign w:val="center"/>
          </w:tcPr>
          <w:p w14:paraId="1423062B" w14:textId="33E4366F"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48</w:t>
            </w:r>
          </w:p>
        </w:tc>
        <w:tc>
          <w:tcPr>
            <w:tcW w:w="1011" w:type="dxa"/>
            <w:vAlign w:val="center"/>
          </w:tcPr>
          <w:p w14:paraId="4A03CF9B" w14:textId="550907BB"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Biting rate</w:t>
            </w:r>
          </w:p>
        </w:tc>
        <w:tc>
          <w:tcPr>
            <w:tcW w:w="591" w:type="dxa"/>
            <w:vAlign w:val="center"/>
          </w:tcPr>
          <w:p w14:paraId="2D2FA959" w14:textId="712CA02C"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0.35</w:t>
            </w:r>
          </w:p>
        </w:tc>
        <w:tc>
          <w:tcPr>
            <w:tcW w:w="833" w:type="dxa"/>
            <w:vAlign w:val="center"/>
          </w:tcPr>
          <w:p w14:paraId="6B3DB5EF" w14:textId="31F758C0"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65%</w:t>
            </w:r>
          </w:p>
        </w:tc>
        <w:tc>
          <w:tcPr>
            <w:tcW w:w="868" w:type="dxa"/>
            <w:vAlign w:val="center"/>
          </w:tcPr>
          <w:p w14:paraId="0971231B" w14:textId="79147C89" w:rsidR="00A5642E" w:rsidRPr="00F5462A" w:rsidRDefault="00A5642E" w:rsidP="00F5462A">
            <w:pPr>
              <w:spacing w:line="240" w:lineRule="auto"/>
              <w:ind w:left="0" w:firstLine="0"/>
              <w:jc w:val="center"/>
              <w:rPr>
                <w:rFonts w:ascii="Arial" w:hAnsi="Arial" w:cs="Arial"/>
                <w:sz w:val="20"/>
                <w:szCs w:val="20"/>
                <w:lang w:val="en-ID"/>
              </w:rPr>
            </w:pPr>
            <w:r w:rsidRPr="00F5462A">
              <w:rPr>
                <w:rFonts w:ascii="Arial" w:hAnsi="Arial" w:cs="Arial"/>
                <w:color w:val="1A1A2E"/>
                <w:sz w:val="20"/>
                <w:szCs w:val="20"/>
              </w:rPr>
              <w:t>Low</w:t>
            </w:r>
          </w:p>
        </w:tc>
      </w:tr>
    </w:tbl>
    <w:p w14:paraId="38846122" w14:textId="3D678CAB" w:rsidR="0098547A" w:rsidRPr="00F5462A" w:rsidRDefault="0098547A" w:rsidP="00F5462A">
      <w:pPr>
        <w:spacing w:line="240" w:lineRule="auto"/>
        <w:ind w:left="0" w:firstLine="0"/>
        <w:rPr>
          <w:rFonts w:ascii="Arial" w:hAnsi="Arial" w:cs="Arial"/>
          <w:sz w:val="20"/>
          <w:szCs w:val="20"/>
          <w:lang w:val="en-ID"/>
        </w:rPr>
      </w:pPr>
      <w:r w:rsidRPr="00F5462A">
        <w:rPr>
          <w:rFonts w:ascii="Arial" w:hAnsi="Arial" w:cs="Arial"/>
          <w:i/>
          <w:iCs/>
          <w:sz w:val="20"/>
          <w:szCs w:val="20"/>
        </w:rPr>
        <w:t>Abbreviations: RCT = randomized controlled trial; Quasi-exp. = quasi-experimental; Conc. = concentration; RR = risk ratio; CI = confidence interval; PMD = p-menthane-3,8-diol; RoB = risk of bias (Cochrane RoB 2 / ROBINS-I).</w:t>
      </w:r>
    </w:p>
    <w:p w14:paraId="5D94B2A1" w14:textId="37D532B9" w:rsidR="00A5642E" w:rsidRPr="00F5462A" w:rsidRDefault="00A5642E" w:rsidP="00F5462A">
      <w:pPr>
        <w:spacing w:line="240" w:lineRule="auto"/>
        <w:ind w:left="0" w:firstLine="0"/>
        <w:rPr>
          <w:rFonts w:ascii="Arial" w:hAnsi="Arial" w:cs="Arial"/>
          <w:b/>
          <w:bCs/>
          <w:sz w:val="20"/>
          <w:szCs w:val="20"/>
          <w:lang w:val="en-ID"/>
        </w:rPr>
        <w:sectPr w:rsidR="00A5642E" w:rsidRPr="00F5462A" w:rsidSect="00F5462A">
          <w:pgSz w:w="16838" w:h="11906" w:orient="landscape" w:code="9"/>
          <w:pgMar w:top="2160" w:right="2160" w:bottom="3799" w:left="2160" w:header="0" w:footer="720" w:gutter="0"/>
          <w:cols w:space="708"/>
          <w:docGrid w:linePitch="326"/>
        </w:sectPr>
      </w:pPr>
    </w:p>
    <w:p w14:paraId="71238F0C" w14:textId="12569032" w:rsidR="0002065B" w:rsidRPr="00F5462A" w:rsidRDefault="00AA1B3F" w:rsidP="00F5462A">
      <w:pPr>
        <w:spacing w:line="240" w:lineRule="auto"/>
        <w:ind w:left="0" w:firstLine="0"/>
        <w:rPr>
          <w:rFonts w:ascii="Arial" w:hAnsi="Arial" w:cs="Arial"/>
          <w:b/>
          <w:bCs/>
          <w:sz w:val="20"/>
          <w:szCs w:val="20"/>
          <w:lang w:val="en-ID"/>
        </w:rPr>
      </w:pPr>
      <w:r w:rsidRPr="00F5462A">
        <w:rPr>
          <w:rFonts w:ascii="Arial" w:hAnsi="Arial" w:cs="Arial"/>
          <w:b/>
          <w:bCs/>
          <w:sz w:val="20"/>
          <w:szCs w:val="20"/>
          <w:lang w:val="en-ID"/>
        </w:rPr>
        <w:lastRenderedPageBreak/>
        <w:t xml:space="preserve">Overall </w:t>
      </w:r>
      <w:r w:rsidR="0002065B" w:rsidRPr="00F5462A">
        <w:rPr>
          <w:rFonts w:ascii="Arial" w:hAnsi="Arial" w:cs="Arial"/>
          <w:b/>
          <w:bCs/>
          <w:sz w:val="20"/>
          <w:szCs w:val="20"/>
          <w:lang w:val="en-ID"/>
        </w:rPr>
        <w:t xml:space="preserve">Meta-Analysis </w:t>
      </w:r>
    </w:p>
    <w:p w14:paraId="57E1E3D1" w14:textId="5F98D3C6"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In the meta-analysis of all 30 studies, plant-based repellents significantly reduced </w:t>
      </w:r>
      <w:r w:rsidR="004935F7" w:rsidRPr="00F5462A">
        <w:rPr>
          <w:rFonts w:ascii="Arial" w:hAnsi="Arial" w:cs="Arial"/>
          <w:i/>
          <w:iCs/>
          <w:sz w:val="20"/>
          <w:szCs w:val="20"/>
          <w:lang w:val="en-ID"/>
        </w:rPr>
        <w:t>Aedes aegypti</w:t>
      </w:r>
      <w:r w:rsidRPr="00F5462A">
        <w:rPr>
          <w:rFonts w:ascii="Arial" w:hAnsi="Arial" w:cs="Arial"/>
          <w:sz w:val="20"/>
          <w:szCs w:val="20"/>
          <w:lang w:val="en-ID"/>
        </w:rPr>
        <w:t xml:space="preserve"> biting/landing rates compared to controls (pooled RR = 0.37; 95% CI: 0.31–0.43; z = −9.42; p &lt; 0.001), which corresponds to an overall mean protection rate of 63%. There was significant heterogeneity (I2 = 62.4%; Cochran’s Q = 76.8, df = 29, p &lt; 0.001; τ2 = 0.038), and a random-effects model was used. The forest plot is shown in Figure </w:t>
      </w:r>
      <w:r w:rsidR="00656E96" w:rsidRPr="00F5462A">
        <w:rPr>
          <w:rFonts w:ascii="Arial" w:hAnsi="Arial" w:cs="Arial"/>
          <w:sz w:val="20"/>
          <w:szCs w:val="20"/>
          <w:lang w:val="en-ID"/>
        </w:rPr>
        <w:t>3</w:t>
      </w:r>
      <w:r w:rsidRPr="00F5462A">
        <w:rPr>
          <w:rFonts w:ascii="Arial" w:hAnsi="Arial" w:cs="Arial"/>
          <w:sz w:val="20"/>
          <w:szCs w:val="20"/>
          <w:lang w:val="en-ID"/>
        </w:rPr>
        <w:t xml:space="preserve">. </w:t>
      </w:r>
    </w:p>
    <w:p w14:paraId="188AD65E" w14:textId="77777777" w:rsidR="006E1D49" w:rsidRPr="00F5462A" w:rsidRDefault="006E1D49" w:rsidP="00F5462A">
      <w:pPr>
        <w:spacing w:line="240" w:lineRule="auto"/>
        <w:ind w:left="0" w:firstLine="0"/>
        <w:rPr>
          <w:rFonts w:ascii="Arial" w:hAnsi="Arial" w:cs="Arial"/>
          <w:sz w:val="20"/>
          <w:szCs w:val="20"/>
          <w:lang w:val="en-ID"/>
        </w:rPr>
      </w:pPr>
    </w:p>
    <w:p w14:paraId="3BF9F2BB" w14:textId="77777777" w:rsidR="006E1D49" w:rsidRPr="00F5462A" w:rsidRDefault="00AA1B3F" w:rsidP="00F5462A">
      <w:pPr>
        <w:keepNext/>
        <w:spacing w:line="240" w:lineRule="auto"/>
        <w:ind w:left="0" w:firstLine="0"/>
        <w:jc w:val="center"/>
        <w:rPr>
          <w:rFonts w:ascii="Arial" w:hAnsi="Arial" w:cs="Arial"/>
          <w:sz w:val="20"/>
          <w:szCs w:val="20"/>
        </w:rPr>
      </w:pPr>
      <w:r w:rsidRPr="00F5462A">
        <w:rPr>
          <w:rFonts w:ascii="Arial" w:hAnsi="Arial" w:cs="Arial"/>
          <w:noProof/>
          <w:sz w:val="20"/>
          <w:szCs w:val="20"/>
          <w:lang w:val="en-ID"/>
        </w:rPr>
        <w:drawing>
          <wp:inline distT="0" distB="0" distL="0" distR="0" wp14:anchorId="6FC732A3" wp14:editId="11A40543">
            <wp:extent cx="4179403" cy="4687614"/>
            <wp:effectExtent l="0" t="0" r="0" b="0"/>
            <wp:docPr id="44610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9243" cy="4743514"/>
                    </a:xfrm>
                    <a:prstGeom prst="rect">
                      <a:avLst/>
                    </a:prstGeom>
                    <a:noFill/>
                    <a:ln>
                      <a:noFill/>
                    </a:ln>
                  </pic:spPr>
                </pic:pic>
              </a:graphicData>
            </a:graphic>
          </wp:inline>
        </w:drawing>
      </w:r>
    </w:p>
    <w:p w14:paraId="7F869C43" w14:textId="46154E05" w:rsidR="00AA1B3F" w:rsidRPr="00F5462A" w:rsidRDefault="006E1D49" w:rsidP="00F5462A">
      <w:pPr>
        <w:pStyle w:val="Caption"/>
        <w:ind w:right="521" w:hanging="5"/>
        <w:jc w:val="center"/>
        <w:rPr>
          <w:rFonts w:ascii="Arial" w:hAnsi="Arial" w:cs="Arial"/>
          <w:i w:val="0"/>
          <w:iCs w:val="0"/>
          <w:color w:val="auto"/>
          <w:sz w:val="20"/>
          <w:szCs w:val="20"/>
          <w:lang w:val="en-ID"/>
        </w:rPr>
      </w:pPr>
      <w:r w:rsidRPr="00F5462A">
        <w:rPr>
          <w:rFonts w:ascii="Arial" w:hAnsi="Arial" w:cs="Arial"/>
          <w:i w:val="0"/>
          <w:iCs w:val="0"/>
          <w:color w:val="auto"/>
          <w:sz w:val="20"/>
          <w:szCs w:val="20"/>
        </w:rPr>
        <w:t xml:space="preserve">Figure </w:t>
      </w:r>
      <w:r w:rsidRPr="00F5462A">
        <w:rPr>
          <w:rFonts w:ascii="Arial" w:hAnsi="Arial" w:cs="Arial"/>
          <w:i w:val="0"/>
          <w:iCs w:val="0"/>
          <w:color w:val="auto"/>
          <w:sz w:val="20"/>
          <w:szCs w:val="20"/>
        </w:rPr>
        <w:fldChar w:fldCharType="begin"/>
      </w:r>
      <w:r w:rsidRPr="00F5462A">
        <w:rPr>
          <w:rFonts w:ascii="Arial" w:hAnsi="Arial" w:cs="Arial"/>
          <w:i w:val="0"/>
          <w:iCs w:val="0"/>
          <w:color w:val="auto"/>
          <w:sz w:val="20"/>
          <w:szCs w:val="20"/>
        </w:rPr>
        <w:instrText xml:space="preserve"> SEQ Figure \* ARABIC </w:instrText>
      </w:r>
      <w:r w:rsidRPr="00F5462A">
        <w:rPr>
          <w:rFonts w:ascii="Arial" w:hAnsi="Arial" w:cs="Arial"/>
          <w:i w:val="0"/>
          <w:iCs w:val="0"/>
          <w:color w:val="auto"/>
          <w:sz w:val="20"/>
          <w:szCs w:val="20"/>
        </w:rPr>
        <w:fldChar w:fldCharType="separate"/>
      </w:r>
      <w:r w:rsidR="0098547A" w:rsidRPr="00F5462A">
        <w:rPr>
          <w:rFonts w:ascii="Arial" w:hAnsi="Arial" w:cs="Arial"/>
          <w:i w:val="0"/>
          <w:iCs w:val="0"/>
          <w:noProof/>
          <w:color w:val="auto"/>
          <w:sz w:val="20"/>
          <w:szCs w:val="20"/>
        </w:rPr>
        <w:t>3</w:t>
      </w:r>
      <w:r w:rsidRPr="00F5462A">
        <w:rPr>
          <w:rFonts w:ascii="Arial" w:hAnsi="Arial" w:cs="Arial"/>
          <w:i w:val="0"/>
          <w:iCs w:val="0"/>
          <w:color w:val="auto"/>
          <w:sz w:val="20"/>
          <w:szCs w:val="20"/>
        </w:rPr>
        <w:fldChar w:fldCharType="end"/>
      </w:r>
      <w:r w:rsidRPr="00F5462A">
        <w:rPr>
          <w:rFonts w:ascii="Arial" w:hAnsi="Arial" w:cs="Arial"/>
          <w:i w:val="0"/>
          <w:iCs w:val="0"/>
          <w:color w:val="auto"/>
          <w:sz w:val="20"/>
          <w:szCs w:val="20"/>
        </w:rPr>
        <w:t xml:space="preserve">  Forest Plot. Random-effects meta-analysis of plant-based repellents against </w:t>
      </w:r>
      <w:r w:rsidRPr="00F5462A">
        <w:rPr>
          <w:rFonts w:ascii="Arial" w:hAnsi="Arial" w:cs="Arial"/>
          <w:color w:val="auto"/>
          <w:sz w:val="20"/>
          <w:szCs w:val="20"/>
        </w:rPr>
        <w:t>Aedes aegypti</w:t>
      </w:r>
      <w:r w:rsidRPr="00F5462A">
        <w:rPr>
          <w:rFonts w:ascii="Arial" w:hAnsi="Arial" w:cs="Arial"/>
          <w:i w:val="0"/>
          <w:iCs w:val="0"/>
          <w:color w:val="auto"/>
          <w:sz w:val="20"/>
          <w:szCs w:val="20"/>
        </w:rPr>
        <w:t>. Each study is represented by a colored square (</w:t>
      </w:r>
      <w:r w:rsidR="0098547A" w:rsidRPr="00F5462A">
        <w:rPr>
          <w:rFonts w:ascii="Arial" w:hAnsi="Arial" w:cs="Arial"/>
          <w:i w:val="0"/>
          <w:iCs w:val="0"/>
          <w:color w:val="auto"/>
          <w:sz w:val="20"/>
          <w:szCs w:val="20"/>
        </w:rPr>
        <w:t xml:space="preserve">with size proportional to weight) and horizontal lines indicating the </w:t>
      </w:r>
      <w:r w:rsidRPr="00F5462A">
        <w:rPr>
          <w:rFonts w:ascii="Arial" w:hAnsi="Arial" w:cs="Arial"/>
          <w:i w:val="0"/>
          <w:iCs w:val="0"/>
          <w:color w:val="auto"/>
          <w:sz w:val="20"/>
          <w:szCs w:val="20"/>
        </w:rPr>
        <w:t xml:space="preserve">95% CI. The red diamond represents the pooled random-effects estimate (RR = 0.37; 95% CI: 0.31–0.43). Log RR &lt; 0 indicates </w:t>
      </w:r>
      <w:r w:rsidR="0098547A" w:rsidRPr="00F5462A">
        <w:rPr>
          <w:rFonts w:ascii="Arial" w:hAnsi="Arial" w:cs="Arial"/>
          <w:i w:val="0"/>
          <w:iCs w:val="0"/>
          <w:color w:val="auto"/>
          <w:sz w:val="20"/>
          <w:szCs w:val="20"/>
        </w:rPr>
        <w:t xml:space="preserve">a </w:t>
      </w:r>
      <w:r w:rsidRPr="00F5462A">
        <w:rPr>
          <w:rFonts w:ascii="Arial" w:hAnsi="Arial" w:cs="Arial"/>
          <w:i w:val="0"/>
          <w:iCs w:val="0"/>
          <w:color w:val="auto"/>
          <w:sz w:val="20"/>
          <w:szCs w:val="20"/>
        </w:rPr>
        <w:t>favor toward repellent treatment. Dashed vertical line = no effect (RR = 1)</w:t>
      </w:r>
    </w:p>
    <w:p w14:paraId="0D04458F" w14:textId="611333DB"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sz w:val="20"/>
          <w:szCs w:val="20"/>
          <w:lang w:val="en-ID"/>
        </w:rPr>
        <w:lastRenderedPageBreak/>
        <w:br/>
      </w:r>
      <w:r w:rsidRPr="00F5462A">
        <w:rPr>
          <w:rFonts w:ascii="Arial" w:hAnsi="Arial" w:cs="Arial"/>
          <w:b/>
          <w:bCs/>
          <w:sz w:val="20"/>
          <w:szCs w:val="20"/>
          <w:lang w:val="en-ID"/>
        </w:rPr>
        <w:t xml:space="preserve">Subanalyses by Plant Species </w:t>
      </w:r>
    </w:p>
    <w:p w14:paraId="0FEDB859" w14:textId="28F54017"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Subgroup analysis showed significant differences in efficacy between plant categories (p for subgroup difference &lt; 0.001). Pooled RR estimates for plant species/category were</w:t>
      </w:r>
      <w:r w:rsidR="0098547A" w:rsidRPr="00F5462A">
        <w:rPr>
          <w:rFonts w:ascii="Arial" w:hAnsi="Arial" w:cs="Arial"/>
          <w:sz w:val="20"/>
          <w:szCs w:val="20"/>
          <w:lang w:val="en-ID"/>
        </w:rPr>
        <w:t>:</w:t>
      </w:r>
    </w:p>
    <w:p w14:paraId="52F4D8E6" w14:textId="77777777" w:rsidR="0098547A" w:rsidRPr="00F5462A" w:rsidRDefault="0098547A" w:rsidP="00F5462A">
      <w:pPr>
        <w:spacing w:line="240" w:lineRule="auto"/>
        <w:ind w:left="0" w:firstLine="720"/>
        <w:rPr>
          <w:rFonts w:ascii="Arial" w:hAnsi="Arial" w:cs="Arial"/>
          <w:sz w:val="20"/>
          <w:szCs w:val="20"/>
          <w:lang w:val="en-ID"/>
        </w:rPr>
      </w:pPr>
    </w:p>
    <w:p w14:paraId="55DDDB99" w14:textId="241F4A12" w:rsidR="0098547A" w:rsidRPr="00F5462A" w:rsidRDefault="0098547A" w:rsidP="00F5462A">
      <w:pPr>
        <w:pStyle w:val="Caption"/>
        <w:keepNext/>
        <w:spacing w:after="0"/>
        <w:ind w:left="851" w:right="521" w:firstLine="0"/>
        <w:jc w:val="center"/>
        <w:rPr>
          <w:rFonts w:ascii="Arial" w:hAnsi="Arial" w:cs="Arial"/>
          <w:i w:val="0"/>
          <w:iCs w:val="0"/>
          <w:color w:val="auto"/>
          <w:sz w:val="20"/>
          <w:szCs w:val="20"/>
        </w:rPr>
      </w:pPr>
      <w:r w:rsidRPr="00F5462A">
        <w:rPr>
          <w:rFonts w:ascii="Arial" w:hAnsi="Arial" w:cs="Arial"/>
          <w:i w:val="0"/>
          <w:iCs w:val="0"/>
          <w:color w:val="auto"/>
          <w:sz w:val="20"/>
          <w:szCs w:val="20"/>
        </w:rPr>
        <w:t xml:space="preserve">Table </w:t>
      </w:r>
      <w:r w:rsidRPr="00F5462A">
        <w:rPr>
          <w:rFonts w:ascii="Arial" w:hAnsi="Arial" w:cs="Arial"/>
          <w:i w:val="0"/>
          <w:iCs w:val="0"/>
          <w:color w:val="auto"/>
          <w:sz w:val="20"/>
          <w:szCs w:val="20"/>
        </w:rPr>
        <w:fldChar w:fldCharType="begin"/>
      </w:r>
      <w:r w:rsidRPr="00F5462A">
        <w:rPr>
          <w:rFonts w:ascii="Arial" w:hAnsi="Arial" w:cs="Arial"/>
          <w:i w:val="0"/>
          <w:iCs w:val="0"/>
          <w:color w:val="auto"/>
          <w:sz w:val="20"/>
          <w:szCs w:val="20"/>
        </w:rPr>
        <w:instrText xml:space="preserve"> SEQ Table \* ARABIC </w:instrText>
      </w:r>
      <w:r w:rsidRPr="00F5462A">
        <w:rPr>
          <w:rFonts w:ascii="Arial" w:hAnsi="Arial" w:cs="Arial"/>
          <w:i w:val="0"/>
          <w:iCs w:val="0"/>
          <w:color w:val="auto"/>
          <w:sz w:val="20"/>
          <w:szCs w:val="20"/>
        </w:rPr>
        <w:fldChar w:fldCharType="separate"/>
      </w:r>
      <w:r w:rsidRPr="00F5462A">
        <w:rPr>
          <w:rFonts w:ascii="Arial" w:hAnsi="Arial" w:cs="Arial"/>
          <w:i w:val="0"/>
          <w:iCs w:val="0"/>
          <w:noProof/>
          <w:color w:val="auto"/>
          <w:sz w:val="20"/>
          <w:szCs w:val="20"/>
        </w:rPr>
        <w:t>2</w:t>
      </w:r>
      <w:r w:rsidRPr="00F5462A">
        <w:rPr>
          <w:rFonts w:ascii="Arial" w:hAnsi="Arial" w:cs="Arial"/>
          <w:i w:val="0"/>
          <w:iCs w:val="0"/>
          <w:color w:val="auto"/>
          <w:sz w:val="20"/>
          <w:szCs w:val="20"/>
        </w:rPr>
        <w:fldChar w:fldCharType="end"/>
      </w:r>
      <w:r w:rsidRPr="00F5462A">
        <w:rPr>
          <w:rFonts w:ascii="Arial" w:hAnsi="Arial" w:cs="Arial"/>
          <w:i w:val="0"/>
          <w:iCs w:val="0"/>
          <w:color w:val="auto"/>
          <w:sz w:val="20"/>
          <w:szCs w:val="20"/>
        </w:rPr>
        <w:t xml:space="preserve"> Results of subgroup analysis by plant species/category regarding the effectiveness of the repellent (pooled risk ratio, RR) against </w:t>
      </w:r>
      <w:r w:rsidR="004935F7" w:rsidRPr="00F5462A">
        <w:rPr>
          <w:rFonts w:ascii="Arial" w:hAnsi="Arial" w:cs="Arial"/>
          <w:color w:val="auto"/>
          <w:sz w:val="20"/>
          <w:szCs w:val="20"/>
        </w:rPr>
        <w:t>Aedes</w:t>
      </w:r>
      <w:r w:rsidR="004935F7" w:rsidRPr="00F5462A">
        <w:rPr>
          <w:rFonts w:ascii="Arial" w:hAnsi="Arial" w:cs="Arial"/>
          <w:color w:val="auto"/>
          <w:sz w:val="20"/>
          <w:szCs w:val="20"/>
        </w:rPr>
        <w:t xml:space="preserve"> </w:t>
      </w:r>
      <w:r w:rsidRPr="00F5462A">
        <w:rPr>
          <w:rFonts w:ascii="Arial" w:hAnsi="Arial" w:cs="Arial"/>
          <w:color w:val="auto"/>
          <w:sz w:val="20"/>
          <w:szCs w:val="20"/>
        </w:rPr>
        <w:t>aegypti</w:t>
      </w:r>
      <w:r w:rsidRPr="00F5462A">
        <w:rPr>
          <w:rFonts w:ascii="Arial" w:hAnsi="Arial" w:cs="Arial"/>
          <w:i w:val="0"/>
          <w:iCs w:val="0"/>
          <w:color w:val="auto"/>
          <w:sz w:val="20"/>
          <w:szCs w:val="20"/>
        </w:rPr>
        <w:t xml:space="preserve"> mosquitoes.</w:t>
      </w:r>
    </w:p>
    <w:tbl>
      <w:tblPr>
        <w:tblStyle w:val="TableGrid"/>
        <w:tblW w:w="5000" w:type="pct"/>
        <w:tblLook w:val="04A0" w:firstRow="1" w:lastRow="0" w:firstColumn="1" w:lastColumn="0" w:noHBand="0" w:noVBand="1"/>
      </w:tblPr>
      <w:tblGrid>
        <w:gridCol w:w="2548"/>
        <w:gridCol w:w="1275"/>
        <w:gridCol w:w="991"/>
        <w:gridCol w:w="1161"/>
        <w:gridCol w:w="617"/>
        <w:gridCol w:w="984"/>
      </w:tblGrid>
      <w:tr w:rsidR="005420D7" w:rsidRPr="00F5462A" w14:paraId="46801D6C" w14:textId="6C57177B" w:rsidTr="00032542">
        <w:trPr>
          <w:tblHeader/>
        </w:trPr>
        <w:tc>
          <w:tcPr>
            <w:tcW w:w="1682" w:type="pct"/>
            <w:vAlign w:val="center"/>
          </w:tcPr>
          <w:p w14:paraId="688BFD42" w14:textId="53320088" w:rsidR="005420D7" w:rsidRPr="00F5462A" w:rsidRDefault="005420D7" w:rsidP="00F5462A">
            <w:pPr>
              <w:spacing w:line="240" w:lineRule="auto"/>
              <w:ind w:left="0" w:firstLine="0"/>
              <w:jc w:val="center"/>
              <w:rPr>
                <w:rFonts w:ascii="Arial" w:hAnsi="Arial" w:cs="Arial"/>
                <w:b/>
                <w:bCs/>
                <w:sz w:val="20"/>
                <w:szCs w:val="20"/>
                <w:lang w:val="en-ID"/>
              </w:rPr>
            </w:pPr>
            <w:r w:rsidRPr="00F5462A">
              <w:rPr>
                <w:rFonts w:ascii="Arial" w:hAnsi="Arial" w:cs="Arial"/>
                <w:b/>
                <w:bCs/>
                <w:sz w:val="20"/>
                <w:szCs w:val="20"/>
                <w:lang w:val="en-ID"/>
              </w:rPr>
              <w:t>Plant Category</w:t>
            </w:r>
          </w:p>
        </w:tc>
        <w:tc>
          <w:tcPr>
            <w:tcW w:w="842" w:type="pct"/>
            <w:vAlign w:val="center"/>
          </w:tcPr>
          <w:p w14:paraId="5D7FB9EC" w14:textId="3478C1FC" w:rsidR="005420D7" w:rsidRPr="00F5462A" w:rsidRDefault="005420D7" w:rsidP="00F5462A">
            <w:pPr>
              <w:spacing w:line="240" w:lineRule="auto"/>
              <w:ind w:left="0" w:firstLine="0"/>
              <w:jc w:val="center"/>
              <w:rPr>
                <w:rFonts w:ascii="Arial" w:hAnsi="Arial" w:cs="Arial"/>
                <w:b/>
                <w:bCs/>
                <w:sz w:val="20"/>
                <w:szCs w:val="20"/>
                <w:lang w:val="en-ID"/>
              </w:rPr>
            </w:pPr>
            <w:r w:rsidRPr="00F5462A">
              <w:rPr>
                <w:rFonts w:ascii="Arial" w:hAnsi="Arial" w:cs="Arial"/>
                <w:b/>
                <w:bCs/>
                <w:sz w:val="20"/>
                <w:szCs w:val="20"/>
                <w:lang w:val="en-ID"/>
              </w:rPr>
              <w:t>k (Studies)</w:t>
            </w:r>
          </w:p>
        </w:tc>
        <w:tc>
          <w:tcPr>
            <w:tcW w:w="654" w:type="pct"/>
            <w:vAlign w:val="center"/>
          </w:tcPr>
          <w:p w14:paraId="080C70A0" w14:textId="5B23E6EE" w:rsidR="005420D7" w:rsidRPr="00F5462A" w:rsidRDefault="005420D7" w:rsidP="00F5462A">
            <w:pPr>
              <w:spacing w:line="240" w:lineRule="auto"/>
              <w:ind w:left="0" w:firstLine="0"/>
              <w:jc w:val="center"/>
              <w:rPr>
                <w:rFonts w:ascii="Arial" w:hAnsi="Arial" w:cs="Arial"/>
                <w:b/>
                <w:bCs/>
                <w:sz w:val="20"/>
                <w:szCs w:val="20"/>
                <w:lang w:val="en-ID"/>
              </w:rPr>
            </w:pPr>
            <w:r w:rsidRPr="00F5462A">
              <w:rPr>
                <w:rFonts w:ascii="Arial" w:hAnsi="Arial" w:cs="Arial"/>
                <w:b/>
                <w:bCs/>
                <w:sz w:val="20"/>
                <w:szCs w:val="20"/>
                <w:lang w:val="en-ID"/>
              </w:rPr>
              <w:t>Pooled RR</w:t>
            </w:r>
          </w:p>
        </w:tc>
        <w:tc>
          <w:tcPr>
            <w:tcW w:w="766" w:type="pct"/>
            <w:vAlign w:val="center"/>
          </w:tcPr>
          <w:p w14:paraId="60494E17" w14:textId="214F604A" w:rsidR="005420D7" w:rsidRPr="00F5462A" w:rsidRDefault="005420D7" w:rsidP="00F5462A">
            <w:pPr>
              <w:spacing w:line="240" w:lineRule="auto"/>
              <w:ind w:left="0" w:firstLine="0"/>
              <w:jc w:val="center"/>
              <w:rPr>
                <w:rFonts w:ascii="Arial" w:hAnsi="Arial" w:cs="Arial"/>
                <w:b/>
                <w:bCs/>
                <w:sz w:val="20"/>
                <w:szCs w:val="20"/>
                <w:lang w:val="en-ID"/>
              </w:rPr>
            </w:pPr>
            <w:r w:rsidRPr="00F5462A">
              <w:rPr>
                <w:rFonts w:ascii="Arial" w:hAnsi="Arial" w:cs="Arial"/>
                <w:b/>
                <w:bCs/>
                <w:sz w:val="20"/>
                <w:szCs w:val="20"/>
                <w:lang w:val="en-ID"/>
              </w:rPr>
              <w:t>95% Cl</w:t>
            </w:r>
          </w:p>
        </w:tc>
        <w:tc>
          <w:tcPr>
            <w:tcW w:w="407" w:type="pct"/>
            <w:vAlign w:val="center"/>
          </w:tcPr>
          <w:p w14:paraId="7745A962" w14:textId="5CED3195" w:rsidR="005420D7" w:rsidRPr="00F5462A" w:rsidRDefault="005420D7" w:rsidP="00F5462A">
            <w:pPr>
              <w:spacing w:line="240" w:lineRule="auto"/>
              <w:ind w:left="0" w:firstLine="0"/>
              <w:jc w:val="center"/>
              <w:rPr>
                <w:rFonts w:ascii="Arial" w:hAnsi="Arial" w:cs="Arial"/>
                <w:b/>
                <w:bCs/>
                <w:sz w:val="20"/>
                <w:szCs w:val="20"/>
                <w:lang w:val="en-ID"/>
              </w:rPr>
            </w:pPr>
            <w:r w:rsidRPr="00F5462A">
              <w:rPr>
                <w:rFonts w:ascii="Arial" w:hAnsi="Arial" w:cs="Arial"/>
                <w:b/>
                <w:bCs/>
                <w:sz w:val="20"/>
                <w:szCs w:val="20"/>
                <w:lang w:val="en-ID"/>
              </w:rPr>
              <w:t>I</w:t>
            </w:r>
            <w:r w:rsidRPr="00F5462A">
              <w:rPr>
                <w:rFonts w:ascii="Arial" w:hAnsi="Arial" w:cs="Arial"/>
                <w:b/>
                <w:bCs/>
                <w:sz w:val="20"/>
                <w:szCs w:val="20"/>
                <w:vertAlign w:val="superscript"/>
                <w:lang w:val="en-ID"/>
              </w:rPr>
              <w:t>2</w:t>
            </w:r>
          </w:p>
        </w:tc>
        <w:tc>
          <w:tcPr>
            <w:tcW w:w="649" w:type="pct"/>
            <w:vAlign w:val="center"/>
          </w:tcPr>
          <w:p w14:paraId="642CCA7C" w14:textId="608458EB" w:rsidR="005420D7" w:rsidRPr="00F5462A" w:rsidRDefault="005420D7" w:rsidP="00F5462A">
            <w:pPr>
              <w:spacing w:line="240" w:lineRule="auto"/>
              <w:ind w:left="0" w:firstLine="0"/>
              <w:jc w:val="center"/>
              <w:rPr>
                <w:rFonts w:ascii="Arial" w:hAnsi="Arial" w:cs="Arial"/>
                <w:b/>
                <w:bCs/>
                <w:sz w:val="20"/>
                <w:szCs w:val="20"/>
                <w:lang w:val="en-ID"/>
              </w:rPr>
            </w:pPr>
            <w:r w:rsidRPr="00F5462A">
              <w:rPr>
                <w:rFonts w:ascii="Arial" w:hAnsi="Arial" w:cs="Arial"/>
                <w:b/>
                <w:bCs/>
                <w:sz w:val="20"/>
                <w:szCs w:val="20"/>
                <w:lang w:val="en-ID"/>
              </w:rPr>
              <w:t>Efficacy</w:t>
            </w:r>
          </w:p>
        </w:tc>
      </w:tr>
      <w:tr w:rsidR="005420D7" w:rsidRPr="00F5462A" w14:paraId="716147EF" w14:textId="2560DA2E" w:rsidTr="00032542">
        <w:tc>
          <w:tcPr>
            <w:tcW w:w="1682" w:type="pct"/>
          </w:tcPr>
          <w:p w14:paraId="3BF585C9" w14:textId="0E049356"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lang w:val="en-ID"/>
              </w:rPr>
              <w:t>Clove Oil (</w:t>
            </w:r>
            <w:r w:rsidRPr="00F5462A">
              <w:rPr>
                <w:rFonts w:ascii="Arial" w:hAnsi="Arial" w:cs="Arial"/>
                <w:i/>
                <w:iCs/>
                <w:sz w:val="20"/>
                <w:szCs w:val="20"/>
                <w:lang w:val="en-ID"/>
              </w:rPr>
              <w:t>Syzygium aromaticum</w:t>
            </w:r>
            <w:r w:rsidRPr="00F5462A">
              <w:rPr>
                <w:rFonts w:ascii="Arial" w:hAnsi="Arial" w:cs="Arial"/>
                <w:sz w:val="20"/>
                <w:szCs w:val="20"/>
                <w:lang w:val="en-ID"/>
              </w:rPr>
              <w:t>)</w:t>
            </w:r>
          </w:p>
        </w:tc>
        <w:tc>
          <w:tcPr>
            <w:tcW w:w="842" w:type="pct"/>
          </w:tcPr>
          <w:p w14:paraId="551A49C8" w14:textId="60951000"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3</w:t>
            </w:r>
          </w:p>
        </w:tc>
        <w:tc>
          <w:tcPr>
            <w:tcW w:w="654" w:type="pct"/>
          </w:tcPr>
          <w:p w14:paraId="6C8D6EB8" w14:textId="55C5983F"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0.20</w:t>
            </w:r>
          </w:p>
        </w:tc>
        <w:tc>
          <w:tcPr>
            <w:tcW w:w="766" w:type="pct"/>
          </w:tcPr>
          <w:p w14:paraId="08DD8CB9" w14:textId="5E14E0BA"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0.14 – 0.28</w:t>
            </w:r>
          </w:p>
        </w:tc>
        <w:tc>
          <w:tcPr>
            <w:tcW w:w="407" w:type="pct"/>
          </w:tcPr>
          <w:p w14:paraId="366C3CB2" w14:textId="61700550"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18%</w:t>
            </w:r>
          </w:p>
        </w:tc>
        <w:tc>
          <w:tcPr>
            <w:tcW w:w="649" w:type="pct"/>
          </w:tcPr>
          <w:p w14:paraId="0F9ED61B" w14:textId="0CE7011B"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80%</w:t>
            </w:r>
          </w:p>
        </w:tc>
      </w:tr>
      <w:tr w:rsidR="005420D7" w:rsidRPr="00F5462A" w14:paraId="3694E86F" w14:textId="5B88708C" w:rsidTr="00032542">
        <w:tc>
          <w:tcPr>
            <w:tcW w:w="1682" w:type="pct"/>
          </w:tcPr>
          <w:p w14:paraId="3C11A2C5" w14:textId="02F5B3D8"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lang w:val="en-ID"/>
              </w:rPr>
              <w:t>Neem Oil (</w:t>
            </w:r>
            <w:r w:rsidRPr="00F5462A">
              <w:rPr>
                <w:rFonts w:ascii="Arial" w:hAnsi="Arial" w:cs="Arial"/>
                <w:i/>
                <w:iCs/>
                <w:sz w:val="20"/>
                <w:szCs w:val="20"/>
                <w:lang w:val="en-ID"/>
              </w:rPr>
              <w:t>Azadirachta indica</w:t>
            </w:r>
            <w:r w:rsidRPr="00F5462A">
              <w:rPr>
                <w:rFonts w:ascii="Arial" w:hAnsi="Arial" w:cs="Arial"/>
                <w:sz w:val="20"/>
                <w:szCs w:val="20"/>
                <w:lang w:val="en-ID"/>
              </w:rPr>
              <w:t>)</w:t>
            </w:r>
          </w:p>
        </w:tc>
        <w:tc>
          <w:tcPr>
            <w:tcW w:w="842" w:type="pct"/>
          </w:tcPr>
          <w:p w14:paraId="0B9E3EA7" w14:textId="2701107B"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5</w:t>
            </w:r>
          </w:p>
        </w:tc>
        <w:tc>
          <w:tcPr>
            <w:tcW w:w="654" w:type="pct"/>
          </w:tcPr>
          <w:p w14:paraId="50D65366" w14:textId="01F7D5F4"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0.26</w:t>
            </w:r>
          </w:p>
        </w:tc>
        <w:tc>
          <w:tcPr>
            <w:tcW w:w="766" w:type="pct"/>
          </w:tcPr>
          <w:p w14:paraId="494A5BE0" w14:textId="43331510"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0.20 – 0.34</w:t>
            </w:r>
          </w:p>
        </w:tc>
        <w:tc>
          <w:tcPr>
            <w:tcW w:w="407" w:type="pct"/>
          </w:tcPr>
          <w:p w14:paraId="44B388D3" w14:textId="45CEF521"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22%</w:t>
            </w:r>
          </w:p>
        </w:tc>
        <w:tc>
          <w:tcPr>
            <w:tcW w:w="649" w:type="pct"/>
          </w:tcPr>
          <w:p w14:paraId="1C52812E" w14:textId="51ABD8E6"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74%</w:t>
            </w:r>
          </w:p>
        </w:tc>
      </w:tr>
      <w:tr w:rsidR="005420D7" w:rsidRPr="00F5462A" w14:paraId="76D0E4EB" w14:textId="24327EC8" w:rsidTr="00032542">
        <w:tc>
          <w:tcPr>
            <w:tcW w:w="1682" w:type="pct"/>
          </w:tcPr>
          <w:p w14:paraId="09A5C5BE" w14:textId="58F9FDBC"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lang w:val="en-ID"/>
              </w:rPr>
              <w:t>Lemon eucalyptus (PMD)</w:t>
            </w:r>
          </w:p>
        </w:tc>
        <w:tc>
          <w:tcPr>
            <w:tcW w:w="842" w:type="pct"/>
          </w:tcPr>
          <w:p w14:paraId="379FAE37" w14:textId="5692D568"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5</w:t>
            </w:r>
          </w:p>
        </w:tc>
        <w:tc>
          <w:tcPr>
            <w:tcW w:w="654" w:type="pct"/>
          </w:tcPr>
          <w:p w14:paraId="03EB438F" w14:textId="707A0CC0"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0.31</w:t>
            </w:r>
          </w:p>
        </w:tc>
        <w:tc>
          <w:tcPr>
            <w:tcW w:w="766" w:type="pct"/>
          </w:tcPr>
          <w:p w14:paraId="738B74AD" w14:textId="438A7A7B"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0.24 – 0.40</w:t>
            </w:r>
          </w:p>
        </w:tc>
        <w:tc>
          <w:tcPr>
            <w:tcW w:w="407" w:type="pct"/>
          </w:tcPr>
          <w:p w14:paraId="480805BC" w14:textId="6BE8402C"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15%</w:t>
            </w:r>
          </w:p>
        </w:tc>
        <w:tc>
          <w:tcPr>
            <w:tcW w:w="649" w:type="pct"/>
          </w:tcPr>
          <w:p w14:paraId="4036738E" w14:textId="5803C85F"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69%</w:t>
            </w:r>
          </w:p>
        </w:tc>
      </w:tr>
      <w:tr w:rsidR="005420D7" w:rsidRPr="00F5462A" w14:paraId="225F45D3" w14:textId="03FBF192" w:rsidTr="00032542">
        <w:tc>
          <w:tcPr>
            <w:tcW w:w="1682" w:type="pct"/>
          </w:tcPr>
          <w:p w14:paraId="46EB1397" w14:textId="2D804968"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lang w:val="en-ID"/>
              </w:rPr>
              <w:t>Catnip (</w:t>
            </w:r>
            <w:r w:rsidRPr="00F5462A">
              <w:rPr>
                <w:rFonts w:ascii="Arial" w:hAnsi="Arial" w:cs="Arial"/>
                <w:i/>
                <w:iCs/>
                <w:sz w:val="20"/>
                <w:szCs w:val="20"/>
                <w:lang w:val="en-ID"/>
              </w:rPr>
              <w:t>Nepeta cataria</w:t>
            </w:r>
            <w:r w:rsidRPr="00F5462A">
              <w:rPr>
                <w:rFonts w:ascii="Arial" w:hAnsi="Arial" w:cs="Arial"/>
                <w:sz w:val="20"/>
                <w:szCs w:val="20"/>
                <w:lang w:val="en-ID"/>
              </w:rPr>
              <w:t>)</w:t>
            </w:r>
          </w:p>
        </w:tc>
        <w:tc>
          <w:tcPr>
            <w:tcW w:w="842" w:type="pct"/>
          </w:tcPr>
          <w:p w14:paraId="435B6A63" w14:textId="5A11EA52"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2</w:t>
            </w:r>
          </w:p>
        </w:tc>
        <w:tc>
          <w:tcPr>
            <w:tcW w:w="654" w:type="pct"/>
          </w:tcPr>
          <w:p w14:paraId="250D2C56" w14:textId="46FC7D42"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0.31</w:t>
            </w:r>
          </w:p>
        </w:tc>
        <w:tc>
          <w:tcPr>
            <w:tcW w:w="766" w:type="pct"/>
          </w:tcPr>
          <w:p w14:paraId="056AA6F4" w14:textId="60965C37"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0.20 – 0.48</w:t>
            </w:r>
          </w:p>
        </w:tc>
        <w:tc>
          <w:tcPr>
            <w:tcW w:w="407" w:type="pct"/>
          </w:tcPr>
          <w:p w14:paraId="67938B98" w14:textId="48EC9747"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w:t>
            </w:r>
          </w:p>
        </w:tc>
        <w:tc>
          <w:tcPr>
            <w:tcW w:w="649" w:type="pct"/>
          </w:tcPr>
          <w:p w14:paraId="736F1F7D" w14:textId="032DD2D7"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69%</w:t>
            </w:r>
          </w:p>
        </w:tc>
      </w:tr>
      <w:tr w:rsidR="005420D7" w:rsidRPr="00F5462A" w14:paraId="3DD18781" w14:textId="0917FA1F" w:rsidTr="00032542">
        <w:tc>
          <w:tcPr>
            <w:tcW w:w="1682" w:type="pct"/>
          </w:tcPr>
          <w:p w14:paraId="3C066FF1" w14:textId="5DBEEA37"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rPr>
              <w:t>Neem + catnip combination</w:t>
            </w:r>
          </w:p>
        </w:tc>
        <w:tc>
          <w:tcPr>
            <w:tcW w:w="842" w:type="pct"/>
          </w:tcPr>
          <w:p w14:paraId="5E01448B" w14:textId="7C572912"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2</w:t>
            </w:r>
          </w:p>
        </w:tc>
        <w:tc>
          <w:tcPr>
            <w:tcW w:w="654" w:type="pct"/>
          </w:tcPr>
          <w:p w14:paraId="71AF7A16" w14:textId="2E362134"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0.25</w:t>
            </w:r>
          </w:p>
        </w:tc>
        <w:tc>
          <w:tcPr>
            <w:tcW w:w="766" w:type="pct"/>
          </w:tcPr>
          <w:p w14:paraId="73EB85EA" w14:textId="62433842"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0.16 – 0.38</w:t>
            </w:r>
          </w:p>
        </w:tc>
        <w:tc>
          <w:tcPr>
            <w:tcW w:w="407" w:type="pct"/>
          </w:tcPr>
          <w:p w14:paraId="2D7D5FD0" w14:textId="04DAF7A4"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w:t>
            </w:r>
          </w:p>
        </w:tc>
        <w:tc>
          <w:tcPr>
            <w:tcW w:w="649" w:type="pct"/>
          </w:tcPr>
          <w:p w14:paraId="77E3268A" w14:textId="2B61932B"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75%</w:t>
            </w:r>
          </w:p>
        </w:tc>
      </w:tr>
      <w:tr w:rsidR="005420D7" w:rsidRPr="00F5462A" w14:paraId="77B0C1D7" w14:textId="77777777" w:rsidTr="00032542">
        <w:tc>
          <w:tcPr>
            <w:tcW w:w="1682" w:type="pct"/>
          </w:tcPr>
          <w:p w14:paraId="6200029A" w14:textId="6E52E1FE"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i/>
                <w:iCs/>
                <w:sz w:val="20"/>
                <w:szCs w:val="20"/>
              </w:rPr>
              <w:t>Ocimum gratissimum</w:t>
            </w:r>
          </w:p>
        </w:tc>
        <w:tc>
          <w:tcPr>
            <w:tcW w:w="842" w:type="pct"/>
          </w:tcPr>
          <w:p w14:paraId="3570C635" w14:textId="36CF9D36"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1</w:t>
            </w:r>
          </w:p>
        </w:tc>
        <w:tc>
          <w:tcPr>
            <w:tcW w:w="654" w:type="pct"/>
          </w:tcPr>
          <w:p w14:paraId="4270A72F" w14:textId="52A00EF7"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0.37</w:t>
            </w:r>
          </w:p>
        </w:tc>
        <w:tc>
          <w:tcPr>
            <w:tcW w:w="766" w:type="pct"/>
          </w:tcPr>
          <w:p w14:paraId="76CA9E4C" w14:textId="1765EAC8"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0.27 – 0.50</w:t>
            </w:r>
          </w:p>
        </w:tc>
        <w:tc>
          <w:tcPr>
            <w:tcW w:w="407" w:type="pct"/>
          </w:tcPr>
          <w:p w14:paraId="5627BCD9" w14:textId="5F5AFE15"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w:t>
            </w:r>
          </w:p>
        </w:tc>
        <w:tc>
          <w:tcPr>
            <w:tcW w:w="649" w:type="pct"/>
          </w:tcPr>
          <w:p w14:paraId="4D84B8C2" w14:textId="774C9B20"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63%</w:t>
            </w:r>
          </w:p>
        </w:tc>
      </w:tr>
      <w:tr w:rsidR="005420D7" w:rsidRPr="00F5462A" w14:paraId="61BBF657" w14:textId="77777777" w:rsidTr="00032542">
        <w:tc>
          <w:tcPr>
            <w:tcW w:w="1682" w:type="pct"/>
          </w:tcPr>
          <w:p w14:paraId="7E05C440" w14:textId="757ECCC9"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rPr>
              <w:t>Lemongrass (</w:t>
            </w:r>
            <w:r w:rsidRPr="00F5462A">
              <w:rPr>
                <w:rFonts w:ascii="Arial" w:hAnsi="Arial" w:cs="Arial"/>
                <w:i/>
                <w:iCs/>
                <w:sz w:val="20"/>
                <w:szCs w:val="20"/>
              </w:rPr>
              <w:t>Cymbopogon citratus</w:t>
            </w:r>
            <w:r w:rsidRPr="00F5462A">
              <w:rPr>
                <w:rFonts w:ascii="Arial" w:hAnsi="Arial" w:cs="Arial"/>
                <w:sz w:val="20"/>
                <w:szCs w:val="20"/>
              </w:rPr>
              <w:t>)</w:t>
            </w:r>
          </w:p>
        </w:tc>
        <w:tc>
          <w:tcPr>
            <w:tcW w:w="842" w:type="pct"/>
            <w:vAlign w:val="center"/>
          </w:tcPr>
          <w:p w14:paraId="3E46D3B2" w14:textId="130B4BAD"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4</w:t>
            </w:r>
          </w:p>
        </w:tc>
        <w:tc>
          <w:tcPr>
            <w:tcW w:w="654" w:type="pct"/>
            <w:vAlign w:val="center"/>
          </w:tcPr>
          <w:p w14:paraId="3E3424A9" w14:textId="7ED2DA55"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0.40</w:t>
            </w:r>
          </w:p>
        </w:tc>
        <w:tc>
          <w:tcPr>
            <w:tcW w:w="766" w:type="pct"/>
            <w:vAlign w:val="center"/>
          </w:tcPr>
          <w:p w14:paraId="716F4ECB" w14:textId="689078AF"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0.32 – 0.50</w:t>
            </w:r>
          </w:p>
        </w:tc>
        <w:tc>
          <w:tcPr>
            <w:tcW w:w="407" w:type="pct"/>
            <w:vAlign w:val="center"/>
          </w:tcPr>
          <w:p w14:paraId="562EB50F" w14:textId="09AC15B3"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30%</w:t>
            </w:r>
          </w:p>
        </w:tc>
        <w:tc>
          <w:tcPr>
            <w:tcW w:w="649" w:type="pct"/>
            <w:vAlign w:val="center"/>
          </w:tcPr>
          <w:p w14:paraId="58E4EF44" w14:textId="4CDC9E66"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60%</w:t>
            </w:r>
          </w:p>
        </w:tc>
      </w:tr>
      <w:tr w:rsidR="005420D7" w:rsidRPr="00F5462A" w14:paraId="4578CBE1" w14:textId="77777777" w:rsidTr="00032542">
        <w:tc>
          <w:tcPr>
            <w:tcW w:w="1682" w:type="pct"/>
          </w:tcPr>
          <w:p w14:paraId="257F1356" w14:textId="7B3E973D"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rPr>
              <w:t>Citronella (</w:t>
            </w:r>
            <w:r w:rsidRPr="00F5462A">
              <w:rPr>
                <w:rFonts w:ascii="Arial" w:hAnsi="Arial" w:cs="Arial"/>
                <w:i/>
                <w:iCs/>
                <w:sz w:val="20"/>
                <w:szCs w:val="20"/>
              </w:rPr>
              <w:t>C. nardus/winterianus</w:t>
            </w:r>
            <w:r w:rsidRPr="00F5462A">
              <w:rPr>
                <w:rFonts w:ascii="Arial" w:hAnsi="Arial" w:cs="Arial"/>
                <w:sz w:val="20"/>
                <w:szCs w:val="20"/>
              </w:rPr>
              <w:t>)</w:t>
            </w:r>
          </w:p>
        </w:tc>
        <w:tc>
          <w:tcPr>
            <w:tcW w:w="842" w:type="pct"/>
            <w:vAlign w:val="center"/>
          </w:tcPr>
          <w:p w14:paraId="17159553" w14:textId="3362DD00"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5</w:t>
            </w:r>
          </w:p>
        </w:tc>
        <w:tc>
          <w:tcPr>
            <w:tcW w:w="654" w:type="pct"/>
            <w:vAlign w:val="center"/>
          </w:tcPr>
          <w:p w14:paraId="320E44C7" w14:textId="4CBA75B4"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0.49</w:t>
            </w:r>
          </w:p>
        </w:tc>
        <w:tc>
          <w:tcPr>
            <w:tcW w:w="766" w:type="pct"/>
            <w:vAlign w:val="center"/>
          </w:tcPr>
          <w:p w14:paraId="687165E6" w14:textId="64345C5F"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0.41 – 0.59</w:t>
            </w:r>
          </w:p>
        </w:tc>
        <w:tc>
          <w:tcPr>
            <w:tcW w:w="407" w:type="pct"/>
            <w:vAlign w:val="center"/>
          </w:tcPr>
          <w:p w14:paraId="615F2010" w14:textId="7CC0C0A9"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42%</w:t>
            </w:r>
          </w:p>
        </w:tc>
        <w:tc>
          <w:tcPr>
            <w:tcW w:w="649" w:type="pct"/>
            <w:vAlign w:val="center"/>
          </w:tcPr>
          <w:p w14:paraId="195DFB27" w14:textId="0035FEEA"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51%</w:t>
            </w:r>
          </w:p>
        </w:tc>
      </w:tr>
      <w:tr w:rsidR="005420D7" w:rsidRPr="00F5462A" w14:paraId="5B343B9C" w14:textId="77777777" w:rsidTr="00032542">
        <w:tc>
          <w:tcPr>
            <w:tcW w:w="1682" w:type="pct"/>
          </w:tcPr>
          <w:p w14:paraId="3727124E" w14:textId="5CD68867"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rPr>
              <w:t>Andiroba (</w:t>
            </w:r>
            <w:r w:rsidRPr="00F5462A">
              <w:rPr>
                <w:rFonts w:ascii="Arial" w:hAnsi="Arial" w:cs="Arial"/>
                <w:i/>
                <w:iCs/>
                <w:sz w:val="20"/>
                <w:szCs w:val="20"/>
              </w:rPr>
              <w:t>Carapa guianensis</w:t>
            </w:r>
            <w:r w:rsidRPr="00F5462A">
              <w:rPr>
                <w:rFonts w:ascii="Arial" w:hAnsi="Arial" w:cs="Arial"/>
                <w:sz w:val="20"/>
                <w:szCs w:val="20"/>
              </w:rPr>
              <w:t>)</w:t>
            </w:r>
          </w:p>
        </w:tc>
        <w:tc>
          <w:tcPr>
            <w:tcW w:w="842" w:type="pct"/>
            <w:vAlign w:val="center"/>
          </w:tcPr>
          <w:p w14:paraId="70F61DFD" w14:textId="72C528D5"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3</w:t>
            </w:r>
          </w:p>
        </w:tc>
        <w:tc>
          <w:tcPr>
            <w:tcW w:w="654" w:type="pct"/>
            <w:vAlign w:val="center"/>
          </w:tcPr>
          <w:p w14:paraId="2CE96314" w14:textId="63EFAB39"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0.44</w:t>
            </w:r>
          </w:p>
        </w:tc>
        <w:tc>
          <w:tcPr>
            <w:tcW w:w="766" w:type="pct"/>
            <w:vAlign w:val="center"/>
          </w:tcPr>
          <w:p w14:paraId="108ACCF6" w14:textId="4D166500"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0.35 – 0.56</w:t>
            </w:r>
          </w:p>
        </w:tc>
        <w:tc>
          <w:tcPr>
            <w:tcW w:w="407" w:type="pct"/>
            <w:vAlign w:val="center"/>
          </w:tcPr>
          <w:p w14:paraId="37E5B2EA" w14:textId="6954FED2"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28%</w:t>
            </w:r>
          </w:p>
        </w:tc>
        <w:tc>
          <w:tcPr>
            <w:tcW w:w="649" w:type="pct"/>
            <w:vAlign w:val="center"/>
          </w:tcPr>
          <w:p w14:paraId="020D81AB" w14:textId="4F65BFBD"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56%</w:t>
            </w:r>
          </w:p>
        </w:tc>
      </w:tr>
      <w:tr w:rsidR="005420D7" w:rsidRPr="00F5462A" w14:paraId="3EC16731" w14:textId="77777777" w:rsidTr="00032542">
        <w:tc>
          <w:tcPr>
            <w:tcW w:w="1682" w:type="pct"/>
          </w:tcPr>
          <w:p w14:paraId="448E1E47" w14:textId="15BBA6BF"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rPr>
              <w:t>Soybean oil</w:t>
            </w:r>
          </w:p>
        </w:tc>
        <w:tc>
          <w:tcPr>
            <w:tcW w:w="842" w:type="pct"/>
            <w:vAlign w:val="center"/>
          </w:tcPr>
          <w:p w14:paraId="1B2C6043" w14:textId="10BC596F"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2</w:t>
            </w:r>
          </w:p>
        </w:tc>
        <w:tc>
          <w:tcPr>
            <w:tcW w:w="654" w:type="pct"/>
            <w:vAlign w:val="center"/>
          </w:tcPr>
          <w:p w14:paraId="1075B559" w14:textId="2A233069"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0.59</w:t>
            </w:r>
          </w:p>
        </w:tc>
        <w:tc>
          <w:tcPr>
            <w:tcW w:w="766" w:type="pct"/>
            <w:vAlign w:val="center"/>
          </w:tcPr>
          <w:p w14:paraId="0EBAC3FE" w14:textId="5353C3A3"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0.49 – 0.71</w:t>
            </w:r>
          </w:p>
        </w:tc>
        <w:tc>
          <w:tcPr>
            <w:tcW w:w="407" w:type="pct"/>
            <w:vAlign w:val="center"/>
          </w:tcPr>
          <w:p w14:paraId="2DFDA4A4" w14:textId="5D10D1FF"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w:t>
            </w:r>
          </w:p>
        </w:tc>
        <w:tc>
          <w:tcPr>
            <w:tcW w:w="649" w:type="pct"/>
            <w:vAlign w:val="center"/>
          </w:tcPr>
          <w:p w14:paraId="76A1F859" w14:textId="081A83F7"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41%</w:t>
            </w:r>
          </w:p>
        </w:tc>
      </w:tr>
      <w:tr w:rsidR="005420D7" w:rsidRPr="00F5462A" w14:paraId="55CFD74C" w14:textId="77777777" w:rsidTr="00032542">
        <w:tc>
          <w:tcPr>
            <w:tcW w:w="1682" w:type="pct"/>
          </w:tcPr>
          <w:p w14:paraId="2C5ACEF5" w14:textId="6D204325" w:rsidR="005420D7" w:rsidRPr="00F5462A" w:rsidRDefault="005420D7" w:rsidP="00032542">
            <w:pPr>
              <w:spacing w:line="240" w:lineRule="auto"/>
              <w:ind w:left="0" w:firstLine="0"/>
              <w:jc w:val="left"/>
              <w:rPr>
                <w:rFonts w:ascii="Arial" w:hAnsi="Arial" w:cs="Arial"/>
                <w:sz w:val="20"/>
                <w:szCs w:val="20"/>
                <w:lang w:val="en-ID"/>
              </w:rPr>
            </w:pPr>
            <w:r w:rsidRPr="00F5462A">
              <w:rPr>
                <w:rFonts w:ascii="Arial" w:hAnsi="Arial" w:cs="Arial"/>
                <w:sz w:val="20"/>
                <w:szCs w:val="20"/>
              </w:rPr>
              <w:t>Mixed essential oil blends</w:t>
            </w:r>
          </w:p>
        </w:tc>
        <w:tc>
          <w:tcPr>
            <w:tcW w:w="842" w:type="pct"/>
            <w:vAlign w:val="center"/>
          </w:tcPr>
          <w:p w14:paraId="32C2535D" w14:textId="24BFBA16"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3</w:t>
            </w:r>
          </w:p>
        </w:tc>
        <w:tc>
          <w:tcPr>
            <w:tcW w:w="654" w:type="pct"/>
            <w:vAlign w:val="center"/>
          </w:tcPr>
          <w:p w14:paraId="6404DFC3" w14:textId="6AEB2606"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0.41</w:t>
            </w:r>
          </w:p>
        </w:tc>
        <w:tc>
          <w:tcPr>
            <w:tcW w:w="766" w:type="pct"/>
            <w:vAlign w:val="center"/>
          </w:tcPr>
          <w:p w14:paraId="2A0938E6" w14:textId="33F36C19" w:rsidR="005420D7" w:rsidRPr="00F5462A" w:rsidRDefault="005420D7" w:rsidP="00032542">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0.33 – 0.52</w:t>
            </w:r>
          </w:p>
        </w:tc>
        <w:tc>
          <w:tcPr>
            <w:tcW w:w="407" w:type="pct"/>
            <w:vAlign w:val="center"/>
          </w:tcPr>
          <w:p w14:paraId="3ED8891A" w14:textId="1FFD8CD7"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35%</w:t>
            </w:r>
          </w:p>
        </w:tc>
        <w:tc>
          <w:tcPr>
            <w:tcW w:w="649" w:type="pct"/>
            <w:vAlign w:val="center"/>
          </w:tcPr>
          <w:p w14:paraId="1410711B" w14:textId="1F2B6254" w:rsidR="005420D7" w:rsidRPr="00F5462A" w:rsidRDefault="005420D7" w:rsidP="00F5462A">
            <w:pPr>
              <w:spacing w:line="240" w:lineRule="auto"/>
              <w:ind w:left="0" w:firstLine="0"/>
              <w:jc w:val="center"/>
              <w:rPr>
                <w:rFonts w:ascii="Arial" w:hAnsi="Arial" w:cs="Arial"/>
                <w:sz w:val="20"/>
                <w:szCs w:val="20"/>
                <w:lang w:val="en-ID"/>
              </w:rPr>
            </w:pPr>
            <w:r w:rsidRPr="00F5462A">
              <w:rPr>
                <w:rFonts w:ascii="Arial" w:hAnsi="Arial" w:cs="Arial"/>
                <w:sz w:val="20"/>
                <w:szCs w:val="20"/>
                <w:lang w:val="en-ID"/>
              </w:rPr>
              <w:t>59%</w:t>
            </w:r>
          </w:p>
        </w:tc>
      </w:tr>
    </w:tbl>
    <w:p w14:paraId="78913DAA" w14:textId="76F7A61B" w:rsidR="0098547A" w:rsidRPr="00F5462A" w:rsidRDefault="0098547A" w:rsidP="00F5462A">
      <w:pPr>
        <w:spacing w:line="240" w:lineRule="auto"/>
        <w:ind w:left="0" w:right="237" w:firstLine="0"/>
        <w:rPr>
          <w:rFonts w:ascii="Arial" w:hAnsi="Arial" w:cs="Arial"/>
          <w:sz w:val="20"/>
          <w:szCs w:val="20"/>
          <w:lang w:val="en-ID"/>
        </w:rPr>
      </w:pPr>
      <w:r w:rsidRPr="00F5462A">
        <w:rPr>
          <w:rFonts w:ascii="Arial" w:hAnsi="Arial" w:cs="Arial"/>
          <w:i/>
          <w:iCs/>
          <w:sz w:val="20"/>
          <w:szCs w:val="20"/>
        </w:rPr>
        <w:t>*Combination formulations analyzed separately. k = number of studies. Efficacy = mean protection rate (1 − pooled RR × 100%). I² values for k ≥ 3 subgroups.</w:t>
      </w:r>
    </w:p>
    <w:p w14:paraId="0E680976" w14:textId="77777777" w:rsidR="0098547A" w:rsidRPr="00F5462A" w:rsidRDefault="0098547A" w:rsidP="00F5462A">
      <w:pPr>
        <w:spacing w:line="240" w:lineRule="auto"/>
        <w:ind w:left="0" w:right="237" w:firstLine="0"/>
        <w:rPr>
          <w:rFonts w:ascii="Arial" w:hAnsi="Arial" w:cs="Arial"/>
          <w:b/>
          <w:bCs/>
          <w:sz w:val="20"/>
          <w:szCs w:val="20"/>
          <w:lang w:val="en-ID"/>
        </w:rPr>
      </w:pPr>
    </w:p>
    <w:p w14:paraId="7325FBC4" w14:textId="00F2AADB" w:rsidR="0002065B" w:rsidRPr="00F5462A" w:rsidRDefault="0002065B" w:rsidP="00F5462A">
      <w:pPr>
        <w:spacing w:line="240" w:lineRule="auto"/>
        <w:ind w:left="0" w:right="237" w:firstLine="0"/>
        <w:rPr>
          <w:rFonts w:ascii="Arial" w:hAnsi="Arial" w:cs="Arial"/>
          <w:b/>
          <w:bCs/>
          <w:sz w:val="20"/>
          <w:szCs w:val="20"/>
          <w:lang w:val="en-ID"/>
        </w:rPr>
      </w:pPr>
      <w:r w:rsidRPr="00F5462A">
        <w:rPr>
          <w:rFonts w:ascii="Arial" w:hAnsi="Arial" w:cs="Arial"/>
          <w:b/>
          <w:bCs/>
          <w:sz w:val="20"/>
          <w:szCs w:val="20"/>
          <w:lang w:val="en-ID"/>
        </w:rPr>
        <w:t xml:space="preserve">Publication Bias </w:t>
      </w:r>
    </w:p>
    <w:p w14:paraId="2DC5E5A1" w14:textId="2EB27AA8"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The funnel plot was approximately symmetric around the pooled effect estimate on </w:t>
      </w:r>
      <w:r w:rsidR="00517F83" w:rsidRPr="00F5462A">
        <w:rPr>
          <w:rFonts w:ascii="Arial" w:hAnsi="Arial" w:cs="Arial"/>
          <w:sz w:val="20"/>
          <w:szCs w:val="20"/>
          <w:lang w:val="en-ID"/>
        </w:rPr>
        <w:t>visual inspection (Figure 4)</w:t>
      </w:r>
      <w:r w:rsidRPr="00F5462A">
        <w:rPr>
          <w:rFonts w:ascii="Arial" w:hAnsi="Arial" w:cs="Arial"/>
          <w:sz w:val="20"/>
          <w:szCs w:val="20"/>
          <w:lang w:val="en-ID"/>
        </w:rPr>
        <w:t xml:space="preserve">. Egger’s linear regression test revealed an intercept of −0.41 (95% CI: −1.08 to 0.26; p = 0.213), which indicates no statistically significant asymmetry. The Begg’s rank correlation test was also non-significant (Kendall’s τ = −0.12; p = 0.38). There was no significant publication bias in these tests, but the small number of studies in some subgroups should be taken into consideration. </w:t>
      </w:r>
    </w:p>
    <w:p w14:paraId="7FDF1B7F" w14:textId="77777777" w:rsidR="0098547A" w:rsidRPr="00F5462A" w:rsidRDefault="0098547A" w:rsidP="00F5462A">
      <w:pPr>
        <w:keepNext/>
        <w:spacing w:line="240" w:lineRule="auto"/>
        <w:ind w:left="0" w:firstLine="0"/>
        <w:jc w:val="center"/>
        <w:rPr>
          <w:rFonts w:ascii="Arial" w:hAnsi="Arial" w:cs="Arial"/>
          <w:sz w:val="20"/>
          <w:szCs w:val="20"/>
        </w:rPr>
      </w:pPr>
      <w:r w:rsidRPr="00F5462A">
        <w:rPr>
          <w:rFonts w:ascii="Arial" w:hAnsi="Arial" w:cs="Arial"/>
          <w:noProof/>
          <w:sz w:val="20"/>
          <w:szCs w:val="20"/>
          <w:lang w:val="en-ID"/>
        </w:rPr>
        <w:lastRenderedPageBreak/>
        <w:drawing>
          <wp:inline distT="0" distB="0" distL="0" distR="0" wp14:anchorId="217FBD03" wp14:editId="3C82E718">
            <wp:extent cx="4686706" cy="3657917"/>
            <wp:effectExtent l="0" t="0" r="0" b="0"/>
            <wp:docPr id="4534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9048" name=""/>
                    <pic:cNvPicPr/>
                  </pic:nvPicPr>
                  <pic:blipFill>
                    <a:blip r:embed="rId12"/>
                    <a:stretch>
                      <a:fillRect/>
                    </a:stretch>
                  </pic:blipFill>
                  <pic:spPr>
                    <a:xfrm>
                      <a:off x="0" y="0"/>
                      <a:ext cx="4686706" cy="3657917"/>
                    </a:xfrm>
                    <a:prstGeom prst="rect">
                      <a:avLst/>
                    </a:prstGeom>
                  </pic:spPr>
                </pic:pic>
              </a:graphicData>
            </a:graphic>
          </wp:inline>
        </w:drawing>
      </w:r>
    </w:p>
    <w:p w14:paraId="50AFA25A" w14:textId="5C92D44C" w:rsidR="0098547A" w:rsidRPr="00F5462A" w:rsidRDefault="0098547A" w:rsidP="00F5462A">
      <w:pPr>
        <w:pStyle w:val="Caption"/>
        <w:spacing w:after="0"/>
        <w:ind w:right="521" w:hanging="5"/>
        <w:jc w:val="center"/>
        <w:rPr>
          <w:rFonts w:ascii="Arial" w:hAnsi="Arial" w:cs="Arial"/>
          <w:i w:val="0"/>
          <w:iCs w:val="0"/>
          <w:color w:val="auto"/>
          <w:sz w:val="20"/>
          <w:szCs w:val="20"/>
          <w:lang w:val="en-ID"/>
        </w:rPr>
      </w:pPr>
      <w:r w:rsidRPr="00F5462A">
        <w:rPr>
          <w:rFonts w:ascii="Arial" w:hAnsi="Arial" w:cs="Arial"/>
          <w:i w:val="0"/>
          <w:iCs w:val="0"/>
          <w:color w:val="auto"/>
          <w:sz w:val="20"/>
          <w:szCs w:val="20"/>
        </w:rPr>
        <w:t xml:space="preserve">Figure </w:t>
      </w:r>
      <w:r w:rsidRPr="00F5462A">
        <w:rPr>
          <w:rFonts w:ascii="Arial" w:hAnsi="Arial" w:cs="Arial"/>
          <w:i w:val="0"/>
          <w:iCs w:val="0"/>
          <w:color w:val="auto"/>
          <w:sz w:val="20"/>
          <w:szCs w:val="20"/>
        </w:rPr>
        <w:fldChar w:fldCharType="begin"/>
      </w:r>
      <w:r w:rsidRPr="00F5462A">
        <w:rPr>
          <w:rFonts w:ascii="Arial" w:hAnsi="Arial" w:cs="Arial"/>
          <w:i w:val="0"/>
          <w:iCs w:val="0"/>
          <w:color w:val="auto"/>
          <w:sz w:val="20"/>
          <w:szCs w:val="20"/>
        </w:rPr>
        <w:instrText xml:space="preserve"> SEQ Figure \* ARABIC </w:instrText>
      </w:r>
      <w:r w:rsidRPr="00F5462A">
        <w:rPr>
          <w:rFonts w:ascii="Arial" w:hAnsi="Arial" w:cs="Arial"/>
          <w:i w:val="0"/>
          <w:iCs w:val="0"/>
          <w:color w:val="auto"/>
          <w:sz w:val="20"/>
          <w:szCs w:val="20"/>
        </w:rPr>
        <w:fldChar w:fldCharType="separate"/>
      </w:r>
      <w:r w:rsidRPr="00F5462A">
        <w:rPr>
          <w:rFonts w:ascii="Arial" w:hAnsi="Arial" w:cs="Arial"/>
          <w:i w:val="0"/>
          <w:iCs w:val="0"/>
          <w:noProof/>
          <w:color w:val="auto"/>
          <w:sz w:val="20"/>
          <w:szCs w:val="20"/>
        </w:rPr>
        <w:t>4</w:t>
      </w:r>
      <w:r w:rsidRPr="00F5462A">
        <w:rPr>
          <w:rFonts w:ascii="Arial" w:hAnsi="Arial" w:cs="Arial"/>
          <w:i w:val="0"/>
          <w:iCs w:val="0"/>
          <w:color w:val="auto"/>
          <w:sz w:val="20"/>
          <w:szCs w:val="20"/>
        </w:rPr>
        <w:fldChar w:fldCharType="end"/>
      </w:r>
      <w:r w:rsidRPr="00F5462A">
        <w:rPr>
          <w:rFonts w:ascii="Arial" w:hAnsi="Arial" w:cs="Arial"/>
          <w:i w:val="0"/>
          <w:iCs w:val="0"/>
          <w:color w:val="auto"/>
          <w:sz w:val="20"/>
          <w:szCs w:val="20"/>
        </w:rPr>
        <w:t xml:space="preserve"> Funnel Plot. Each point represents one study (color-coded by plant species). The red solid line = pooled RR; dashed line = null effect (RR = 1); dashed grey lines = 95% pseudo-CI funnel boundaries. Approximate symmetry supports the absence of significant publication bias (Egger's p = 0.213)</w:t>
      </w:r>
    </w:p>
    <w:p w14:paraId="1FBA8E7A" w14:textId="58D1B41D" w:rsidR="0002065B" w:rsidRPr="00F5462A" w:rsidRDefault="0002065B" w:rsidP="00F5462A">
      <w:pPr>
        <w:spacing w:line="240" w:lineRule="auto"/>
        <w:ind w:left="0" w:firstLine="0"/>
        <w:rPr>
          <w:rFonts w:ascii="Arial" w:hAnsi="Arial" w:cs="Arial"/>
          <w:b/>
          <w:bCs/>
          <w:sz w:val="20"/>
          <w:szCs w:val="20"/>
          <w:lang w:val="en-ID"/>
        </w:rPr>
      </w:pPr>
      <w:r w:rsidRPr="00F5462A">
        <w:rPr>
          <w:rFonts w:ascii="Arial" w:hAnsi="Arial" w:cs="Arial"/>
          <w:sz w:val="20"/>
          <w:szCs w:val="20"/>
          <w:lang w:val="en-ID"/>
        </w:rPr>
        <w:br/>
      </w:r>
      <w:r w:rsidRPr="00F5462A">
        <w:rPr>
          <w:rFonts w:ascii="Arial" w:hAnsi="Arial" w:cs="Arial"/>
          <w:b/>
          <w:bCs/>
          <w:sz w:val="20"/>
          <w:szCs w:val="20"/>
          <w:lang w:val="en-ID"/>
        </w:rPr>
        <w:t xml:space="preserve">Sensitivity Analysis </w:t>
      </w:r>
    </w:p>
    <w:p w14:paraId="1C072D47" w14:textId="794679C6" w:rsidR="0002065B" w:rsidRPr="00F5462A" w:rsidRDefault="0002065B"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Leave-one-out analysis showed that no individual study had a disproportionate effect on the pooled estimate; RR ranged from 0.35 to 0.39 in each iteration. When only studies with a low risk of bias (n = 22) were included, the pooled RR was 0.34 (95% CI: 0.27-0.42), consistent with the overall estimate. Sensitivity analysis with the REML estimator for τ² gave similar directional conclusions (pooled RR=0.36; 95% CI: 0.29–0.44). Meta-regression with concentration as a continuous predictor revealed a significant negative dose-response relationship (β = −0.018 per 1% increase; 95% CI: −0.031 to −0.005; p = 0.006), suggesting that greater concentrations are associated with greater repellency.</w:t>
      </w:r>
    </w:p>
    <w:p w14:paraId="588EEC78" w14:textId="77777777" w:rsidR="0002065B" w:rsidRPr="00F5462A" w:rsidRDefault="0002065B" w:rsidP="00F5462A">
      <w:pPr>
        <w:spacing w:line="240" w:lineRule="auto"/>
        <w:ind w:left="0" w:firstLine="0"/>
        <w:rPr>
          <w:rFonts w:ascii="Arial" w:hAnsi="Arial" w:cs="Arial"/>
          <w:sz w:val="20"/>
          <w:szCs w:val="20"/>
          <w:lang w:val="id-ID"/>
        </w:rPr>
      </w:pPr>
    </w:p>
    <w:p w14:paraId="1757CA73" w14:textId="77777777" w:rsidR="00403560" w:rsidRPr="00F5462A" w:rsidRDefault="0002065B" w:rsidP="00F5462A">
      <w:pPr>
        <w:spacing w:line="240" w:lineRule="auto"/>
        <w:ind w:left="0" w:firstLine="0"/>
        <w:rPr>
          <w:rFonts w:ascii="Arial" w:hAnsi="Arial" w:cs="Arial"/>
          <w:sz w:val="20"/>
          <w:szCs w:val="20"/>
          <w:lang w:val="id-ID"/>
        </w:rPr>
      </w:pPr>
      <w:r w:rsidRPr="00F5462A">
        <w:rPr>
          <w:rFonts w:ascii="Arial" w:hAnsi="Arial" w:cs="Arial"/>
          <w:b/>
          <w:bCs/>
          <w:sz w:val="20"/>
          <w:szCs w:val="20"/>
          <w:lang w:val="id-ID"/>
        </w:rPr>
        <w:t>DISCUSSION</w:t>
      </w:r>
    </w:p>
    <w:p w14:paraId="26E29B2F" w14:textId="3B5658BF"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This meta-analysis represents the most comprehensive quantitative synthesis of plant-based repellents against </w:t>
      </w:r>
      <w:r w:rsidR="004935F7" w:rsidRPr="00F5462A">
        <w:rPr>
          <w:rFonts w:ascii="Arial" w:hAnsi="Arial" w:cs="Arial"/>
          <w:i/>
          <w:iCs/>
          <w:sz w:val="20"/>
          <w:szCs w:val="20"/>
          <w:lang w:val="en-ID"/>
        </w:rPr>
        <w:t>Aedes</w:t>
      </w:r>
      <w:r w:rsidR="004935F7" w:rsidRPr="00F5462A">
        <w:rPr>
          <w:rFonts w:ascii="Arial" w:hAnsi="Arial" w:cs="Arial"/>
          <w:i/>
          <w:iCs/>
          <w:sz w:val="20"/>
          <w:szCs w:val="20"/>
          <w:lang w:val="en-ID"/>
        </w:rPr>
        <w:t xml:space="preserve"> </w:t>
      </w:r>
      <w:r w:rsidR="0097096E" w:rsidRPr="00F5462A">
        <w:rPr>
          <w:rFonts w:ascii="Arial" w:hAnsi="Arial" w:cs="Arial"/>
          <w:i/>
          <w:iCs/>
          <w:sz w:val="20"/>
          <w:szCs w:val="20"/>
          <w:lang w:val="en-ID"/>
        </w:rPr>
        <w:t>aegypti</w:t>
      </w:r>
      <w:r w:rsidRPr="00F5462A">
        <w:rPr>
          <w:rFonts w:ascii="Arial" w:hAnsi="Arial" w:cs="Arial"/>
          <w:sz w:val="20"/>
          <w:szCs w:val="20"/>
          <w:lang w:val="en-ID"/>
        </w:rPr>
        <w:t xml:space="preserve"> to date. We found strong evidence that plant-derived repellents significantly reduce the probability of mosquitoes biting and landing. The pooled RR of 0.37 (95% CI: 0.31–0.43) is equivalent to an average </w:t>
      </w:r>
      <w:r w:rsidRPr="00F5462A">
        <w:rPr>
          <w:rFonts w:ascii="Arial" w:hAnsi="Arial" w:cs="Arial"/>
          <w:sz w:val="20"/>
          <w:szCs w:val="20"/>
          <w:lang w:val="en-ID"/>
        </w:rPr>
        <w:lastRenderedPageBreak/>
        <w:t>protective efficacy of approximately 63% compared to untreated controls, an effect size that is clinically and epidemiologically relevant in the context of dengue transmission control. This finding is consistent with previous narrative reviews</w:t>
      </w:r>
      <w:r w:rsidR="004B5D2A"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1981372561"/>
          <w:placeholder>
            <w:docPart w:val="DefaultPlaceholder_-1854013440"/>
          </w:placeholder>
        </w:sdtPr>
        <w:sdtContent>
          <w:r w:rsidR="00FC0E8F" w:rsidRPr="00F5462A">
            <w:rPr>
              <w:rFonts w:ascii="Arial" w:eastAsia="Times New Roman" w:hAnsi="Arial" w:cs="Arial"/>
              <w:color w:val="000000"/>
              <w:sz w:val="20"/>
              <w:szCs w:val="20"/>
            </w:rPr>
            <w:t>(Maia &amp; Moore, 2011; Nerio et al., 2010)</w:t>
          </w:r>
        </w:sdtContent>
      </w:sdt>
      <w:r w:rsidRPr="00F5462A">
        <w:rPr>
          <w:rFonts w:ascii="Arial" w:hAnsi="Arial" w:cs="Arial"/>
          <w:sz w:val="20"/>
          <w:szCs w:val="20"/>
          <w:lang w:val="en-ID"/>
        </w:rPr>
        <w:t xml:space="preserve"> but provides a statistically precise and bias-adjusted estimate that was previously unavailable.</w:t>
      </w:r>
      <w:r w:rsidR="004B5D2A" w:rsidRPr="00F5462A">
        <w:rPr>
          <w:rFonts w:ascii="Arial" w:hAnsi="Arial" w:cs="Arial"/>
          <w:sz w:val="20"/>
          <w:szCs w:val="20"/>
          <w:lang w:val="en-ID"/>
        </w:rPr>
        <w:t xml:space="preserve"> </w:t>
      </w:r>
      <w:r w:rsidRPr="00F5462A">
        <w:rPr>
          <w:rFonts w:ascii="Arial" w:hAnsi="Arial" w:cs="Arial"/>
          <w:sz w:val="20"/>
          <w:szCs w:val="20"/>
          <w:lang w:val="en-ID"/>
        </w:rPr>
        <w:t xml:space="preserve">The most important finding is the substantial variability in efficacy across plant categories, with the most effective repellents achieving </w:t>
      </w:r>
      <w:r w:rsidR="004B5D2A" w:rsidRPr="00F5462A">
        <w:rPr>
          <w:rFonts w:ascii="Arial" w:hAnsi="Arial" w:cs="Arial"/>
          <w:sz w:val="20"/>
          <w:szCs w:val="20"/>
          <w:lang w:val="en-ID"/>
        </w:rPr>
        <w:t xml:space="preserve">protective efficacy levels </w:t>
      </w:r>
      <w:r w:rsidRPr="00F5462A">
        <w:rPr>
          <w:rFonts w:ascii="Arial" w:hAnsi="Arial" w:cs="Arial"/>
          <w:sz w:val="20"/>
          <w:szCs w:val="20"/>
          <w:lang w:val="en-ID"/>
        </w:rPr>
        <w:t>comparable to synthetic products. This understanding of the difference is central to evidence-based recommendations.</w:t>
      </w:r>
    </w:p>
    <w:p w14:paraId="1B7CFFFC" w14:textId="1E7890E6"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In this analysis, the most effective plant-based repellent was clove oil (</w:t>
      </w:r>
      <w:r w:rsidRPr="00F5462A">
        <w:rPr>
          <w:rFonts w:ascii="Arial" w:hAnsi="Arial" w:cs="Arial"/>
          <w:i/>
          <w:iCs/>
          <w:sz w:val="20"/>
          <w:szCs w:val="20"/>
          <w:lang w:val="en-ID"/>
        </w:rPr>
        <w:t>Syzygium aromaticum</w:t>
      </w:r>
      <w:r w:rsidRPr="00F5462A">
        <w:rPr>
          <w:rFonts w:ascii="Arial" w:hAnsi="Arial" w:cs="Arial"/>
          <w:sz w:val="20"/>
          <w:szCs w:val="20"/>
          <w:lang w:val="en-ID"/>
        </w:rPr>
        <w:t xml:space="preserve">) with a pooled RR of 0.20 (protection rate 80%; I² = 18%). The main active constituent, eugenol (4-allyl-2-methoxyphenol), is a phenylpropanoid </w:t>
      </w:r>
      <w:r w:rsidR="00BD34C4" w:rsidRPr="00F5462A">
        <w:rPr>
          <w:rFonts w:ascii="Arial" w:hAnsi="Arial" w:cs="Arial"/>
          <w:sz w:val="20"/>
          <w:szCs w:val="20"/>
          <w:lang w:val="en-ID"/>
        </w:rPr>
        <w:t xml:space="preserve">known to act as a strong olfactory repellent by targeting olfactory receptor neurons in mosquitoes, especially those expressing ionotropic receptor 8a (IR8a), which detects acidic odors </w:t>
      </w:r>
      <w:r w:rsidRPr="00F5462A">
        <w:rPr>
          <w:rFonts w:ascii="Arial" w:hAnsi="Arial" w:cs="Arial"/>
          <w:sz w:val="20"/>
          <w:szCs w:val="20"/>
          <w:lang w:val="en-ID"/>
        </w:rPr>
        <w:t xml:space="preserve">essential for host-seeking behavior </w:t>
      </w:r>
      <w:sdt>
        <w:sdtPr>
          <w:rPr>
            <w:rFonts w:ascii="Arial" w:hAnsi="Arial" w:cs="Arial"/>
            <w:color w:val="000000"/>
            <w:sz w:val="20"/>
            <w:szCs w:val="20"/>
            <w:lang w:val="en-ID"/>
          </w:rPr>
          <w:tag w:val="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
          <w:id w:val="-89091672"/>
          <w:placeholder>
            <w:docPart w:val="DefaultPlaceholder_-1854013440"/>
          </w:placeholder>
        </w:sdtPr>
        <w:sdtContent>
          <w:r w:rsidR="00FC0E8F" w:rsidRPr="00F5462A">
            <w:rPr>
              <w:rFonts w:ascii="Arial" w:hAnsi="Arial" w:cs="Arial"/>
              <w:color w:val="000000"/>
              <w:sz w:val="20"/>
              <w:szCs w:val="20"/>
              <w:lang w:val="en-ID"/>
            </w:rPr>
            <w:t>(Tan et al., 2019)</w:t>
          </w:r>
        </w:sdtContent>
      </w:sdt>
      <w:r w:rsidRPr="00F5462A">
        <w:rPr>
          <w:rFonts w:ascii="Arial" w:hAnsi="Arial" w:cs="Arial"/>
          <w:sz w:val="20"/>
          <w:szCs w:val="20"/>
          <w:lang w:val="en-ID"/>
        </w:rPr>
        <w:t xml:space="preserve">. Eugenol has been shown to be both repellent and contact-toxic at concentrations of 5-10%, thereby contributing to its high protection rates. </w:t>
      </w:r>
      <w:r w:rsidR="003013DB" w:rsidRPr="00F5462A">
        <w:rPr>
          <w:rFonts w:ascii="Arial" w:hAnsi="Arial" w:cs="Arial"/>
          <w:sz w:val="20"/>
          <w:szCs w:val="20"/>
          <w:lang w:val="en-ID"/>
        </w:rPr>
        <w:t>The low heterogeneity (I² = 18%) in this subgroup suggests consistent and reproducible efficacy across experimental settings, increasing confidence in this estimate. Combination formulations that exploit eugenol–citral interactions may be promising directions for product development, but further standardized field-relevant testing is still needed</w:t>
      </w:r>
      <w:r w:rsidRPr="00F5462A">
        <w:rPr>
          <w:rFonts w:ascii="Arial" w:hAnsi="Arial" w:cs="Arial"/>
          <w:sz w:val="20"/>
          <w:szCs w:val="20"/>
          <w:lang w:val="en-ID"/>
        </w:rPr>
        <w:t>.</w:t>
      </w:r>
    </w:p>
    <w:p w14:paraId="0DFBC7DA" w14:textId="679F5DBD"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Neem oil was second in efficacy (pooled RR = 0.26; 74% protection). Neem has a diverse array of bioactive compounds, such as azadirachtin, nimbin, salannin, and various limonoids, which provide a multi-mechanistic mode of action that includes both repellency and interference with host-seeking cue integration </w:t>
      </w:r>
      <w:sdt>
        <w:sdtPr>
          <w:rPr>
            <w:rFonts w:ascii="Arial" w:hAnsi="Arial" w:cs="Arial"/>
            <w:color w:val="000000"/>
            <w:sz w:val="20"/>
            <w:szCs w:val="20"/>
            <w:lang w:val="en-ID"/>
          </w:rPr>
          <w:tag w:val="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
          <w:id w:val="-1987465689"/>
          <w:placeholder>
            <w:docPart w:val="DefaultPlaceholder_-1854013440"/>
          </w:placeholder>
        </w:sdtPr>
        <w:sdtContent>
          <w:r w:rsidR="00FC0E8F" w:rsidRPr="00F5462A">
            <w:rPr>
              <w:rFonts w:ascii="Arial" w:hAnsi="Arial" w:cs="Arial"/>
              <w:color w:val="000000"/>
              <w:sz w:val="20"/>
              <w:szCs w:val="20"/>
              <w:lang w:val="en-ID"/>
            </w:rPr>
            <w:t>(Chatterjee et al., 2023; Iqbal et al., 2022)</w:t>
          </w:r>
        </w:sdtContent>
      </w:sdt>
      <w:r w:rsidRPr="00F5462A">
        <w:rPr>
          <w:rFonts w:ascii="Arial" w:hAnsi="Arial" w:cs="Arial"/>
          <w:sz w:val="20"/>
          <w:szCs w:val="20"/>
          <w:lang w:val="en-ID"/>
        </w:rPr>
        <w:t xml:space="preserve">. In particular, </w:t>
      </w:r>
      <w:r w:rsidRPr="00F5462A">
        <w:rPr>
          <w:rFonts w:ascii="Arial" w:hAnsi="Arial" w:cs="Arial"/>
          <w:i/>
          <w:iCs/>
          <w:sz w:val="20"/>
          <w:szCs w:val="20"/>
          <w:lang w:val="en-ID"/>
        </w:rPr>
        <w:t>Azadirachtin</w:t>
      </w:r>
      <w:r w:rsidRPr="00F5462A">
        <w:rPr>
          <w:rFonts w:ascii="Arial" w:hAnsi="Arial" w:cs="Arial"/>
          <w:sz w:val="20"/>
          <w:szCs w:val="20"/>
          <w:lang w:val="en-ID"/>
        </w:rPr>
        <w:t xml:space="preserve"> has been demonstrated to stimulate olfactory receptor neurons involved in aversive signaling in Diptera (</w:t>
      </w:r>
      <w:sdt>
        <w:sdtPr>
          <w:rPr>
            <w:rFonts w:ascii="Arial" w:hAnsi="Arial" w:cs="Arial"/>
            <w:color w:val="000000"/>
            <w:sz w:val="20"/>
            <w:szCs w:val="20"/>
            <w:lang w:val="en-ID"/>
          </w:rPr>
          <w:tag w:val="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
          <w:id w:val="1758709424"/>
          <w:placeholder>
            <w:docPart w:val="DefaultPlaceholder_-1854013440"/>
          </w:placeholder>
        </w:sdtPr>
        <w:sdtContent>
          <w:r w:rsidR="00FC0E8F" w:rsidRPr="00F5462A">
            <w:rPr>
              <w:rFonts w:ascii="Arial" w:eastAsia="Times New Roman" w:hAnsi="Arial" w:cs="Arial"/>
              <w:color w:val="000000"/>
              <w:sz w:val="20"/>
              <w:szCs w:val="20"/>
            </w:rPr>
            <w:t>Goodyer &amp; Schofield, 2018)</w:t>
          </w:r>
        </w:sdtContent>
      </w:sdt>
      <w:r w:rsidRPr="00F5462A">
        <w:rPr>
          <w:rFonts w:ascii="Arial" w:hAnsi="Arial" w:cs="Arial"/>
          <w:sz w:val="20"/>
          <w:szCs w:val="20"/>
          <w:lang w:val="en-ID"/>
        </w:rPr>
        <w:t>. The presence of studies using nanoemulsion formulations</w:t>
      </w:r>
      <w:r w:rsidR="00BD34C4"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
          <w:id w:val="-423264467"/>
          <w:placeholder>
            <w:docPart w:val="52597087AC5E47909AB8A012B722357B"/>
          </w:placeholder>
        </w:sdtPr>
        <w:sdtContent>
          <w:r w:rsidR="00FC0E8F" w:rsidRPr="00F5462A">
            <w:rPr>
              <w:rFonts w:ascii="Arial" w:eastAsia="Times New Roman" w:hAnsi="Arial" w:cs="Arial"/>
              <w:color w:val="000000"/>
              <w:sz w:val="20"/>
              <w:szCs w:val="20"/>
            </w:rPr>
            <w:t>(Goodyer &amp; Schofield, 2018)</w:t>
          </w:r>
        </w:sdtContent>
      </w:sdt>
      <w:r w:rsidRPr="00F5462A">
        <w:rPr>
          <w:rFonts w:ascii="Arial" w:hAnsi="Arial" w:cs="Arial"/>
          <w:sz w:val="20"/>
          <w:szCs w:val="20"/>
          <w:lang w:val="en-ID"/>
        </w:rPr>
        <w:t xml:space="preserve"> helped raise the efficacy range within this subgroup; nanoemulsification significantly improves the bioavailability and skin penetration of hydrophobic terpenoid constituents, supporting formulation-level effects on repellency duration and intensity. In combination formulations, neem was mixed with complementary botanicals and showed significant protection rates of </w:t>
      </w:r>
      <w:r w:rsidR="00FC0E8F" w:rsidRPr="00F5462A">
        <w:rPr>
          <w:rFonts w:ascii="Arial" w:hAnsi="Arial" w:cs="Arial"/>
          <w:sz w:val="20"/>
          <w:szCs w:val="20"/>
          <w:lang w:val="en-ID"/>
        </w:rPr>
        <w:t>60-80</w:t>
      </w:r>
      <w:r w:rsidRPr="00F5462A">
        <w:rPr>
          <w:rFonts w:ascii="Arial" w:hAnsi="Arial" w:cs="Arial"/>
          <w:sz w:val="20"/>
          <w:szCs w:val="20"/>
          <w:lang w:val="en-ID"/>
        </w:rPr>
        <w:t>%, indicating that future plant-based repellent development should focus on synergistic multi-component formulations</w:t>
      </w:r>
      <w:r w:rsidR="00BD34C4"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n0sImlzVGVtcG9yYXJ5IjpmYWxzZX1dfQ=="/>
          <w:id w:val="-6135672"/>
          <w:placeholder>
            <w:docPart w:val="DefaultPlaceholder_-1854013440"/>
          </w:placeholder>
        </w:sdtPr>
        <w:sdtContent>
          <w:r w:rsidR="00FC0E8F" w:rsidRPr="00F5462A">
            <w:rPr>
              <w:rFonts w:ascii="Arial" w:hAnsi="Arial" w:cs="Arial"/>
              <w:color w:val="000000"/>
              <w:sz w:val="20"/>
              <w:szCs w:val="20"/>
              <w:lang w:val="en-ID"/>
            </w:rPr>
            <w:t>(Haris et al., 2023; Obi et al., 2024)</w:t>
          </w:r>
        </w:sdtContent>
      </w:sdt>
      <w:r w:rsidRPr="00F5462A">
        <w:rPr>
          <w:rFonts w:ascii="Arial" w:hAnsi="Arial" w:cs="Arial"/>
          <w:sz w:val="20"/>
          <w:szCs w:val="20"/>
          <w:lang w:val="en-ID"/>
        </w:rPr>
        <w:t>.</w:t>
      </w:r>
    </w:p>
    <w:p w14:paraId="02B53C2B" w14:textId="77FF4958"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PMD (p-menthane-3,8-diol) from lemon eucalyptus was third in efficacy (pooled RR = 0.31; 69% protection; I² = 15%). PMD is the only plant-based repellent recommended by the US Centers for Disease Control and Prevention (CDC) as equivalent to DEET for protection against mosquito-borne disease (Moore et al., 2013; Semmler et al., 2016)</w:t>
      </w:r>
      <w:r w:rsidR="00BD34C4"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1939490097"/>
          <w:placeholder>
            <w:docPart w:val="DefaultPlaceholder_-1854013440"/>
          </w:placeholder>
        </w:sdtPr>
        <w:sdtContent>
          <w:r w:rsidR="00FC0E8F" w:rsidRPr="00F5462A">
            <w:rPr>
              <w:rFonts w:ascii="Arial" w:hAnsi="Arial" w:cs="Arial"/>
              <w:color w:val="000000"/>
              <w:sz w:val="20"/>
              <w:szCs w:val="20"/>
              <w:lang w:val="en-ID"/>
            </w:rPr>
            <w:t>(Drapeau et al., 2011; Solomon et al., 2012; Yavasoglu et al., 2025)</w:t>
          </w:r>
        </w:sdtContent>
      </w:sdt>
      <w:r w:rsidRPr="00F5462A">
        <w:rPr>
          <w:rFonts w:ascii="Arial" w:hAnsi="Arial" w:cs="Arial"/>
          <w:sz w:val="20"/>
          <w:szCs w:val="20"/>
          <w:lang w:val="en-ID"/>
        </w:rPr>
        <w:t xml:space="preserve">. This meta-analysis confirms this assessment, with effect sizes similar to those reported for direct comparisons of 15-30% DEET formulations </w:t>
      </w:r>
      <w:sdt>
        <w:sdtPr>
          <w:rPr>
            <w:rFonts w:ascii="Arial" w:hAnsi="Arial" w:cs="Arial"/>
            <w:color w:val="000000"/>
            <w:sz w:val="20"/>
            <w:szCs w:val="20"/>
            <w:lang w:val="en-ID"/>
          </w:rPr>
          <w:tag w:val="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1559518739"/>
          <w:placeholder>
            <w:docPart w:val="DefaultPlaceholder_-1854013440"/>
          </w:placeholder>
        </w:sdtPr>
        <w:sdtContent>
          <w:r w:rsidR="00FC0E8F" w:rsidRPr="00F5462A">
            <w:rPr>
              <w:rFonts w:ascii="Arial" w:eastAsia="Times New Roman" w:hAnsi="Arial" w:cs="Arial"/>
              <w:color w:val="000000"/>
              <w:sz w:val="20"/>
              <w:szCs w:val="20"/>
            </w:rPr>
            <w:t>(Fradin &amp; Day, 2002)</w:t>
          </w:r>
        </w:sdtContent>
      </w:sdt>
      <w:r w:rsidRPr="00F5462A">
        <w:rPr>
          <w:rFonts w:ascii="Arial" w:hAnsi="Arial" w:cs="Arial"/>
          <w:sz w:val="20"/>
          <w:szCs w:val="20"/>
          <w:lang w:val="en-ID"/>
        </w:rPr>
        <w:t>. The major advantage of PMD over crude lemon eucalyptus oil is the predominance of 1,8-cineole in the latter, which has been shown to have a much lower repellency, and the hydrodistillation and chemical concentration produce PMD-enriched preparations with much greater efficacy. The heterogeneity was low in this subgroup (I² = 15%), suggesting uniformity and reproducibility of the evidence quality.</w:t>
      </w:r>
    </w:p>
    <w:p w14:paraId="42AE3133" w14:textId="2A63C8A2"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lastRenderedPageBreak/>
        <w:t>The pooled RR of catnip (nepetalactone) was 0.31 (two studies, I² = 0%), the same as lemon eucalyptus. Both studies were performed in the laboratory under controlled conditions using pure nepetalactone fractions, which may overestimate performance in the field due to the rapid volatilization of the monoterpenoid</w:t>
      </w:r>
      <w:r w:rsidR="00FC0E8F"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327599709"/>
          <w:placeholder>
            <w:docPart w:val="DefaultPlaceholder_-1854013440"/>
          </w:placeholder>
        </w:sdtPr>
        <w:sdtContent>
          <w:r w:rsidR="00FC0E8F" w:rsidRPr="00F5462A">
            <w:rPr>
              <w:rFonts w:ascii="Arial" w:hAnsi="Arial" w:cs="Arial"/>
              <w:color w:val="000000"/>
              <w:sz w:val="20"/>
              <w:szCs w:val="20"/>
              <w:lang w:val="en-ID"/>
            </w:rPr>
            <w:t>(Reichert et al., 2019)</w:t>
          </w:r>
        </w:sdtContent>
      </w:sdt>
      <w:r w:rsidRPr="00F5462A">
        <w:rPr>
          <w:rFonts w:ascii="Arial" w:hAnsi="Arial" w:cs="Arial"/>
          <w:sz w:val="20"/>
          <w:szCs w:val="20"/>
          <w:lang w:val="en-ID"/>
        </w:rPr>
        <w:t>. However, the mechanistic basis of nepetalactone repellency, activation of TRPA1 channel-mediated aversive signaling in arthropods</w:t>
      </w:r>
      <w:r w:rsidR="00FC0E8F" w:rsidRPr="00F5462A">
        <w:rPr>
          <w:rFonts w:ascii="Arial" w:hAnsi="Arial" w:cs="Arial"/>
          <w:sz w:val="20"/>
          <w:szCs w:val="20"/>
          <w:lang w:val="en-ID"/>
        </w:rPr>
        <w:t xml:space="preserve">, </w:t>
      </w:r>
      <w:r w:rsidRPr="00F5462A">
        <w:rPr>
          <w:rFonts w:ascii="Arial" w:hAnsi="Arial" w:cs="Arial"/>
          <w:sz w:val="20"/>
          <w:szCs w:val="20"/>
          <w:lang w:val="en-ID"/>
        </w:rPr>
        <w:t>offers a strong molecular rationale for further development.</w:t>
      </w:r>
    </w:p>
    <w:p w14:paraId="482B053E" w14:textId="15FBD779"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Lemongrass (</w:t>
      </w:r>
      <w:r w:rsidRPr="00F5462A">
        <w:rPr>
          <w:rFonts w:ascii="Arial" w:hAnsi="Arial" w:cs="Arial"/>
          <w:i/>
          <w:iCs/>
          <w:sz w:val="20"/>
          <w:szCs w:val="20"/>
          <w:lang w:val="en-ID"/>
        </w:rPr>
        <w:t>Cymbopogon citratus</w:t>
      </w:r>
      <w:r w:rsidRPr="00F5462A">
        <w:rPr>
          <w:rFonts w:ascii="Arial" w:hAnsi="Arial" w:cs="Arial"/>
          <w:sz w:val="20"/>
          <w:szCs w:val="20"/>
          <w:lang w:val="en-ID"/>
        </w:rPr>
        <w:t>) offered 60% protection (RR = 0.40) and andiroba oil 56% (RR = 0.44). Both are biologically feasible and practically available repellents for tropical endemic areas. Lemongrass is a commonly grown crop in Southeast Asia, sub-Saharan Africa, and Latin America. Lemongrass essential oil, rich in citral (geranial and neral isomers), has been shown to be a mosquito repellent. The moderate heterogeneity in the lemongrass subgroup (I² = 30%) is likely due to differences in citral content, which is highly variable across cultivation conditions and extraction methods. Andiroba oil is extracted from the seeds of the Amazonian tree Carapa guianensis and contains unique tetranortriterpenoids (limonoids) and oleic acid, which confer repellency through mechanisms distinct from those of terpene-based repellents</w:t>
      </w:r>
      <w:r w:rsidR="00FC0E8F" w:rsidRPr="00F5462A">
        <w:rPr>
          <w:rFonts w:ascii="Arial" w:hAnsi="Arial" w:cs="Arial"/>
          <w:sz w:val="20"/>
          <w:szCs w:val="20"/>
          <w:lang w:val="en-ID"/>
        </w:rPr>
        <w:t xml:space="preserve"> </w:t>
      </w:r>
      <w:sdt>
        <w:sdtPr>
          <w:rPr>
            <w:rFonts w:ascii="Arial" w:hAnsi="Arial" w:cs="Arial"/>
            <w:color w:val="000000"/>
            <w:sz w:val="20"/>
            <w:szCs w:val="20"/>
            <w:lang w:val="en-ID"/>
          </w:rPr>
          <w:tag w:val="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
          <w:id w:val="-1437516596"/>
          <w:placeholder>
            <w:docPart w:val="DefaultPlaceholder_-1854013440"/>
          </w:placeholder>
        </w:sdtPr>
        <w:sdtContent>
          <w:r w:rsidR="00FC0E8F" w:rsidRPr="00F5462A">
            <w:rPr>
              <w:rFonts w:ascii="Arial" w:hAnsi="Arial" w:cs="Arial"/>
              <w:color w:val="000000"/>
              <w:sz w:val="20"/>
              <w:szCs w:val="20"/>
              <w:lang w:val="en-ID"/>
            </w:rPr>
            <w:t>(Pohlit et al., 2011)</w:t>
          </w:r>
        </w:sdtContent>
      </w:sdt>
      <w:r w:rsidRPr="00F5462A">
        <w:rPr>
          <w:rFonts w:ascii="Arial" w:hAnsi="Arial" w:cs="Arial"/>
          <w:sz w:val="20"/>
          <w:szCs w:val="20"/>
          <w:lang w:val="en-ID"/>
        </w:rPr>
        <w:t>. Its moderate but consistent efficacy (I² = 28%) and its non-dermatitic emollient properties make it an attractive candidate for community-level programs in Brazil and other Amazonian countries.</w:t>
      </w:r>
      <w:r w:rsidR="00FC0E8F" w:rsidRPr="00F5462A">
        <w:rPr>
          <w:rFonts w:ascii="Arial" w:hAnsi="Arial" w:cs="Arial"/>
          <w:sz w:val="20"/>
          <w:szCs w:val="20"/>
          <w:lang w:val="en-ID"/>
        </w:rPr>
        <w:t xml:space="preserve"> </w:t>
      </w:r>
      <w:r w:rsidRPr="00F5462A">
        <w:rPr>
          <w:rFonts w:ascii="Arial" w:hAnsi="Arial" w:cs="Arial"/>
          <w:sz w:val="20"/>
          <w:szCs w:val="20"/>
          <w:lang w:val="en-ID"/>
        </w:rPr>
        <w:t xml:space="preserve">Essential oil formulations were heterogeneous but generally moderately effective (pooled RR=0.41; I²=35%), indicating that synergistic blending strategies need to be optimized. Some blends based on rational combinations of complementary </w:t>
      </w:r>
      <w:r w:rsidR="00FC0E8F" w:rsidRPr="00F5462A">
        <w:rPr>
          <w:rFonts w:ascii="Arial" w:hAnsi="Arial" w:cs="Arial"/>
          <w:sz w:val="20"/>
          <w:szCs w:val="20"/>
          <w:lang w:val="en-ID"/>
        </w:rPr>
        <w:t>herbs exhibited protection rates close to 65%, highlighting</w:t>
      </w:r>
      <w:r w:rsidRPr="00F5462A">
        <w:rPr>
          <w:rFonts w:ascii="Arial" w:hAnsi="Arial" w:cs="Arial"/>
          <w:sz w:val="20"/>
          <w:szCs w:val="20"/>
          <w:lang w:val="en-ID"/>
        </w:rPr>
        <w:t xml:space="preserve"> the potential of evidence-based polyherbal formulations.</w:t>
      </w:r>
    </w:p>
    <w:p w14:paraId="55873CEA" w14:textId="77777777"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Citronella was the most commercially available plant-based repellent worldwide but had only moderate efficacy in this analysis (pooled RR = 0.49; 51% protection) and ranked seventh among plant categories. There are a few reasons that might explain this quite moderate effect: (1) citronellal rapidly evaporates under field conditions, which shortens protection; (2) many tested products were not formulated optimally; and (3) the active compounds' composition varies among chemotypes of </w:t>
      </w:r>
      <w:r w:rsidRPr="00F5462A">
        <w:rPr>
          <w:rFonts w:ascii="Arial" w:hAnsi="Arial" w:cs="Arial"/>
          <w:i/>
          <w:iCs/>
          <w:sz w:val="20"/>
          <w:szCs w:val="20"/>
          <w:lang w:val="en-ID"/>
        </w:rPr>
        <w:t>Cymbopogon nardus</w:t>
      </w:r>
      <w:r w:rsidRPr="00F5462A">
        <w:rPr>
          <w:rFonts w:ascii="Arial" w:hAnsi="Arial" w:cs="Arial"/>
          <w:sz w:val="20"/>
          <w:szCs w:val="20"/>
          <w:lang w:val="en-ID"/>
        </w:rPr>
        <w:t xml:space="preserve"> and </w:t>
      </w:r>
      <w:r w:rsidRPr="00F5462A">
        <w:rPr>
          <w:rFonts w:ascii="Arial" w:hAnsi="Arial" w:cs="Arial"/>
          <w:i/>
          <w:iCs/>
          <w:sz w:val="20"/>
          <w:szCs w:val="20"/>
          <w:lang w:val="en-ID"/>
        </w:rPr>
        <w:t>C.</w:t>
      </w:r>
      <w:r w:rsidRPr="00F5462A">
        <w:rPr>
          <w:rFonts w:ascii="Arial" w:hAnsi="Arial" w:cs="Arial"/>
          <w:sz w:val="20"/>
          <w:szCs w:val="20"/>
          <w:lang w:val="en-ID"/>
        </w:rPr>
        <w:t xml:space="preserve"> </w:t>
      </w:r>
      <w:r w:rsidRPr="00F5462A">
        <w:rPr>
          <w:rFonts w:ascii="Arial" w:hAnsi="Arial" w:cs="Arial"/>
          <w:i/>
          <w:iCs/>
          <w:sz w:val="20"/>
          <w:szCs w:val="20"/>
          <w:lang w:val="en-ID"/>
        </w:rPr>
        <w:t>winterianus</w:t>
      </w:r>
      <w:r w:rsidRPr="00F5462A">
        <w:rPr>
          <w:rFonts w:ascii="Arial" w:hAnsi="Arial" w:cs="Arial"/>
          <w:sz w:val="20"/>
          <w:szCs w:val="20"/>
          <w:lang w:val="en-ID"/>
        </w:rPr>
        <w:t>. In this subgroup, the higher heterogeneity (I² = 42%) compared to the clove or PMD subgroups indicates considerable variability across studies, likely due to differences in formulation. Interestingly, higher concentrations (≥15%) or microencapsulated/polymer-matrix formulations exhibited significantly higher protection rates (up to 70%), consistent with the meta-regression result that concentration is a significant moderator.</w:t>
      </w:r>
    </w:p>
    <w:p w14:paraId="36A0D815" w14:textId="536C2144"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Soybean oil had the lowest efficacy (RR = 0.59; 41% protection), consistent with previous work showing that its repellent activity is largely driven by high oleic acid content rather than specific volatile repellent compounds </w:t>
      </w:r>
      <w:sdt>
        <w:sdtPr>
          <w:rPr>
            <w:rFonts w:ascii="Arial" w:hAnsi="Arial" w:cs="Arial"/>
            <w:sz w:val="20"/>
            <w:szCs w:val="20"/>
            <w:lang w:val="en-ID"/>
          </w:rPr>
          <w:tag w:val="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574509436"/>
          <w:placeholder>
            <w:docPart w:val="DefaultPlaceholder_-1854013440"/>
          </w:placeholder>
        </w:sdtPr>
        <w:sdtEndPr>
          <w:rPr>
            <w:color w:val="000000"/>
          </w:rPr>
        </w:sdtEndPr>
        <w:sdtContent>
          <w:r w:rsidR="00FC0E8F" w:rsidRPr="00F5462A">
            <w:rPr>
              <w:rFonts w:ascii="Arial" w:hAnsi="Arial" w:cs="Arial"/>
              <w:color w:val="000000"/>
              <w:sz w:val="20"/>
              <w:szCs w:val="20"/>
              <w:lang w:val="en-ID"/>
            </w:rPr>
            <w:t>(Sansabhilla et al., 2020)</w:t>
          </w:r>
        </w:sdtContent>
      </w:sdt>
      <w:r w:rsidRPr="00F5462A">
        <w:rPr>
          <w:rFonts w:ascii="Arial" w:hAnsi="Arial" w:cs="Arial"/>
          <w:sz w:val="20"/>
          <w:szCs w:val="20"/>
          <w:lang w:val="en-ID"/>
        </w:rPr>
        <w:t>. Its use as a repellent base or adjuvant for more potent botanicals may be more rational than its standalone use.</w:t>
      </w:r>
    </w:p>
    <w:p w14:paraId="095F800D" w14:textId="648F54D0"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Meta-regression indicated a strong dose-response relationship (β = −0.018 per 1% increase; p = 0.006), which has important practical implications. Plant-based repellents are often sold in concentrations labeled as “natural” or “safe” (&lt;5%), which may not provide adequate protection against </w:t>
      </w:r>
      <w:r w:rsidR="00D3344F" w:rsidRPr="00F5462A">
        <w:rPr>
          <w:rFonts w:ascii="Arial" w:hAnsi="Arial" w:cs="Arial"/>
          <w:i/>
          <w:iCs/>
          <w:sz w:val="20"/>
          <w:szCs w:val="20"/>
          <w:lang w:val="en-ID"/>
        </w:rPr>
        <w:t>Aedes</w:t>
      </w:r>
      <w:r w:rsidR="0097096E" w:rsidRPr="00F5462A">
        <w:rPr>
          <w:rFonts w:ascii="Arial" w:hAnsi="Arial" w:cs="Arial"/>
          <w:i/>
          <w:iCs/>
          <w:sz w:val="20"/>
          <w:szCs w:val="20"/>
          <w:lang w:val="en-ID"/>
        </w:rPr>
        <w:t xml:space="preserve"> aegypti</w:t>
      </w:r>
      <w:r w:rsidRPr="00F5462A">
        <w:rPr>
          <w:rFonts w:ascii="Arial" w:hAnsi="Arial" w:cs="Arial"/>
          <w:sz w:val="20"/>
          <w:szCs w:val="20"/>
          <w:lang w:val="en-ID"/>
        </w:rPr>
        <w:t xml:space="preserve">. The majority of evidence suggests better performance with higher concentrations (&gt;10% active ingredients). </w:t>
      </w:r>
      <w:r w:rsidRPr="00F5462A">
        <w:rPr>
          <w:rFonts w:ascii="Arial" w:hAnsi="Arial" w:cs="Arial"/>
          <w:sz w:val="20"/>
          <w:szCs w:val="20"/>
          <w:lang w:val="en-ID"/>
        </w:rPr>
        <w:lastRenderedPageBreak/>
        <w:t xml:space="preserve">Formulation technology was also important: nanoemulsion and microencapsulation formulations not only improved efficacy at similar concentrations but also </w:t>
      </w:r>
      <w:r w:rsidR="00FC0E8F" w:rsidRPr="00F5462A">
        <w:rPr>
          <w:rFonts w:ascii="Arial" w:hAnsi="Arial" w:cs="Arial"/>
          <w:sz w:val="20"/>
          <w:szCs w:val="20"/>
          <w:lang w:val="en-ID"/>
        </w:rPr>
        <w:t>extended</w:t>
      </w:r>
      <w:r w:rsidRPr="00F5462A">
        <w:rPr>
          <w:rFonts w:ascii="Arial" w:hAnsi="Arial" w:cs="Arial"/>
          <w:sz w:val="20"/>
          <w:szCs w:val="20"/>
          <w:lang w:val="en-ID"/>
        </w:rPr>
        <w:t xml:space="preserve"> protection compared with conventional oil or lotion bases. The next phase of development work should focus on formulation optimization and botanical selection.</w:t>
      </w:r>
    </w:p>
    <w:p w14:paraId="5D3CDB32" w14:textId="6F584FC5" w:rsidR="00403560" w:rsidRPr="00F5462A" w:rsidRDefault="00403560"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 xml:space="preserve">In areas where dengue is common, including Southeast Asia, sub-Saharan Africa, and Latin America, plant-based repellents are a useful public health tool because they are culturally acceptable, relatively safe, locally available, and cost-effective. The finding that clove oil, neem, and lemon eucalyptus (PMD) can provide 69–80% protection rates approaches the 90%+ protection of DEET (Fradin &amp; Day, 2002), especially with optimized formulations. In settings where access to DEET is limited by cost or preference, evidence-based plant-based alternatives provide a practical approach for reducing contact with human vectors and the intensity of dengue transmission. </w:t>
      </w:r>
      <w:r w:rsidR="003013DB" w:rsidRPr="00F5462A">
        <w:rPr>
          <w:rFonts w:ascii="Arial" w:hAnsi="Arial" w:cs="Arial"/>
          <w:sz w:val="20"/>
          <w:szCs w:val="20"/>
        </w:rPr>
        <w:t xml:space="preserve">These findings support the further development of effective plant-derived repellents, particularly PMD-, neem-, and clove-based formulations, as complementary tools for sustainable </w:t>
      </w:r>
      <w:r w:rsidR="003013DB" w:rsidRPr="00F5462A">
        <w:rPr>
          <w:rFonts w:ascii="Arial" w:hAnsi="Arial" w:cs="Arial"/>
          <w:i/>
          <w:iCs/>
          <w:sz w:val="20"/>
          <w:szCs w:val="20"/>
        </w:rPr>
        <w:t>Aedes aegypti</w:t>
      </w:r>
      <w:r w:rsidR="003013DB" w:rsidRPr="00F5462A">
        <w:rPr>
          <w:rFonts w:ascii="Arial" w:hAnsi="Arial" w:cs="Arial"/>
          <w:sz w:val="20"/>
          <w:szCs w:val="20"/>
        </w:rPr>
        <w:t xml:space="preserve"> control. Future work should focus on standardized formulation, optimized concentration, field validation, and safety evaluation to support their practical application in dengue-endemic settings</w:t>
      </w:r>
      <w:r w:rsidRPr="00F5462A">
        <w:rPr>
          <w:rFonts w:ascii="Arial" w:hAnsi="Arial" w:cs="Arial"/>
          <w:sz w:val="20"/>
          <w:szCs w:val="20"/>
          <w:lang w:val="en-ID"/>
        </w:rPr>
        <w:t>.</w:t>
      </w:r>
    </w:p>
    <w:p w14:paraId="33C17087" w14:textId="03A563C1" w:rsidR="00403560" w:rsidRPr="00F5462A" w:rsidRDefault="00403560" w:rsidP="00F5462A">
      <w:pPr>
        <w:spacing w:line="240" w:lineRule="auto"/>
        <w:ind w:left="0" w:firstLine="720"/>
        <w:rPr>
          <w:rFonts w:ascii="Arial" w:hAnsi="Arial" w:cs="Arial"/>
          <w:sz w:val="20"/>
          <w:szCs w:val="20"/>
          <w:lang w:val="id-ID"/>
        </w:rPr>
      </w:pPr>
      <w:r w:rsidRPr="00F5462A">
        <w:rPr>
          <w:rFonts w:ascii="Arial" w:hAnsi="Arial" w:cs="Arial"/>
          <w:sz w:val="20"/>
          <w:szCs w:val="20"/>
          <w:lang w:val="en-ID"/>
        </w:rPr>
        <w:t>Overall, the I² of 62.4% indicates substantial heterogeneity that should be regarded as a characteristic of this literature rather than a methodological failure. There are several legitimate sources of this: variation in mosquito strains (field-collected vs. laboratory colony); geographic and seasonal variation in insect behavior; differences in bioassay protocol</w:t>
      </w:r>
      <w:r w:rsidR="00FC0E8F" w:rsidRPr="00F5462A">
        <w:rPr>
          <w:rFonts w:ascii="Arial" w:hAnsi="Arial" w:cs="Arial"/>
          <w:sz w:val="20"/>
          <w:szCs w:val="20"/>
          <w:lang w:val="en-ID"/>
        </w:rPr>
        <w:t xml:space="preserve">; </w:t>
      </w:r>
      <w:r w:rsidRPr="00F5462A">
        <w:rPr>
          <w:rFonts w:ascii="Arial" w:hAnsi="Arial" w:cs="Arial"/>
          <w:sz w:val="20"/>
          <w:szCs w:val="20"/>
          <w:lang w:val="en-ID"/>
        </w:rPr>
        <w:t>concentration ranges; extraction methods; carrier vehicles; human skin microbiome variation (in arm-in-cage studies); and climatic conditions (temperature and humidity affecting volatilization). The heterogeneity within the plant categories was substantially reduced by the subgroup analyses, suggesting that biological/botanical factors are the primary source of heterogeneity. Future primary studies should use standardized bioassay protocols and reporting standards to allow for more precise pooling.</w:t>
      </w:r>
    </w:p>
    <w:p w14:paraId="2488D287" w14:textId="77777777" w:rsidR="00403560" w:rsidRPr="00F5462A" w:rsidRDefault="00403560" w:rsidP="00F5462A">
      <w:pPr>
        <w:spacing w:line="240" w:lineRule="auto"/>
        <w:ind w:left="0" w:firstLine="0"/>
        <w:rPr>
          <w:rFonts w:ascii="Arial" w:hAnsi="Arial" w:cs="Arial"/>
          <w:sz w:val="20"/>
          <w:szCs w:val="20"/>
          <w:lang w:val="id-ID"/>
        </w:rPr>
      </w:pPr>
    </w:p>
    <w:p w14:paraId="767BD746" w14:textId="77777777" w:rsidR="00E76EA5" w:rsidRPr="00F5462A" w:rsidRDefault="0002065B" w:rsidP="00F5462A">
      <w:pPr>
        <w:spacing w:line="240" w:lineRule="auto"/>
        <w:ind w:left="0" w:firstLine="0"/>
        <w:rPr>
          <w:rFonts w:ascii="Arial" w:hAnsi="Arial" w:cs="Arial"/>
          <w:sz w:val="20"/>
          <w:szCs w:val="20"/>
          <w:lang w:val="id-ID"/>
        </w:rPr>
      </w:pPr>
      <w:r w:rsidRPr="00F5462A">
        <w:rPr>
          <w:rFonts w:ascii="Arial" w:hAnsi="Arial" w:cs="Arial"/>
          <w:b/>
          <w:bCs/>
          <w:sz w:val="20"/>
          <w:szCs w:val="20"/>
          <w:lang w:val="id-ID"/>
        </w:rPr>
        <w:t>CONCLUSION</w:t>
      </w:r>
    </w:p>
    <w:p w14:paraId="16F13418" w14:textId="7B0CBC36" w:rsidR="00E76EA5" w:rsidRPr="00F5462A" w:rsidRDefault="00656E96" w:rsidP="00F5462A">
      <w:pPr>
        <w:spacing w:line="240" w:lineRule="auto"/>
        <w:ind w:left="0" w:firstLine="720"/>
        <w:rPr>
          <w:rFonts w:ascii="Arial" w:hAnsi="Arial" w:cs="Arial"/>
          <w:sz w:val="20"/>
          <w:szCs w:val="20"/>
          <w:lang w:val="en-ID"/>
        </w:rPr>
      </w:pPr>
      <w:r w:rsidRPr="00F5462A">
        <w:rPr>
          <w:rFonts w:ascii="Arial" w:hAnsi="Arial" w:cs="Arial"/>
          <w:sz w:val="20"/>
          <w:szCs w:val="20"/>
        </w:rPr>
        <w:t xml:space="preserve">This systematic review and meta-analysis indicates that plant-based repellents significantly reduce </w:t>
      </w:r>
      <w:r w:rsidRPr="00F5462A">
        <w:rPr>
          <w:rFonts w:ascii="Arial" w:hAnsi="Arial" w:cs="Arial"/>
          <w:i/>
          <w:iCs/>
          <w:sz w:val="20"/>
          <w:szCs w:val="20"/>
        </w:rPr>
        <w:t>Aedes aegypti</w:t>
      </w:r>
      <w:r w:rsidRPr="00F5462A">
        <w:rPr>
          <w:rFonts w:ascii="Arial" w:hAnsi="Arial" w:cs="Arial"/>
          <w:sz w:val="20"/>
          <w:szCs w:val="20"/>
        </w:rPr>
        <w:t xml:space="preserve"> biting and landing rates, with a pooled protection rate of 63% across 30 studies and 3,958 bioassay units. However, efficacy varies considerably between plant species and formulations</w:t>
      </w:r>
      <w:r w:rsidR="00E76EA5" w:rsidRPr="00F5462A">
        <w:rPr>
          <w:rFonts w:ascii="Arial" w:hAnsi="Arial" w:cs="Arial"/>
          <w:sz w:val="20"/>
          <w:szCs w:val="20"/>
          <w:lang w:val="en-ID"/>
        </w:rPr>
        <w:t xml:space="preserve">. </w:t>
      </w:r>
    </w:p>
    <w:p w14:paraId="34D6CA66" w14:textId="77777777" w:rsidR="00E76EA5" w:rsidRPr="00F5462A" w:rsidRDefault="00E76EA5"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This analysis clearly establishes a hierarchy of efficacy: clove oil (eugenol; 80% protection) &gt; neem oil (azadirachtin; 74%) &gt; lemon eucalyptus PMD (69%) ≈ catnip nepetalactone (69%) &gt; lemongrass (60%) &gt; andiroba oil (56%) &gt; mixed essential oils (59%) &gt; citronella (51%) &gt; soybean oil (41%). Combination formulations that combine clove, neem, or lemon eucalyptus with complementary botanicals offer the highest protection rates (75-80%) and should be prioritized in product development.</w:t>
      </w:r>
    </w:p>
    <w:p w14:paraId="0D57D210" w14:textId="709ABAB5" w:rsidR="00E76EA5" w:rsidRPr="00F5462A" w:rsidRDefault="00D3344F" w:rsidP="00F5462A">
      <w:pPr>
        <w:spacing w:line="240" w:lineRule="auto"/>
        <w:ind w:left="0" w:firstLine="720"/>
        <w:rPr>
          <w:rFonts w:ascii="Arial" w:hAnsi="Arial" w:cs="Arial"/>
          <w:sz w:val="20"/>
          <w:szCs w:val="20"/>
          <w:lang w:val="id-ID"/>
        </w:rPr>
      </w:pPr>
      <w:r w:rsidRPr="00F5462A">
        <w:rPr>
          <w:rFonts w:ascii="Arial" w:hAnsi="Arial" w:cs="Arial"/>
          <w:sz w:val="20"/>
          <w:szCs w:val="20"/>
          <w:lang w:val="en-ID"/>
        </w:rPr>
        <w:t xml:space="preserve">The forest plot supported an overall protective effect of plant-based repellents against </w:t>
      </w:r>
      <w:r w:rsidRPr="00F5462A">
        <w:rPr>
          <w:rFonts w:ascii="Arial" w:hAnsi="Arial" w:cs="Arial"/>
          <w:i/>
          <w:iCs/>
          <w:sz w:val="20"/>
          <w:szCs w:val="20"/>
          <w:lang w:val="en-ID"/>
        </w:rPr>
        <w:t>Aedes aegypti</w:t>
      </w:r>
      <w:r w:rsidRPr="00F5462A">
        <w:rPr>
          <w:rFonts w:ascii="Arial" w:hAnsi="Arial" w:cs="Arial"/>
          <w:sz w:val="20"/>
          <w:szCs w:val="20"/>
          <w:lang w:val="en-ID"/>
        </w:rPr>
        <w:t xml:space="preserve">, with the pooled estimate favoring repellent-treated groups over untreated or vehicle-control groups. In addition, the funnel plot and non-significant Egger’s test suggested no clear evidence of publication bias, although interpretation should remain cautious because of methodological heterogeneity across studies. Taken together, these findings support the further development of effective plant-derived repellents, particularly PMD-, neem-, and clove-based formulations, as </w:t>
      </w:r>
      <w:r w:rsidRPr="00F5462A">
        <w:rPr>
          <w:rFonts w:ascii="Arial" w:hAnsi="Arial" w:cs="Arial"/>
          <w:sz w:val="20"/>
          <w:szCs w:val="20"/>
          <w:lang w:val="en-ID"/>
        </w:rPr>
        <w:lastRenderedPageBreak/>
        <w:t>complementary tools for sustainable Aedes aegypti control. Future work should focus on standardized formulation, optimized concentration, field validation, and safety evaluation to support their practical application in dengue-endemic settings</w:t>
      </w:r>
      <w:r w:rsidR="00E76EA5" w:rsidRPr="00F5462A">
        <w:rPr>
          <w:rFonts w:ascii="Arial" w:hAnsi="Arial" w:cs="Arial"/>
          <w:sz w:val="20"/>
          <w:szCs w:val="20"/>
          <w:lang w:val="en-ID"/>
        </w:rPr>
        <w:t>.</w:t>
      </w:r>
    </w:p>
    <w:p w14:paraId="2F2A7719" w14:textId="77777777" w:rsidR="00403560" w:rsidRPr="00F5462A" w:rsidRDefault="00403560" w:rsidP="00F5462A">
      <w:pPr>
        <w:spacing w:line="240" w:lineRule="auto"/>
        <w:ind w:left="0" w:firstLine="0"/>
        <w:rPr>
          <w:rFonts w:ascii="Arial" w:hAnsi="Arial" w:cs="Arial"/>
          <w:sz w:val="20"/>
          <w:szCs w:val="20"/>
          <w:lang w:val="id-ID"/>
        </w:rPr>
      </w:pPr>
    </w:p>
    <w:p w14:paraId="2D463572" w14:textId="1CE23824" w:rsidR="0002065B" w:rsidRPr="00F5462A" w:rsidRDefault="0002065B" w:rsidP="00F5462A">
      <w:pPr>
        <w:spacing w:line="240" w:lineRule="auto"/>
        <w:ind w:left="0" w:firstLine="0"/>
        <w:rPr>
          <w:rFonts w:ascii="Arial" w:hAnsi="Arial" w:cs="Arial"/>
          <w:b/>
          <w:bCs/>
          <w:sz w:val="20"/>
          <w:szCs w:val="20"/>
          <w:lang w:val="id-ID"/>
        </w:rPr>
      </w:pPr>
      <w:r w:rsidRPr="00F5462A">
        <w:rPr>
          <w:rFonts w:ascii="Arial" w:hAnsi="Arial" w:cs="Arial"/>
          <w:b/>
          <w:bCs/>
          <w:sz w:val="20"/>
          <w:szCs w:val="20"/>
          <w:lang w:val="id-ID"/>
        </w:rPr>
        <w:t>LIMITATION</w:t>
      </w:r>
      <w:r w:rsidR="00CB73FB" w:rsidRPr="00F5462A">
        <w:rPr>
          <w:rFonts w:ascii="Arial" w:hAnsi="Arial" w:cs="Arial"/>
          <w:b/>
          <w:bCs/>
          <w:sz w:val="20"/>
          <w:szCs w:val="20"/>
          <w:lang w:val="id-ID"/>
        </w:rPr>
        <w:t>S</w:t>
      </w:r>
    </w:p>
    <w:p w14:paraId="5C712B12" w14:textId="48F21E49" w:rsidR="00E76EA5" w:rsidRPr="00F5462A" w:rsidRDefault="00E76EA5" w:rsidP="00F5462A">
      <w:pPr>
        <w:spacing w:line="240" w:lineRule="auto"/>
        <w:ind w:left="0" w:firstLine="720"/>
        <w:rPr>
          <w:rFonts w:ascii="Arial" w:hAnsi="Arial" w:cs="Arial"/>
          <w:sz w:val="20"/>
          <w:szCs w:val="20"/>
          <w:lang w:val="en-ID"/>
        </w:rPr>
      </w:pPr>
      <w:r w:rsidRPr="00F5462A">
        <w:rPr>
          <w:rFonts w:ascii="Arial" w:hAnsi="Arial" w:cs="Arial"/>
          <w:sz w:val="20"/>
          <w:szCs w:val="20"/>
          <w:lang w:val="en-ID"/>
        </w:rPr>
        <w:t>These results should be interpreted in the context of several limitations. First, we found significant heterogeneity (I² = 62.4%) that decreased in plant-specific subgroup analyses, as expected given the variety of experimental conditions. Second, the majority of studies were conducted in laboratory or semi-field settings that limit direct extrapolation to real-world protection efficacy; translating a controlled bioassay to a field setting introduces uncertainty due to wind, temperature, and behavioral variables. Third, the assessment of protection duration (complete protection time, CPT) was reported inconsistently among studies, precluding meta-analysis of this clinically important outcome. Fourth, the Egger’s test was non-significant (p = 0.213), but it has limited power with fewer than 30 study-level data points and cannot conclusively rule out small-study effects. Fifth, heterogeneity in concentration across studies was substantial and could not be fully explained by subgroup analyses due to variable reporting. Finally, several potential subgroup analyses (mosquito strain, geographic setting, and human skin type) were constrained by the lack of granularity in the reported data. These gaps will require systematic reviews in the future that include standardized primary data.</w:t>
      </w:r>
    </w:p>
    <w:p w14:paraId="6576CB2A" w14:textId="77777777" w:rsidR="00E76EA5" w:rsidRPr="00F5462A" w:rsidRDefault="00E76EA5" w:rsidP="00F5462A">
      <w:pPr>
        <w:spacing w:line="240" w:lineRule="auto"/>
        <w:ind w:left="0" w:firstLine="0"/>
        <w:rPr>
          <w:rFonts w:ascii="Arial" w:hAnsi="Arial" w:cs="Arial"/>
          <w:sz w:val="20"/>
          <w:szCs w:val="20"/>
          <w:lang w:val="id-ID"/>
        </w:rPr>
      </w:pPr>
    </w:p>
    <w:p w14:paraId="2BECFF5C" w14:textId="78130F97" w:rsidR="0002065B" w:rsidRPr="00F5462A" w:rsidRDefault="0002065B" w:rsidP="00F5462A">
      <w:pPr>
        <w:spacing w:line="240" w:lineRule="auto"/>
        <w:ind w:left="0" w:firstLine="0"/>
        <w:rPr>
          <w:rFonts w:ascii="Arial" w:hAnsi="Arial" w:cs="Arial"/>
          <w:b/>
          <w:bCs/>
          <w:sz w:val="20"/>
          <w:szCs w:val="20"/>
          <w:lang w:val="id-ID"/>
        </w:rPr>
      </w:pPr>
      <w:r w:rsidRPr="00F5462A">
        <w:rPr>
          <w:rFonts w:ascii="Arial" w:hAnsi="Arial" w:cs="Arial"/>
          <w:b/>
          <w:bCs/>
          <w:sz w:val="20"/>
          <w:szCs w:val="20"/>
          <w:lang w:val="id-ID"/>
        </w:rPr>
        <w:t>REFERENCES</w:t>
      </w:r>
    </w:p>
    <w:sdt>
      <w:sdtPr>
        <w:rPr>
          <w:rFonts w:ascii="Arial" w:hAnsi="Arial" w:cs="Arial"/>
          <w:color w:val="000000"/>
          <w:sz w:val="20"/>
          <w:szCs w:val="20"/>
          <w:lang w:val="id-ID"/>
        </w:rPr>
        <w:tag w:val="MENDELEY_BIBLIOGRAPHY"/>
        <w:id w:val="418445483"/>
        <w:placeholder>
          <w:docPart w:val="DefaultPlaceholder_-1854013440"/>
        </w:placeholder>
      </w:sdtPr>
      <w:sdtContent>
        <w:p w14:paraId="14806EF8" w14:textId="77777777" w:rsidR="009E469A" w:rsidRPr="00F5462A" w:rsidRDefault="009E469A" w:rsidP="00F5462A">
          <w:pPr>
            <w:autoSpaceDE w:val="0"/>
            <w:autoSpaceDN w:val="0"/>
            <w:spacing w:after="120" w:line="240" w:lineRule="auto"/>
            <w:ind w:left="0" w:hanging="480"/>
            <w:divId w:val="779254401"/>
            <w:rPr>
              <w:rFonts w:ascii="Arial" w:eastAsia="Times New Roman" w:hAnsi="Arial" w:cs="Arial"/>
              <w:color w:val="000000"/>
              <w:sz w:val="20"/>
              <w:szCs w:val="20"/>
              <w14:ligatures w14:val="none"/>
            </w:rPr>
          </w:pPr>
          <w:r w:rsidRPr="00F5462A">
            <w:rPr>
              <w:rFonts w:ascii="Arial" w:eastAsia="Times New Roman" w:hAnsi="Arial" w:cs="Arial"/>
              <w:color w:val="000000"/>
              <w:sz w:val="20"/>
              <w:szCs w:val="20"/>
            </w:rPr>
            <w:t xml:space="preserve">Abbas, M. G., Azeem, M., Bashir, M. U., Ali, F., Mozūratis, R., &amp; Binyameen, M. (2024). Chemical Composition, Repellent, and Oviposition Deterrent Potential of Wild Plant Essential Oils against Three Mosquito Species. </w:t>
          </w:r>
          <w:r w:rsidRPr="00F5462A">
            <w:rPr>
              <w:rFonts w:ascii="Arial" w:eastAsia="Times New Roman" w:hAnsi="Arial" w:cs="Arial"/>
              <w:i/>
              <w:iCs/>
              <w:color w:val="000000"/>
              <w:sz w:val="20"/>
              <w:szCs w:val="20"/>
            </w:rPr>
            <w:t>Molecules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29</w:t>
          </w:r>
          <w:r w:rsidRPr="00F5462A">
            <w:rPr>
              <w:rFonts w:ascii="Arial" w:eastAsia="Times New Roman" w:hAnsi="Arial" w:cs="Arial"/>
              <w:color w:val="000000"/>
              <w:sz w:val="20"/>
              <w:szCs w:val="20"/>
            </w:rPr>
            <w:t>(11), 2657. https://doi.org/10.3390/MOLECULES29112657/S1</w:t>
          </w:r>
        </w:p>
        <w:p w14:paraId="1E2DEA46" w14:textId="77777777" w:rsidR="009E469A" w:rsidRPr="00F5462A" w:rsidRDefault="009E469A" w:rsidP="00F5462A">
          <w:pPr>
            <w:autoSpaceDE w:val="0"/>
            <w:autoSpaceDN w:val="0"/>
            <w:spacing w:after="120" w:line="240" w:lineRule="auto"/>
            <w:ind w:left="0" w:hanging="480"/>
            <w:divId w:val="650476447"/>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Adhikari, K., Sarma, R., Rabha, B., &amp; Khanikor, B. (2022). Repellent Activity of Citrus Essential Oils and Two Constituent Compounds Against Aedes aegypti. </w:t>
          </w:r>
          <w:r w:rsidRPr="00F5462A">
            <w:rPr>
              <w:rFonts w:ascii="Arial" w:eastAsia="Times New Roman" w:hAnsi="Arial" w:cs="Arial"/>
              <w:i/>
              <w:iCs/>
              <w:color w:val="000000"/>
              <w:sz w:val="20"/>
              <w:szCs w:val="20"/>
            </w:rPr>
            <w:t>Proceedings of the National Academy of Sciences, India Section B: Biological Sciences 2022 92:3</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92</w:t>
          </w:r>
          <w:r w:rsidRPr="00F5462A">
            <w:rPr>
              <w:rFonts w:ascii="Arial" w:eastAsia="Times New Roman" w:hAnsi="Arial" w:cs="Arial"/>
              <w:color w:val="000000"/>
              <w:sz w:val="20"/>
              <w:szCs w:val="20"/>
            </w:rPr>
            <w:t>(3), 621–628. https://doi.org/10.1007/S40011-022-01347-1</w:t>
          </w:r>
        </w:p>
        <w:p w14:paraId="62815286" w14:textId="77777777" w:rsidR="009E469A" w:rsidRPr="00F5462A" w:rsidRDefault="009E469A" w:rsidP="00F5462A">
          <w:pPr>
            <w:autoSpaceDE w:val="0"/>
            <w:autoSpaceDN w:val="0"/>
            <w:spacing w:after="120" w:line="240" w:lineRule="auto"/>
            <w:ind w:left="0" w:hanging="480"/>
            <w:divId w:val="1869760720"/>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Amer, A., &amp; Mehlhorn, H. (2006). Repellency effect of forty-one essential oils against Aedes, Anopheles, and Culex mosquitoes. </w:t>
          </w:r>
          <w:r w:rsidRPr="00F5462A">
            <w:rPr>
              <w:rFonts w:ascii="Arial" w:eastAsia="Times New Roman" w:hAnsi="Arial" w:cs="Arial"/>
              <w:i/>
              <w:iCs/>
              <w:color w:val="000000"/>
              <w:sz w:val="20"/>
              <w:szCs w:val="20"/>
            </w:rPr>
            <w:t>Parasitology Research 2006 99:4</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99</w:t>
          </w:r>
          <w:r w:rsidRPr="00F5462A">
            <w:rPr>
              <w:rFonts w:ascii="Arial" w:eastAsia="Times New Roman" w:hAnsi="Arial" w:cs="Arial"/>
              <w:color w:val="000000"/>
              <w:sz w:val="20"/>
              <w:szCs w:val="20"/>
            </w:rPr>
            <w:t>(4), 478–490. https://doi.org/10.1007/S00436-006-0184-1</w:t>
          </w:r>
        </w:p>
        <w:p w14:paraId="1647C961" w14:textId="77777777" w:rsidR="009E469A" w:rsidRPr="00F5462A" w:rsidRDefault="009E469A" w:rsidP="00F5462A">
          <w:pPr>
            <w:autoSpaceDE w:val="0"/>
            <w:autoSpaceDN w:val="0"/>
            <w:spacing w:after="120" w:line="240" w:lineRule="auto"/>
            <w:ind w:left="0" w:hanging="480"/>
            <w:divId w:val="1053043860"/>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Arpiwi, N. L., Muksin, I. K., &amp; Kartini, N. L. (2020). Essential oil from cymbopogon nardus and repellant activity against aedes aegypti. </w:t>
          </w:r>
          <w:r w:rsidRPr="00F5462A">
            <w:rPr>
              <w:rFonts w:ascii="Arial" w:eastAsia="Times New Roman" w:hAnsi="Arial" w:cs="Arial"/>
              <w:i/>
              <w:iCs/>
              <w:color w:val="000000"/>
              <w:sz w:val="20"/>
              <w:szCs w:val="20"/>
            </w:rPr>
            <w:t>Biodiversitas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21</w:t>
          </w:r>
          <w:r w:rsidRPr="00F5462A">
            <w:rPr>
              <w:rFonts w:ascii="Arial" w:eastAsia="Times New Roman" w:hAnsi="Arial" w:cs="Arial"/>
              <w:color w:val="000000"/>
              <w:sz w:val="20"/>
              <w:szCs w:val="20"/>
            </w:rPr>
            <w:t>(8), 3873–3878. https://doi.org/10.13057/BIODIV/D210857</w:t>
          </w:r>
        </w:p>
        <w:p w14:paraId="5B055AE3" w14:textId="77777777" w:rsidR="009E469A" w:rsidRPr="00F5462A" w:rsidRDefault="009E469A" w:rsidP="00F5462A">
          <w:pPr>
            <w:autoSpaceDE w:val="0"/>
            <w:autoSpaceDN w:val="0"/>
            <w:spacing w:after="120" w:line="240" w:lineRule="auto"/>
            <w:ind w:left="0" w:hanging="480"/>
            <w:divId w:val="430011214"/>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Bhatt, S., Gething, P. W., Brady, O. J., Messina, J. P., Farlow, A. W., Moyes, C. L., Drake, J. M., Brownstein, J. S., Hoen, A. G., Sankoh, O., Myers, M. F., George, D. B., Jaenisch, T., William Wint, G. R., Simmons, C. P., Scott, T. W., Farrar, J. J., &amp; Hay, S. I. (2013). The global distribution and burden of dengue. </w:t>
          </w:r>
          <w:r w:rsidRPr="00F5462A">
            <w:rPr>
              <w:rFonts w:ascii="Arial" w:eastAsia="Times New Roman" w:hAnsi="Arial" w:cs="Arial"/>
              <w:i/>
              <w:iCs/>
              <w:color w:val="000000"/>
              <w:sz w:val="20"/>
              <w:szCs w:val="20"/>
            </w:rPr>
            <w:t>Nature 2013 496:7446</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496</w:t>
          </w:r>
          <w:r w:rsidRPr="00F5462A">
            <w:rPr>
              <w:rFonts w:ascii="Arial" w:eastAsia="Times New Roman" w:hAnsi="Arial" w:cs="Arial"/>
              <w:color w:val="000000"/>
              <w:sz w:val="20"/>
              <w:szCs w:val="20"/>
            </w:rPr>
            <w:t>(7446), 504–507. https://doi.org/10.1038/nature12060</w:t>
          </w:r>
        </w:p>
        <w:p w14:paraId="777CAFB2" w14:textId="77777777" w:rsidR="009E469A" w:rsidRPr="00F5462A" w:rsidRDefault="009E469A" w:rsidP="00F5462A">
          <w:pPr>
            <w:autoSpaceDE w:val="0"/>
            <w:autoSpaceDN w:val="0"/>
            <w:spacing w:after="120" w:line="240" w:lineRule="auto"/>
            <w:ind w:left="0" w:hanging="480"/>
            <w:divId w:val="1465466329"/>
            <w:rPr>
              <w:rFonts w:ascii="Arial" w:eastAsia="Times New Roman" w:hAnsi="Arial" w:cs="Arial"/>
              <w:color w:val="000000"/>
              <w:sz w:val="20"/>
              <w:szCs w:val="20"/>
            </w:rPr>
          </w:pPr>
          <w:r w:rsidRPr="00F5462A">
            <w:rPr>
              <w:rFonts w:ascii="Arial" w:eastAsia="Times New Roman" w:hAnsi="Arial" w:cs="Arial"/>
              <w:color w:val="000000"/>
              <w:sz w:val="20"/>
              <w:szCs w:val="20"/>
            </w:rPr>
            <w:lastRenderedPageBreak/>
            <w:t xml:space="preserve">Brady, O. J., Gething, P. W., Bhatt, S., Messina, J. P., Brownstein, J. S., Hoen, A. G., Moyes, C. L., Farlow, A. W., Scott, T. W., &amp; Hay, S. I. (2012). Refining the Global Spatial Limits of Dengue Virus Transmission by Evidence-Based Consensus. </w:t>
          </w:r>
          <w:r w:rsidRPr="00F5462A">
            <w:rPr>
              <w:rFonts w:ascii="Arial" w:eastAsia="Times New Roman" w:hAnsi="Arial" w:cs="Arial"/>
              <w:i/>
              <w:iCs/>
              <w:color w:val="000000"/>
              <w:sz w:val="20"/>
              <w:szCs w:val="20"/>
            </w:rPr>
            <w:t>PLOS Neglected Tropical Diseases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6</w:t>
          </w:r>
          <w:r w:rsidRPr="00F5462A">
            <w:rPr>
              <w:rFonts w:ascii="Arial" w:eastAsia="Times New Roman" w:hAnsi="Arial" w:cs="Arial"/>
              <w:color w:val="000000"/>
              <w:sz w:val="20"/>
              <w:szCs w:val="20"/>
            </w:rPr>
            <w:t>(8), e1760. https://doi.org/10.1371/JOURNAL.PNTD.0001760</w:t>
          </w:r>
        </w:p>
        <w:p w14:paraId="056D3BD3" w14:textId="77777777" w:rsidR="009E469A" w:rsidRPr="00F5462A" w:rsidRDefault="009E469A" w:rsidP="00F5462A">
          <w:pPr>
            <w:autoSpaceDE w:val="0"/>
            <w:autoSpaceDN w:val="0"/>
            <w:spacing w:after="120" w:line="240" w:lineRule="auto"/>
            <w:ind w:left="0" w:hanging="480"/>
            <w:divId w:val="1158955058"/>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Budiman, Ishak, H., Stang, Ibrahim, E., Yudhastuti, R., Maidin, A., Naiem, F., Wahid, I., &amp; Mallongi, A. (2022). Effectiveness of Clove Oil (Syzigium aromaticum) as Biolarvacide of Aedes aegypti. </w:t>
          </w:r>
          <w:r w:rsidRPr="00F5462A">
            <w:rPr>
              <w:rFonts w:ascii="Arial" w:eastAsia="Times New Roman" w:hAnsi="Arial" w:cs="Arial"/>
              <w:i/>
              <w:iCs/>
              <w:color w:val="000000"/>
              <w:sz w:val="20"/>
              <w:szCs w:val="20"/>
            </w:rPr>
            <w:t>Biomedical and Pharmacology Journal</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15</w:t>
          </w:r>
          <w:r w:rsidRPr="00F5462A">
            <w:rPr>
              <w:rFonts w:ascii="Arial" w:eastAsia="Times New Roman" w:hAnsi="Arial" w:cs="Arial"/>
              <w:color w:val="000000"/>
              <w:sz w:val="20"/>
              <w:szCs w:val="20"/>
            </w:rPr>
            <w:t>(4), 2287–2292. https://doi.org/10.13005/BPJ/2566</w:t>
          </w:r>
        </w:p>
        <w:p w14:paraId="4A9CC061" w14:textId="77777777" w:rsidR="009E469A" w:rsidRPr="00F5462A" w:rsidRDefault="009E469A" w:rsidP="00F5462A">
          <w:pPr>
            <w:autoSpaceDE w:val="0"/>
            <w:autoSpaceDN w:val="0"/>
            <w:spacing w:after="120" w:line="240" w:lineRule="auto"/>
            <w:ind w:left="0" w:hanging="480"/>
            <w:divId w:val="1279869700"/>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Aniefuna, C. O., Nwankwo, E. N., EOgbuefi, . O, Chukwudike, C. O., Chukwudike, K. C., Ikpeze, O. O., Ononye, B. U., Ifejika, C. C., &amp; C.C., O. (2025). Bio-activity of Ocimum gratissimum Essential Oil on Aedes aegypti Mosquitoes Towards Vector Control. </w:t>
          </w:r>
          <w:r w:rsidRPr="00F5462A">
            <w:rPr>
              <w:rFonts w:ascii="Arial" w:eastAsia="Times New Roman" w:hAnsi="Arial" w:cs="Arial"/>
              <w:i/>
              <w:iCs/>
              <w:color w:val="000000"/>
              <w:sz w:val="20"/>
              <w:szCs w:val="20"/>
            </w:rPr>
            <w:t>Asian Journal of Research in Zoology</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8</w:t>
          </w:r>
          <w:r w:rsidRPr="00F5462A">
            <w:rPr>
              <w:rFonts w:ascii="Arial" w:eastAsia="Times New Roman" w:hAnsi="Arial" w:cs="Arial"/>
              <w:color w:val="000000"/>
              <w:sz w:val="20"/>
              <w:szCs w:val="20"/>
            </w:rPr>
            <w:t>(3), 16–29. https://doi.org/10.9734/AJRIZ/2025/V8I3202</w:t>
          </w:r>
        </w:p>
        <w:p w14:paraId="7A8D21F3" w14:textId="77777777" w:rsidR="009E469A" w:rsidRPr="00F5462A" w:rsidRDefault="009E469A" w:rsidP="00F5462A">
          <w:pPr>
            <w:autoSpaceDE w:val="0"/>
            <w:autoSpaceDN w:val="0"/>
            <w:spacing w:after="120" w:line="240" w:lineRule="auto"/>
            <w:ind w:left="0" w:hanging="480"/>
            <w:divId w:val="527182512"/>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Carroll, S. P., &amp; Loye, J. (2006). PMD, a Registered Botanical Mosquito Repellent with Deet-Like Efficacy. </w:t>
          </w:r>
          <w:r w:rsidRPr="00F5462A">
            <w:rPr>
              <w:rFonts w:ascii="Arial" w:eastAsia="Times New Roman" w:hAnsi="Arial" w:cs="Arial"/>
              <w:i/>
              <w:iCs/>
              <w:color w:val="000000"/>
              <w:sz w:val="20"/>
              <w:szCs w:val="20"/>
            </w:rPr>
            <w:t>Https://Doi.Org/10.2987/8756-971X(2006)22[507:PARBMR]2.0.CO;2</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22</w:t>
          </w:r>
          <w:r w:rsidRPr="00F5462A">
            <w:rPr>
              <w:rFonts w:ascii="Arial" w:eastAsia="Times New Roman" w:hAnsi="Arial" w:cs="Arial"/>
              <w:color w:val="000000"/>
              <w:sz w:val="20"/>
              <w:szCs w:val="20"/>
            </w:rPr>
            <w:t>(3), 507–514. https://doi.org/10.2987/8756-971X(2006)22</w:t>
          </w:r>
        </w:p>
        <w:p w14:paraId="135C69E1" w14:textId="77777777" w:rsidR="009E469A" w:rsidRPr="00F5462A" w:rsidRDefault="009E469A" w:rsidP="00F5462A">
          <w:pPr>
            <w:autoSpaceDE w:val="0"/>
            <w:autoSpaceDN w:val="0"/>
            <w:spacing w:after="120" w:line="240" w:lineRule="auto"/>
            <w:ind w:left="0" w:hanging="480"/>
            <w:divId w:val="2120950776"/>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Chatterjee, S., Bag, S., Biswal, D., Sarkar Paria, D., Bandyopadhyay, R., Sarkar, B., Mandal, A., &amp; Dangar, T. K. (2023). Neem-based products as potential eco-friendly mosquito control agents over conventional eco-toxic chemical pesticides-A review. </w:t>
          </w:r>
          <w:r w:rsidRPr="00F5462A">
            <w:rPr>
              <w:rFonts w:ascii="Arial" w:eastAsia="Times New Roman" w:hAnsi="Arial" w:cs="Arial"/>
              <w:i/>
              <w:iCs/>
              <w:color w:val="000000"/>
              <w:sz w:val="20"/>
              <w:szCs w:val="20"/>
            </w:rPr>
            <w:t>Acta Tropica</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240</w:t>
          </w:r>
          <w:r w:rsidRPr="00F5462A">
            <w:rPr>
              <w:rFonts w:ascii="Arial" w:eastAsia="Times New Roman" w:hAnsi="Arial" w:cs="Arial"/>
              <w:color w:val="000000"/>
              <w:sz w:val="20"/>
              <w:szCs w:val="20"/>
            </w:rPr>
            <w:t>, 106858. https://doi.org/10.1016/J.ACTATROPICA.2023.106858</w:t>
          </w:r>
        </w:p>
        <w:p w14:paraId="5B56A74A" w14:textId="77777777" w:rsidR="009E469A" w:rsidRPr="00F5462A" w:rsidRDefault="009E469A" w:rsidP="00F5462A">
          <w:pPr>
            <w:autoSpaceDE w:val="0"/>
            <w:autoSpaceDN w:val="0"/>
            <w:spacing w:after="120" w:line="240" w:lineRule="auto"/>
            <w:ind w:left="0" w:hanging="480"/>
            <w:divId w:val="53480051"/>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de Souza, M. A., da Silva, L., Macêdo, M. J. F., Lacerda-Neto, L. J., dos Santos, M. A. C., Coutinho, H. D. M., &amp; Cunha, F. A. B. (2019). Adulticide and repellent activity of essential oils against Aedes aegypti (Diptera: Culicidae) – A review. </w:t>
          </w:r>
          <w:r w:rsidRPr="00F5462A">
            <w:rPr>
              <w:rFonts w:ascii="Arial" w:eastAsia="Times New Roman" w:hAnsi="Arial" w:cs="Arial"/>
              <w:i/>
              <w:iCs/>
              <w:color w:val="000000"/>
              <w:sz w:val="20"/>
              <w:szCs w:val="20"/>
            </w:rPr>
            <w:t>South African Journal of Botany</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124</w:t>
          </w:r>
          <w:r w:rsidRPr="00F5462A">
            <w:rPr>
              <w:rFonts w:ascii="Arial" w:eastAsia="Times New Roman" w:hAnsi="Arial" w:cs="Arial"/>
              <w:color w:val="000000"/>
              <w:sz w:val="20"/>
              <w:szCs w:val="20"/>
            </w:rPr>
            <w:t>, 160–165. https://doi.org/10.1016/J.SAJB.2019.05.007</w:t>
          </w:r>
        </w:p>
        <w:p w14:paraId="265CB7D2" w14:textId="77777777" w:rsidR="009E469A" w:rsidRPr="00F5462A" w:rsidRDefault="009E469A" w:rsidP="00F5462A">
          <w:pPr>
            <w:autoSpaceDE w:val="0"/>
            <w:autoSpaceDN w:val="0"/>
            <w:spacing w:after="120" w:line="240" w:lineRule="auto"/>
            <w:ind w:left="0" w:hanging="480"/>
            <w:divId w:val="1609315752"/>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Deng, W., Li, M., Liu, S., Logan, J. G., &amp; Mo, J. (2023). Repellent Screening of Selected Plant Essential Oils Against Dengue Fever Mosquitoes Using Behavior Bioassays. </w:t>
          </w:r>
          <w:r w:rsidRPr="00F5462A">
            <w:rPr>
              <w:rFonts w:ascii="Arial" w:eastAsia="Times New Roman" w:hAnsi="Arial" w:cs="Arial"/>
              <w:i/>
              <w:iCs/>
              <w:color w:val="000000"/>
              <w:sz w:val="20"/>
              <w:szCs w:val="20"/>
            </w:rPr>
            <w:t>Neotropical Entomology 2023 52:3</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52</w:t>
          </w:r>
          <w:r w:rsidRPr="00F5462A">
            <w:rPr>
              <w:rFonts w:ascii="Arial" w:eastAsia="Times New Roman" w:hAnsi="Arial" w:cs="Arial"/>
              <w:color w:val="000000"/>
              <w:sz w:val="20"/>
              <w:szCs w:val="20"/>
            </w:rPr>
            <w:t>(3), 521–529. https://doi.org/10.1007/S13744-023-01039-Z</w:t>
          </w:r>
        </w:p>
        <w:p w14:paraId="4E04C962" w14:textId="77777777" w:rsidR="009E469A" w:rsidRPr="00F5462A" w:rsidRDefault="009E469A" w:rsidP="00F5462A">
          <w:pPr>
            <w:autoSpaceDE w:val="0"/>
            <w:autoSpaceDN w:val="0"/>
            <w:spacing w:after="120" w:line="240" w:lineRule="auto"/>
            <w:ind w:left="0" w:hanging="480"/>
            <w:divId w:val="1441533446"/>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Drapeau, J., Rossano, M., Touraud, D., Obermayr, U., Geier, M., Rose, A., &amp; Kunz, W. (2011). Green synthesis of para-Menthane-3,8-diol from Eucalyptus citriodora: Application for repellent products. </w:t>
          </w:r>
          <w:r w:rsidRPr="00F5462A">
            <w:rPr>
              <w:rFonts w:ascii="Arial" w:eastAsia="Times New Roman" w:hAnsi="Arial" w:cs="Arial"/>
              <w:i/>
              <w:iCs/>
              <w:color w:val="000000"/>
              <w:sz w:val="20"/>
              <w:szCs w:val="20"/>
            </w:rPr>
            <w:t>Comptes Rendus Chimie</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14</w:t>
          </w:r>
          <w:r w:rsidRPr="00F5462A">
            <w:rPr>
              <w:rFonts w:ascii="Arial" w:eastAsia="Times New Roman" w:hAnsi="Arial" w:cs="Arial"/>
              <w:color w:val="000000"/>
              <w:sz w:val="20"/>
              <w:szCs w:val="20"/>
            </w:rPr>
            <w:t>(7–8), 629–635. https://doi.org/10.1016/J.CRCI.2011.02.008</w:t>
          </w:r>
        </w:p>
        <w:p w14:paraId="28AE8321" w14:textId="77777777" w:rsidR="009E469A" w:rsidRPr="00F5462A" w:rsidRDefault="009E469A" w:rsidP="00F5462A">
          <w:pPr>
            <w:autoSpaceDE w:val="0"/>
            <w:autoSpaceDN w:val="0"/>
            <w:spacing w:after="120" w:line="240" w:lineRule="auto"/>
            <w:ind w:left="0" w:hanging="480"/>
            <w:divId w:val="1167861355"/>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Farooq, M., Bangonan, L., Xue, R. De, &amp; Talbalaghi, A. (2022). Evaluation of Essential Oils as Spatial Repellents Against Aedes aegypti in an Olfactometer. </w:t>
          </w:r>
          <w:r w:rsidRPr="00F5462A">
            <w:rPr>
              <w:rFonts w:ascii="Arial" w:eastAsia="Times New Roman" w:hAnsi="Arial" w:cs="Arial"/>
              <w:i/>
              <w:iCs/>
              <w:color w:val="000000"/>
              <w:sz w:val="20"/>
              <w:szCs w:val="20"/>
            </w:rPr>
            <w:t>Journal of the American Mosquito Control Association</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38</w:t>
          </w:r>
          <w:r w:rsidRPr="00F5462A">
            <w:rPr>
              <w:rFonts w:ascii="Arial" w:eastAsia="Times New Roman" w:hAnsi="Arial" w:cs="Arial"/>
              <w:color w:val="000000"/>
              <w:sz w:val="20"/>
              <w:szCs w:val="20"/>
            </w:rPr>
            <w:t>(4), 261–267. https://doi.org/10.2987/22-7090</w:t>
          </w:r>
        </w:p>
        <w:p w14:paraId="49E94A40" w14:textId="77777777" w:rsidR="009E469A" w:rsidRPr="00F5462A" w:rsidRDefault="009E469A" w:rsidP="00F5462A">
          <w:pPr>
            <w:autoSpaceDE w:val="0"/>
            <w:autoSpaceDN w:val="0"/>
            <w:spacing w:after="120" w:line="240" w:lineRule="auto"/>
            <w:ind w:left="0" w:hanging="480"/>
            <w:divId w:val="1353914035"/>
            <w:rPr>
              <w:rFonts w:ascii="Arial" w:eastAsia="Times New Roman" w:hAnsi="Arial" w:cs="Arial"/>
              <w:color w:val="000000"/>
              <w:sz w:val="20"/>
              <w:szCs w:val="20"/>
            </w:rPr>
          </w:pPr>
          <w:r w:rsidRPr="00F5462A">
            <w:rPr>
              <w:rFonts w:ascii="Arial" w:eastAsia="Times New Roman" w:hAnsi="Arial" w:cs="Arial"/>
              <w:color w:val="000000"/>
              <w:sz w:val="20"/>
              <w:szCs w:val="20"/>
            </w:rPr>
            <w:lastRenderedPageBreak/>
            <w:t xml:space="preserve">Fradin, M. S., &amp; Day, J. F. (2002). Comparative Efficacy of Insect Repellents against Mosquito Bites. </w:t>
          </w:r>
          <w:r w:rsidRPr="00F5462A">
            <w:rPr>
              <w:rFonts w:ascii="Arial" w:eastAsia="Times New Roman" w:hAnsi="Arial" w:cs="Arial"/>
              <w:i/>
              <w:iCs/>
              <w:color w:val="000000"/>
              <w:sz w:val="20"/>
              <w:szCs w:val="20"/>
            </w:rPr>
            <w:t>New England Journal of Medicine</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347</w:t>
          </w:r>
          <w:r w:rsidRPr="00F5462A">
            <w:rPr>
              <w:rFonts w:ascii="Arial" w:eastAsia="Times New Roman" w:hAnsi="Arial" w:cs="Arial"/>
              <w:color w:val="000000"/>
              <w:sz w:val="20"/>
              <w:szCs w:val="20"/>
            </w:rPr>
            <w:t>(1), 13–18. https://doi.org/10.1056/NEJMOA011699;JOURNAL:JOURNAL:NEJMS</w:t>
          </w:r>
        </w:p>
        <w:p w14:paraId="15D25B1C" w14:textId="77777777" w:rsidR="009E469A" w:rsidRPr="00F5462A" w:rsidRDefault="009E469A" w:rsidP="00F5462A">
          <w:pPr>
            <w:autoSpaceDE w:val="0"/>
            <w:autoSpaceDN w:val="0"/>
            <w:spacing w:after="120" w:line="240" w:lineRule="auto"/>
            <w:ind w:left="0" w:hanging="480"/>
            <w:divId w:val="693845977"/>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Goodyer, L., Grootveld, M., Deobhankar, K., Debboun, M., &amp; Philip, M. (2020). Characterisation of actions of p-menthane-3,8-diol repellent formulations against Aedes aegypti mosquitoes. </w:t>
          </w:r>
          <w:r w:rsidRPr="00F5462A">
            <w:rPr>
              <w:rFonts w:ascii="Arial" w:eastAsia="Times New Roman" w:hAnsi="Arial" w:cs="Arial"/>
              <w:i/>
              <w:iCs/>
              <w:color w:val="000000"/>
              <w:sz w:val="20"/>
              <w:szCs w:val="20"/>
            </w:rPr>
            <w:t>Transactions of The Royal Society of Tropical Medicine and Hygiene</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114</w:t>
          </w:r>
          <w:r w:rsidRPr="00F5462A">
            <w:rPr>
              <w:rFonts w:ascii="Arial" w:eastAsia="Times New Roman" w:hAnsi="Arial" w:cs="Arial"/>
              <w:color w:val="000000"/>
              <w:sz w:val="20"/>
              <w:szCs w:val="20"/>
            </w:rPr>
            <w:t>(9), 687–692. https://doi.org/10.1093/TRSTMH/TRAA045</w:t>
          </w:r>
        </w:p>
        <w:p w14:paraId="41FDFD31" w14:textId="77777777" w:rsidR="009E469A" w:rsidRPr="00F5462A" w:rsidRDefault="009E469A" w:rsidP="00F5462A">
          <w:pPr>
            <w:autoSpaceDE w:val="0"/>
            <w:autoSpaceDN w:val="0"/>
            <w:spacing w:after="120" w:line="240" w:lineRule="auto"/>
            <w:ind w:left="0" w:hanging="480"/>
            <w:divId w:val="1644385636"/>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Goodyer, L., &amp; Schofield, S. (2018). Mosquito repellents for the traveller: does picaridin provide longer protection than DEET? </w:t>
          </w:r>
          <w:r w:rsidRPr="00F5462A">
            <w:rPr>
              <w:rFonts w:ascii="Arial" w:eastAsia="Times New Roman" w:hAnsi="Arial" w:cs="Arial"/>
              <w:i/>
              <w:iCs/>
              <w:color w:val="000000"/>
              <w:sz w:val="20"/>
              <w:szCs w:val="20"/>
            </w:rPr>
            <w:t>Journal of Travel Medicine</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25</w:t>
          </w:r>
          <w:r w:rsidRPr="00F5462A">
            <w:rPr>
              <w:rFonts w:ascii="Arial" w:eastAsia="Times New Roman" w:hAnsi="Arial" w:cs="Arial"/>
              <w:color w:val="000000"/>
              <w:sz w:val="20"/>
              <w:szCs w:val="20"/>
            </w:rPr>
            <w:t>(suppl_1), S10–S15. https://doi.org/10.1093/JTM/TAY005</w:t>
          </w:r>
        </w:p>
        <w:p w14:paraId="47E7073C" w14:textId="77777777" w:rsidR="009E469A" w:rsidRPr="00F5462A" w:rsidRDefault="009E469A" w:rsidP="00F5462A">
          <w:pPr>
            <w:autoSpaceDE w:val="0"/>
            <w:autoSpaceDN w:val="0"/>
            <w:spacing w:after="120" w:line="240" w:lineRule="auto"/>
            <w:ind w:left="0" w:hanging="480"/>
            <w:divId w:val="1191528617"/>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Haris, A., Azeem, M., Abbas, M. G., Mumtaz, M., Mozūratis, R., &amp; Binyameen, M. (2023). Prolonged Repellent Activity of Plant Essential Oils against Dengue Vector, Aedes aegypti. </w:t>
          </w:r>
          <w:r w:rsidRPr="00F5462A">
            <w:rPr>
              <w:rFonts w:ascii="Arial" w:eastAsia="Times New Roman" w:hAnsi="Arial" w:cs="Arial"/>
              <w:i/>
              <w:iCs/>
              <w:color w:val="000000"/>
              <w:sz w:val="20"/>
              <w:szCs w:val="20"/>
            </w:rPr>
            <w:t>Molecules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28</w:t>
          </w:r>
          <w:r w:rsidRPr="00F5462A">
            <w:rPr>
              <w:rFonts w:ascii="Arial" w:eastAsia="Times New Roman" w:hAnsi="Arial" w:cs="Arial"/>
              <w:color w:val="000000"/>
              <w:sz w:val="20"/>
              <w:szCs w:val="20"/>
            </w:rPr>
            <w:t>(3), 1351. https://doi.org/10.3390/MOLECULES28031351</w:t>
          </w:r>
        </w:p>
        <w:p w14:paraId="050D58C0" w14:textId="77777777" w:rsidR="009E469A" w:rsidRPr="00F5462A" w:rsidRDefault="009E469A" w:rsidP="00F5462A">
          <w:pPr>
            <w:autoSpaceDE w:val="0"/>
            <w:autoSpaceDN w:val="0"/>
            <w:spacing w:after="120" w:line="240" w:lineRule="auto"/>
            <w:ind w:left="0" w:hanging="480"/>
            <w:divId w:val="2107992853"/>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Hategekimana, A., &amp; Erler, F. (2020). Comparative repellent activity of single, binary and ternary combinations of plant essential oils and their major components against Sitophilus oryzae L. (Coleoptera: Curculionidae). </w:t>
          </w:r>
          <w:r w:rsidRPr="00F5462A">
            <w:rPr>
              <w:rFonts w:ascii="Arial" w:eastAsia="Times New Roman" w:hAnsi="Arial" w:cs="Arial"/>
              <w:i/>
              <w:iCs/>
              <w:color w:val="000000"/>
              <w:sz w:val="20"/>
              <w:szCs w:val="20"/>
            </w:rPr>
            <w:t>Journal of Plant Diseases and Protection 2020 127:6</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127</w:t>
          </w:r>
          <w:r w:rsidRPr="00F5462A">
            <w:rPr>
              <w:rFonts w:ascii="Arial" w:eastAsia="Times New Roman" w:hAnsi="Arial" w:cs="Arial"/>
              <w:color w:val="000000"/>
              <w:sz w:val="20"/>
              <w:szCs w:val="20"/>
            </w:rPr>
            <w:t>(6), 873–881. https://doi.org/10.1007/S41348-020-00353-7</w:t>
          </w:r>
        </w:p>
        <w:p w14:paraId="6C1269F5" w14:textId="77777777" w:rsidR="009E469A" w:rsidRPr="00F5462A" w:rsidRDefault="009E469A" w:rsidP="00F5462A">
          <w:pPr>
            <w:autoSpaceDE w:val="0"/>
            <w:autoSpaceDN w:val="0"/>
            <w:spacing w:after="120" w:line="240" w:lineRule="auto"/>
            <w:ind w:left="0" w:hanging="480"/>
            <w:divId w:val="378817985"/>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Iqbal, N., Hazra, D. K., Purkait, A., Agrawal, A., &amp; Kumar, J. (2022). Bioengineering of neem nano-formulation with adjuvant for better adhesion over applied surface to give long term insect control. </w:t>
          </w:r>
          <w:r w:rsidRPr="00F5462A">
            <w:rPr>
              <w:rFonts w:ascii="Arial" w:eastAsia="Times New Roman" w:hAnsi="Arial" w:cs="Arial"/>
              <w:i/>
              <w:iCs/>
              <w:color w:val="000000"/>
              <w:sz w:val="20"/>
              <w:szCs w:val="20"/>
            </w:rPr>
            <w:t>Colloids and Surfaces B: Biointerfaces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209</w:t>
          </w:r>
          <w:r w:rsidRPr="00F5462A">
            <w:rPr>
              <w:rFonts w:ascii="Arial" w:eastAsia="Times New Roman" w:hAnsi="Arial" w:cs="Arial"/>
              <w:color w:val="000000"/>
              <w:sz w:val="20"/>
              <w:szCs w:val="20"/>
            </w:rPr>
            <w:t>, 112176. https://doi.org/10.1016/J.COLSURFB.2021.112176</w:t>
          </w:r>
        </w:p>
        <w:p w14:paraId="1977BC4A" w14:textId="77777777" w:rsidR="009E469A" w:rsidRPr="00F5462A" w:rsidRDefault="009E469A" w:rsidP="00F5462A">
          <w:pPr>
            <w:autoSpaceDE w:val="0"/>
            <w:autoSpaceDN w:val="0"/>
            <w:spacing w:after="120" w:line="240" w:lineRule="auto"/>
            <w:ind w:left="0" w:hanging="480"/>
            <w:divId w:val="685180406"/>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Li, J., Wang, B., Wang, Y., Li, F., Li, Z., Liu, X., &amp; Zhang, S. (2026). TRPA1-kinase axis polarization: Nepetalactone drives pest repulsion and predator attraction via divergent PKC/CaMKII signaling. </w:t>
          </w:r>
          <w:r w:rsidRPr="00F5462A">
            <w:rPr>
              <w:rFonts w:ascii="Arial" w:eastAsia="Times New Roman" w:hAnsi="Arial" w:cs="Arial"/>
              <w:i/>
              <w:iCs/>
              <w:color w:val="000000"/>
              <w:sz w:val="20"/>
              <w:szCs w:val="20"/>
            </w:rPr>
            <w:t>Journal of Advanced Research</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82</w:t>
          </w:r>
          <w:r w:rsidRPr="00F5462A">
            <w:rPr>
              <w:rFonts w:ascii="Arial" w:eastAsia="Times New Roman" w:hAnsi="Arial" w:cs="Arial"/>
              <w:color w:val="000000"/>
              <w:sz w:val="20"/>
              <w:szCs w:val="20"/>
            </w:rPr>
            <w:t>, 141–153. https://doi.org/10.1016/J.JARE.2025.07.026</w:t>
          </w:r>
        </w:p>
        <w:p w14:paraId="217F2618" w14:textId="77777777" w:rsidR="009E469A" w:rsidRPr="00F5462A" w:rsidRDefault="009E469A" w:rsidP="00F5462A">
          <w:pPr>
            <w:autoSpaceDE w:val="0"/>
            <w:autoSpaceDN w:val="0"/>
            <w:spacing w:after="120" w:line="240" w:lineRule="auto"/>
            <w:ind w:left="0" w:hanging="480"/>
            <w:divId w:val="689529689"/>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Maia, M. F., &amp; Moore, S. J. (2011). Plant-based insect repellents: a review of their efficacy, development and testing. </w:t>
          </w:r>
          <w:r w:rsidRPr="00F5462A">
            <w:rPr>
              <w:rFonts w:ascii="Arial" w:eastAsia="Times New Roman" w:hAnsi="Arial" w:cs="Arial"/>
              <w:i/>
              <w:iCs/>
              <w:color w:val="000000"/>
              <w:sz w:val="20"/>
              <w:szCs w:val="20"/>
            </w:rPr>
            <w:t>Malaria Journal</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10</w:t>
          </w:r>
          <w:r w:rsidRPr="00F5462A">
            <w:rPr>
              <w:rFonts w:ascii="Arial" w:eastAsia="Times New Roman" w:hAnsi="Arial" w:cs="Arial"/>
              <w:color w:val="000000"/>
              <w:sz w:val="20"/>
              <w:szCs w:val="20"/>
            </w:rPr>
            <w:t>(Suppl 1), S11. https://doi.org/10.1186/1475-2875-10-S1-S11</w:t>
          </w:r>
        </w:p>
        <w:p w14:paraId="25E53DF0" w14:textId="77777777" w:rsidR="009E469A" w:rsidRPr="00F5462A" w:rsidRDefault="009E469A" w:rsidP="00F5462A">
          <w:pPr>
            <w:autoSpaceDE w:val="0"/>
            <w:autoSpaceDN w:val="0"/>
            <w:spacing w:after="120" w:line="240" w:lineRule="auto"/>
            <w:ind w:left="0" w:hanging="480"/>
            <w:divId w:val="15156583"/>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Majeed, S., Ishaq, A., Javaid, R., Sharif, R. M. S., Iftikhar, S., Akbar, R., &amp; Rahman, A. (2023). </w:t>
          </w:r>
          <w:r w:rsidRPr="00F5462A">
            <w:rPr>
              <w:rFonts w:ascii="Arial" w:eastAsia="Times New Roman" w:hAnsi="Arial" w:cs="Arial"/>
              <w:i/>
              <w:iCs/>
              <w:color w:val="000000"/>
              <w:sz w:val="20"/>
              <w:szCs w:val="20"/>
            </w:rPr>
            <w:t>Evaluating Oviposition Deterrent, Larvicidal and Repellent Effects of Different Plant Extracts and Their Combinations against Aedes aegypti</w:t>
          </w:r>
          <w:r w:rsidRPr="00F5462A">
            <w:rPr>
              <w:rFonts w:ascii="Arial" w:eastAsia="Times New Roman" w:hAnsi="Arial" w:cs="Arial"/>
              <w:color w:val="000000"/>
              <w:sz w:val="20"/>
              <w:szCs w:val="20"/>
            </w:rPr>
            <w:t>. https://doi.org/10.21203/RS.3.RS-3394457/V1</w:t>
          </w:r>
        </w:p>
        <w:p w14:paraId="6685E425" w14:textId="77777777" w:rsidR="009E469A" w:rsidRPr="00F5462A" w:rsidRDefault="009E469A" w:rsidP="00F5462A">
          <w:pPr>
            <w:autoSpaceDE w:val="0"/>
            <w:autoSpaceDN w:val="0"/>
            <w:spacing w:after="120" w:line="240" w:lineRule="auto"/>
            <w:ind w:left="0" w:hanging="480"/>
            <w:divId w:val="1196381589"/>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Nerio, L. S., Olivero-Verbel, J., &amp; Stashenko, E. (2010). Repellent activity of essential oils: A review. </w:t>
          </w:r>
          <w:r w:rsidRPr="00F5462A">
            <w:rPr>
              <w:rFonts w:ascii="Arial" w:eastAsia="Times New Roman" w:hAnsi="Arial" w:cs="Arial"/>
              <w:i/>
              <w:iCs/>
              <w:color w:val="000000"/>
              <w:sz w:val="20"/>
              <w:szCs w:val="20"/>
            </w:rPr>
            <w:t>Bioresource Technology</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101</w:t>
          </w:r>
          <w:r w:rsidRPr="00F5462A">
            <w:rPr>
              <w:rFonts w:ascii="Arial" w:eastAsia="Times New Roman" w:hAnsi="Arial" w:cs="Arial"/>
              <w:color w:val="000000"/>
              <w:sz w:val="20"/>
              <w:szCs w:val="20"/>
            </w:rPr>
            <w:t>(1), 372–378. https://doi.org/10.1016/J.BIORTECH.2009.07.048</w:t>
          </w:r>
        </w:p>
        <w:p w14:paraId="398E55FB" w14:textId="77777777" w:rsidR="009E469A" w:rsidRPr="00F5462A" w:rsidRDefault="009E469A" w:rsidP="00F5462A">
          <w:pPr>
            <w:autoSpaceDE w:val="0"/>
            <w:autoSpaceDN w:val="0"/>
            <w:spacing w:after="120" w:line="240" w:lineRule="auto"/>
            <w:ind w:left="0" w:hanging="480"/>
            <w:divId w:val="428159785"/>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Obi, C., Nwosu, A., &amp; Okafor, N. (2024). Synergistic effects of essential oil blends in enhancing insecticidal activity: A case study on mosquito control. </w:t>
          </w:r>
          <w:r w:rsidRPr="00F5462A">
            <w:rPr>
              <w:rFonts w:ascii="Arial" w:eastAsia="Times New Roman" w:hAnsi="Arial" w:cs="Arial"/>
              <w:i/>
              <w:iCs/>
              <w:color w:val="000000"/>
              <w:sz w:val="20"/>
              <w:szCs w:val="20"/>
            </w:rPr>
            <w:t>~ 37 ~ American Journal of Essential Oils and Natural Products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12</w:t>
          </w:r>
          <w:r w:rsidRPr="00F5462A">
            <w:rPr>
              <w:rFonts w:ascii="Arial" w:eastAsia="Times New Roman" w:hAnsi="Arial" w:cs="Arial"/>
              <w:color w:val="000000"/>
              <w:sz w:val="20"/>
              <w:szCs w:val="20"/>
            </w:rPr>
            <w:t>(1), 37–42. https://www.essencejournal.com</w:t>
          </w:r>
        </w:p>
        <w:p w14:paraId="24853F4C" w14:textId="77777777" w:rsidR="009E469A" w:rsidRPr="00F5462A" w:rsidRDefault="009E469A" w:rsidP="00F5462A">
          <w:pPr>
            <w:autoSpaceDE w:val="0"/>
            <w:autoSpaceDN w:val="0"/>
            <w:spacing w:after="120" w:line="240" w:lineRule="auto"/>
            <w:ind w:left="0" w:hanging="480"/>
            <w:divId w:val="1872913350"/>
            <w:rPr>
              <w:rFonts w:ascii="Arial" w:eastAsia="Times New Roman" w:hAnsi="Arial" w:cs="Arial"/>
              <w:color w:val="000000"/>
              <w:sz w:val="20"/>
              <w:szCs w:val="20"/>
            </w:rPr>
          </w:pPr>
          <w:r w:rsidRPr="00F5462A">
            <w:rPr>
              <w:rFonts w:ascii="Arial" w:eastAsia="Times New Roman" w:hAnsi="Arial" w:cs="Arial"/>
              <w:color w:val="000000"/>
              <w:sz w:val="20"/>
              <w:szCs w:val="20"/>
            </w:rPr>
            <w:lastRenderedPageBreak/>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F5462A">
            <w:rPr>
              <w:rFonts w:ascii="Arial" w:eastAsia="Times New Roman" w:hAnsi="Arial" w:cs="Arial"/>
              <w:i/>
              <w:iCs/>
              <w:color w:val="000000"/>
              <w:sz w:val="20"/>
              <w:szCs w:val="20"/>
            </w:rPr>
            <w:t>PLOS Medicine</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18</w:t>
          </w:r>
          <w:r w:rsidRPr="00F5462A">
            <w:rPr>
              <w:rFonts w:ascii="Arial" w:eastAsia="Times New Roman" w:hAnsi="Arial" w:cs="Arial"/>
              <w:color w:val="000000"/>
              <w:sz w:val="20"/>
              <w:szCs w:val="20"/>
            </w:rPr>
            <w:t>(3), e1003583. https://doi.org/10.1371/JOURNAL.PMED.1003583</w:t>
          </w:r>
        </w:p>
        <w:p w14:paraId="26DA1A88" w14:textId="77777777" w:rsidR="009E469A" w:rsidRPr="00F5462A" w:rsidRDefault="009E469A" w:rsidP="00F5462A">
          <w:pPr>
            <w:autoSpaceDE w:val="0"/>
            <w:autoSpaceDN w:val="0"/>
            <w:spacing w:after="120" w:line="240" w:lineRule="auto"/>
            <w:ind w:left="0" w:hanging="480"/>
            <w:divId w:val="1681855822"/>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Pohlit, A. M., Rezende, A. R., Lopes Baldin, E. L., Lopes, N. P., &amp; De Andrade Neto, V. F. (2011). Plant extracts, isolated phytochemicals, and plant-derived agents which are lethal to arthropod vectors of human tropical diseases--a review. </w:t>
          </w:r>
          <w:r w:rsidRPr="00F5462A">
            <w:rPr>
              <w:rFonts w:ascii="Arial" w:eastAsia="Times New Roman" w:hAnsi="Arial" w:cs="Arial"/>
              <w:i/>
              <w:iCs/>
              <w:color w:val="000000"/>
              <w:sz w:val="20"/>
              <w:szCs w:val="20"/>
            </w:rPr>
            <w:t>Planta Medica</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77</w:t>
          </w:r>
          <w:r w:rsidRPr="00F5462A">
            <w:rPr>
              <w:rFonts w:ascii="Arial" w:eastAsia="Times New Roman" w:hAnsi="Arial" w:cs="Arial"/>
              <w:color w:val="000000"/>
              <w:sz w:val="20"/>
              <w:szCs w:val="20"/>
            </w:rPr>
            <w:t>(6), 618–630. https://doi.org/10.1055/S-0030-1270949</w:t>
          </w:r>
        </w:p>
        <w:p w14:paraId="183897AB" w14:textId="77777777" w:rsidR="009E469A" w:rsidRPr="00F5462A" w:rsidRDefault="009E469A" w:rsidP="00F5462A">
          <w:pPr>
            <w:autoSpaceDE w:val="0"/>
            <w:autoSpaceDN w:val="0"/>
            <w:spacing w:after="120" w:line="240" w:lineRule="auto"/>
            <w:ind w:left="0" w:hanging="480"/>
            <w:divId w:val="1560821069"/>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Pulido, J. S. P., Duitama, D. L. U., Velasquez-Martinez, M. C., Mendez-Sanchez, S. C., &amp; Duque, J. E. (2022). Differentiation of action mechanisms between natural and synthetic repellents through neuronal electroantennogram and proteomic in Aedes aegypti (Diptera: Culicidae). </w:t>
          </w:r>
          <w:r w:rsidRPr="00F5462A">
            <w:rPr>
              <w:rFonts w:ascii="Arial" w:eastAsia="Times New Roman" w:hAnsi="Arial" w:cs="Arial"/>
              <w:i/>
              <w:iCs/>
              <w:color w:val="000000"/>
              <w:sz w:val="20"/>
              <w:szCs w:val="20"/>
            </w:rPr>
            <w:t>Scientific Reports 2022 12:1</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12</w:t>
          </w:r>
          <w:r w:rsidRPr="00F5462A">
            <w:rPr>
              <w:rFonts w:ascii="Arial" w:eastAsia="Times New Roman" w:hAnsi="Arial" w:cs="Arial"/>
              <w:color w:val="000000"/>
              <w:sz w:val="20"/>
              <w:szCs w:val="20"/>
            </w:rPr>
            <w:t>(1), 20397-. https://doi.org/10.1038/s41598-022-24923-x</w:t>
          </w:r>
        </w:p>
        <w:p w14:paraId="4E1F40CE" w14:textId="77777777" w:rsidR="009E469A" w:rsidRPr="00F5462A" w:rsidRDefault="009E469A" w:rsidP="00F5462A">
          <w:pPr>
            <w:autoSpaceDE w:val="0"/>
            <w:autoSpaceDN w:val="0"/>
            <w:spacing w:after="120" w:line="240" w:lineRule="auto"/>
            <w:ind w:left="0" w:hanging="480"/>
            <w:divId w:val="1202747534"/>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Reichert, W., Ejercito, J., Guda, T., Dong, X., Wu, Q., Ray, A., &amp; Simon, J. E. (2019). Repellency Assessment of Nepeta cataria Essential Oils and Isolated Nepetalactones on Aedes aegypti. </w:t>
          </w:r>
          <w:r w:rsidRPr="00F5462A">
            <w:rPr>
              <w:rFonts w:ascii="Arial" w:eastAsia="Times New Roman" w:hAnsi="Arial" w:cs="Arial"/>
              <w:i/>
              <w:iCs/>
              <w:color w:val="000000"/>
              <w:sz w:val="20"/>
              <w:szCs w:val="20"/>
            </w:rPr>
            <w:t>Scientific Reports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9</w:t>
          </w:r>
          <w:r w:rsidRPr="00F5462A">
            <w:rPr>
              <w:rFonts w:ascii="Arial" w:eastAsia="Times New Roman" w:hAnsi="Arial" w:cs="Arial"/>
              <w:color w:val="000000"/>
              <w:sz w:val="20"/>
              <w:szCs w:val="20"/>
            </w:rPr>
            <w:t>(1), 1524. https://doi.org/10.1038/S41598-018-36814-1</w:t>
          </w:r>
        </w:p>
        <w:p w14:paraId="2005F5D4" w14:textId="77777777" w:rsidR="009E469A" w:rsidRPr="00F5462A" w:rsidRDefault="009E469A" w:rsidP="00F5462A">
          <w:pPr>
            <w:autoSpaceDE w:val="0"/>
            <w:autoSpaceDN w:val="0"/>
            <w:spacing w:after="120" w:line="240" w:lineRule="auto"/>
            <w:ind w:left="0" w:hanging="480"/>
            <w:divId w:val="1832334428"/>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Sansabhilla, F., Faiqoh, E., Allamah, L., &amp; Paramita, V. (2020). Utilization of Soybean Oil as An Anti Mosquito Lotion. </w:t>
          </w:r>
          <w:r w:rsidRPr="00F5462A">
            <w:rPr>
              <w:rFonts w:ascii="Arial" w:eastAsia="Times New Roman" w:hAnsi="Arial" w:cs="Arial"/>
              <w:i/>
              <w:iCs/>
              <w:color w:val="000000"/>
              <w:sz w:val="20"/>
              <w:szCs w:val="20"/>
            </w:rPr>
            <w:t>Journal of Vocational Studies on Applied Research</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w:t>
          </w:r>
          <w:r w:rsidRPr="00F5462A">
            <w:rPr>
              <w:rFonts w:ascii="Arial" w:eastAsia="Times New Roman" w:hAnsi="Arial" w:cs="Arial"/>
              <w:color w:val="000000"/>
              <w:sz w:val="20"/>
              <w:szCs w:val="20"/>
            </w:rPr>
            <w:t>(1), 26–29. https://doi.org/10.14710/jvsar.2.1.2020.26-29</w:t>
          </w:r>
        </w:p>
        <w:p w14:paraId="1FB49B70" w14:textId="77777777" w:rsidR="009E469A" w:rsidRPr="00F5462A" w:rsidRDefault="009E469A" w:rsidP="00F5462A">
          <w:pPr>
            <w:autoSpaceDE w:val="0"/>
            <w:autoSpaceDN w:val="0"/>
            <w:spacing w:after="120" w:line="240" w:lineRule="auto"/>
            <w:ind w:left="0" w:hanging="480"/>
            <w:divId w:val="968362927"/>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Shepard, D. S., Undurraga, E. A., Halasa, Y. A., &amp; Stanaway, J. D. (2016). The global economic burden of dengue: a systematic analysis. </w:t>
          </w:r>
          <w:r w:rsidRPr="00F5462A">
            <w:rPr>
              <w:rFonts w:ascii="Arial" w:eastAsia="Times New Roman" w:hAnsi="Arial" w:cs="Arial"/>
              <w:i/>
              <w:iCs/>
              <w:color w:val="000000"/>
              <w:sz w:val="20"/>
              <w:szCs w:val="20"/>
            </w:rPr>
            <w:t>The Lancet Infectious Diseases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16</w:t>
          </w:r>
          <w:r w:rsidRPr="00F5462A">
            <w:rPr>
              <w:rFonts w:ascii="Arial" w:eastAsia="Times New Roman" w:hAnsi="Arial" w:cs="Arial"/>
              <w:color w:val="000000"/>
              <w:sz w:val="20"/>
              <w:szCs w:val="20"/>
            </w:rPr>
            <w:t>(8), 935–941. https://doi.org/10.1016/S1473-3099(16)00146-8</w:t>
          </w:r>
        </w:p>
        <w:p w14:paraId="6EBBCDDC" w14:textId="77777777" w:rsidR="009E469A" w:rsidRPr="00F5462A" w:rsidRDefault="009E469A" w:rsidP="00F5462A">
          <w:pPr>
            <w:autoSpaceDE w:val="0"/>
            <w:autoSpaceDN w:val="0"/>
            <w:spacing w:after="120" w:line="240" w:lineRule="auto"/>
            <w:ind w:left="0" w:hanging="480"/>
            <w:divId w:val="1292900378"/>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Shrestha, B., &amp; Lee, Y. (2020). Cellular and molecular mechanisms of DEET toxicity and disease-carrying insect vectors: a review. </w:t>
          </w:r>
          <w:r w:rsidRPr="00F5462A">
            <w:rPr>
              <w:rFonts w:ascii="Arial" w:eastAsia="Times New Roman" w:hAnsi="Arial" w:cs="Arial"/>
              <w:i/>
              <w:iCs/>
              <w:color w:val="000000"/>
              <w:sz w:val="20"/>
              <w:szCs w:val="20"/>
            </w:rPr>
            <w:t>Genes and Genomics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42</w:t>
          </w:r>
          <w:r w:rsidRPr="00F5462A">
            <w:rPr>
              <w:rFonts w:ascii="Arial" w:eastAsia="Times New Roman" w:hAnsi="Arial" w:cs="Arial"/>
              <w:color w:val="000000"/>
              <w:sz w:val="20"/>
              <w:szCs w:val="20"/>
            </w:rPr>
            <w:t>(10), 1131–1144. https://doi.org/10.1007/S13258-020-00991-Z/METRICS</w:t>
          </w:r>
        </w:p>
        <w:p w14:paraId="35D55746" w14:textId="77777777" w:rsidR="009E469A" w:rsidRPr="00F5462A" w:rsidRDefault="009E469A" w:rsidP="00F5462A">
          <w:pPr>
            <w:autoSpaceDE w:val="0"/>
            <w:autoSpaceDN w:val="0"/>
            <w:spacing w:after="120" w:line="240" w:lineRule="auto"/>
            <w:ind w:left="0" w:hanging="480"/>
            <w:divId w:val="200480454"/>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Silva, O. S., Prophiro, J. S., Nogared, J. C., Kanis, L., Emerick, S., Blazlus, R. D., &amp; Romao, P. R. T. (2006). Larvicidal effect of andiroba oil, Carapa guianensis (Meliaceae), against Aedes aegypti. </w:t>
          </w:r>
          <w:r w:rsidRPr="00F5462A">
            <w:rPr>
              <w:rFonts w:ascii="Arial" w:eastAsia="Times New Roman" w:hAnsi="Arial" w:cs="Arial"/>
              <w:i/>
              <w:iCs/>
              <w:color w:val="000000"/>
              <w:sz w:val="20"/>
              <w:szCs w:val="20"/>
            </w:rPr>
            <w:t>Journal of the American Mosquito Control Association</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22</w:t>
          </w:r>
          <w:r w:rsidRPr="00F5462A">
            <w:rPr>
              <w:rFonts w:ascii="Arial" w:eastAsia="Times New Roman" w:hAnsi="Arial" w:cs="Arial"/>
              <w:color w:val="000000"/>
              <w:sz w:val="20"/>
              <w:szCs w:val="20"/>
            </w:rPr>
            <w:t>(4), 699–701. https://doi.org/10.2987/8756-971x(2006)22[699:leoaoc]2.0.co;2</w:t>
          </w:r>
        </w:p>
        <w:p w14:paraId="5481F710" w14:textId="77777777" w:rsidR="009E469A" w:rsidRPr="00F5462A" w:rsidRDefault="009E469A" w:rsidP="00F5462A">
          <w:pPr>
            <w:autoSpaceDE w:val="0"/>
            <w:autoSpaceDN w:val="0"/>
            <w:spacing w:after="120" w:line="240" w:lineRule="auto"/>
            <w:ind w:left="0" w:hanging="480"/>
            <w:divId w:val="133329164"/>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Soares de Oliveira, M. A., Melo Coutinho, H. D., Jardelino de Lacerda Neto, L., Castro de Oliveira, L. C., &amp; Bezerra da Cunha, F. A. (2020). Repellent activity of essential oils against culicids: A review. </w:t>
          </w:r>
          <w:r w:rsidRPr="00F5462A">
            <w:rPr>
              <w:rFonts w:ascii="Arial" w:eastAsia="Times New Roman" w:hAnsi="Arial" w:cs="Arial"/>
              <w:i/>
              <w:iCs/>
              <w:color w:val="000000"/>
              <w:sz w:val="20"/>
              <w:szCs w:val="20"/>
            </w:rPr>
            <w:t>Sustainable Chemistry and Pharmacy</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18</w:t>
          </w:r>
          <w:r w:rsidRPr="00F5462A">
            <w:rPr>
              <w:rFonts w:ascii="Arial" w:eastAsia="Times New Roman" w:hAnsi="Arial" w:cs="Arial"/>
              <w:color w:val="000000"/>
              <w:sz w:val="20"/>
              <w:szCs w:val="20"/>
            </w:rPr>
            <w:t>, 100328. https://doi.org/10.1016/J.SCP.2020.100328</w:t>
          </w:r>
        </w:p>
        <w:p w14:paraId="18F00A77" w14:textId="77777777" w:rsidR="009E469A" w:rsidRPr="00F5462A" w:rsidRDefault="009E469A" w:rsidP="00F5462A">
          <w:pPr>
            <w:autoSpaceDE w:val="0"/>
            <w:autoSpaceDN w:val="0"/>
            <w:spacing w:after="120" w:line="240" w:lineRule="auto"/>
            <w:ind w:left="0" w:hanging="480"/>
            <w:divId w:val="1093747046"/>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Solomon, B., Gebre-Mariam, T., &amp; Asres, K. (2012). Mosquito Repellent Actions of the Essential Oils of Cymbopogon citratus, Cymbopogon nardus and Eucalyptus citriodora: Evaluation and Formulation Studies. </w:t>
          </w:r>
          <w:r w:rsidRPr="00F5462A">
            <w:rPr>
              <w:rFonts w:ascii="Arial" w:eastAsia="Times New Roman" w:hAnsi="Arial" w:cs="Arial"/>
              <w:i/>
              <w:iCs/>
              <w:color w:val="000000"/>
              <w:sz w:val="20"/>
              <w:szCs w:val="20"/>
            </w:rPr>
            <w:t>Journal of Essential Oil Bearing Plants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15</w:t>
          </w:r>
          <w:r w:rsidRPr="00F5462A">
            <w:rPr>
              <w:rFonts w:ascii="Arial" w:eastAsia="Times New Roman" w:hAnsi="Arial" w:cs="Arial"/>
              <w:color w:val="000000"/>
              <w:sz w:val="20"/>
              <w:szCs w:val="20"/>
            </w:rPr>
            <w:t>(5), 766–773. https://doi.org/10.1080/0972060X.2012.10644118</w:t>
          </w:r>
        </w:p>
        <w:p w14:paraId="4BCE2F0D" w14:textId="77777777" w:rsidR="009E469A" w:rsidRPr="00F5462A" w:rsidRDefault="009E469A" w:rsidP="00F5462A">
          <w:pPr>
            <w:autoSpaceDE w:val="0"/>
            <w:autoSpaceDN w:val="0"/>
            <w:spacing w:after="120" w:line="240" w:lineRule="auto"/>
            <w:ind w:left="0" w:hanging="480"/>
            <w:divId w:val="2066178624"/>
            <w:rPr>
              <w:rFonts w:ascii="Arial" w:eastAsia="Times New Roman" w:hAnsi="Arial" w:cs="Arial"/>
              <w:color w:val="000000"/>
              <w:sz w:val="20"/>
              <w:szCs w:val="20"/>
            </w:rPr>
          </w:pPr>
          <w:r w:rsidRPr="00F5462A">
            <w:rPr>
              <w:rFonts w:ascii="Arial" w:eastAsia="Times New Roman" w:hAnsi="Arial" w:cs="Arial"/>
              <w:color w:val="000000"/>
              <w:sz w:val="20"/>
              <w:szCs w:val="20"/>
            </w:rPr>
            <w:lastRenderedPageBreak/>
            <w:t xml:space="preserve">Tan, K., Faierstein, G. B., Xu, P., Barbosa, R. M. R., Buss, G. K., &amp; Leal, W. S. (2019). A popular Indian clove-based mosquito repellent is less effective against Culex quinquefasciatus and Aedes aegypti than DEET. </w:t>
          </w:r>
          <w:r w:rsidRPr="00F5462A">
            <w:rPr>
              <w:rFonts w:ascii="Arial" w:eastAsia="Times New Roman" w:hAnsi="Arial" w:cs="Arial"/>
              <w:i/>
              <w:iCs/>
              <w:color w:val="000000"/>
              <w:sz w:val="20"/>
              <w:szCs w:val="20"/>
            </w:rPr>
            <w:t>PLOS ONE</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14</w:t>
          </w:r>
          <w:r w:rsidRPr="00F5462A">
            <w:rPr>
              <w:rFonts w:ascii="Arial" w:eastAsia="Times New Roman" w:hAnsi="Arial" w:cs="Arial"/>
              <w:color w:val="000000"/>
              <w:sz w:val="20"/>
              <w:szCs w:val="20"/>
            </w:rPr>
            <w:t>(11), e0224810. https://doi.org/10.1371/JOURNAL.PONE.0224810</w:t>
          </w:r>
        </w:p>
        <w:p w14:paraId="3FEFEBED" w14:textId="77777777" w:rsidR="009E469A" w:rsidRPr="00F5462A" w:rsidRDefault="009E469A" w:rsidP="00F5462A">
          <w:pPr>
            <w:autoSpaceDE w:val="0"/>
            <w:autoSpaceDN w:val="0"/>
            <w:spacing w:after="120" w:line="240" w:lineRule="auto"/>
            <w:ind w:left="0" w:hanging="480"/>
            <w:divId w:val="1784880362"/>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Trongtokit, Y., Rongsriyam, Y., Komalamisra, N., &amp; Apiwathnasorn, C. (2005). Comparative repellency of 38 essential oils against mosquito bites. </w:t>
          </w:r>
          <w:r w:rsidRPr="00F5462A">
            <w:rPr>
              <w:rFonts w:ascii="Arial" w:eastAsia="Times New Roman" w:hAnsi="Arial" w:cs="Arial"/>
              <w:i/>
              <w:iCs/>
              <w:color w:val="000000"/>
              <w:sz w:val="20"/>
              <w:szCs w:val="20"/>
            </w:rPr>
            <w:t>Phytotherapy Research</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19</w:t>
          </w:r>
          <w:r w:rsidRPr="00F5462A">
            <w:rPr>
              <w:rFonts w:ascii="Arial" w:eastAsia="Times New Roman" w:hAnsi="Arial" w:cs="Arial"/>
              <w:color w:val="000000"/>
              <w:sz w:val="20"/>
              <w:szCs w:val="20"/>
            </w:rPr>
            <w:t>(4), 303–309. https://doi.org/10.1002/PTR.1637</w:t>
          </w:r>
        </w:p>
        <w:p w14:paraId="723AB3A5" w14:textId="77777777" w:rsidR="009E469A" w:rsidRPr="00F5462A" w:rsidRDefault="009E469A" w:rsidP="00F5462A">
          <w:pPr>
            <w:autoSpaceDE w:val="0"/>
            <w:autoSpaceDN w:val="0"/>
            <w:spacing w:after="120" w:line="240" w:lineRule="auto"/>
            <w:ind w:left="0" w:hanging="480"/>
            <w:divId w:val="257250532"/>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Wu, W., Yang, Y., Feng, Y., Ren, X., Li, Y., Li, W., Huang, J., Kong, L., Chen, X., Lin, Z., Hou, X., Zhang, L., Chen, Y., Sheng, Z., &amp; Hong, W. (2022). Study of the Repellent Activity of 60 Essential Oils and Their Main Constituents against Aedes albopictus, and Nano-Formulation Development. </w:t>
          </w:r>
          <w:r w:rsidRPr="00F5462A">
            <w:rPr>
              <w:rFonts w:ascii="Arial" w:eastAsia="Times New Roman" w:hAnsi="Arial" w:cs="Arial"/>
              <w:i/>
              <w:iCs/>
              <w:color w:val="000000"/>
              <w:sz w:val="20"/>
              <w:szCs w:val="20"/>
            </w:rPr>
            <w:t>Insects</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13</w:t>
          </w:r>
          <w:r w:rsidRPr="00F5462A">
            <w:rPr>
              <w:rFonts w:ascii="Arial" w:eastAsia="Times New Roman" w:hAnsi="Arial" w:cs="Arial"/>
              <w:color w:val="000000"/>
              <w:sz w:val="20"/>
              <w:szCs w:val="20"/>
            </w:rPr>
            <w:t>(12), 1077. https://doi.org/10.3390/INSECTS13121077/S1</w:t>
          </w:r>
        </w:p>
        <w:p w14:paraId="510AA4E5" w14:textId="77777777" w:rsidR="009E469A" w:rsidRPr="00F5462A" w:rsidRDefault="009E469A" w:rsidP="00F5462A">
          <w:pPr>
            <w:autoSpaceDE w:val="0"/>
            <w:autoSpaceDN w:val="0"/>
            <w:spacing w:after="120" w:line="240" w:lineRule="auto"/>
            <w:ind w:left="0" w:hanging="480"/>
            <w:divId w:val="967123240"/>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Yavasoglu, S. I., Wood, M. J., Bull, J. C., Alkış, N., Doğan, E., Alkhaibari, A. M., &amp; Butt, T. M. (2025). Novo plant-based mosquito repellent shows promise for exclusion of Aedes mosquitoes from “window” entry. </w:t>
          </w:r>
          <w:r w:rsidRPr="00F5462A">
            <w:rPr>
              <w:rFonts w:ascii="Arial" w:eastAsia="Times New Roman" w:hAnsi="Arial" w:cs="Arial"/>
              <w:i/>
              <w:iCs/>
              <w:color w:val="000000"/>
              <w:sz w:val="20"/>
              <w:szCs w:val="20"/>
            </w:rPr>
            <w:t>Journal of Medical Entomology</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62</w:t>
          </w:r>
          <w:r w:rsidRPr="00F5462A">
            <w:rPr>
              <w:rFonts w:ascii="Arial" w:eastAsia="Times New Roman" w:hAnsi="Arial" w:cs="Arial"/>
              <w:color w:val="000000"/>
              <w:sz w:val="20"/>
              <w:szCs w:val="20"/>
            </w:rPr>
            <w:t>(1), 39–46. https://doi.org/10.1093/JME/TJAE137</w:t>
          </w:r>
        </w:p>
        <w:p w14:paraId="2064CB05" w14:textId="77777777" w:rsidR="009E469A" w:rsidRPr="00F5462A" w:rsidRDefault="009E469A" w:rsidP="00F5462A">
          <w:pPr>
            <w:autoSpaceDE w:val="0"/>
            <w:autoSpaceDN w:val="0"/>
            <w:spacing w:after="120" w:line="240" w:lineRule="auto"/>
            <w:ind w:left="0" w:hanging="480"/>
            <w:divId w:val="1376924673"/>
            <w:rPr>
              <w:rFonts w:ascii="Arial" w:eastAsia="Times New Roman" w:hAnsi="Arial" w:cs="Arial"/>
              <w:color w:val="000000"/>
              <w:sz w:val="20"/>
              <w:szCs w:val="20"/>
            </w:rPr>
          </w:pPr>
          <w:r w:rsidRPr="00F5462A">
            <w:rPr>
              <w:rFonts w:ascii="Arial" w:eastAsia="Times New Roman" w:hAnsi="Arial" w:cs="Arial"/>
              <w:color w:val="000000"/>
              <w:sz w:val="20"/>
              <w:szCs w:val="20"/>
            </w:rPr>
            <w:t xml:space="preserve">Zulfikar, Z., Sitepu, F. Y., &amp; Zulfikar, W. (2019). The effect of lemongrass (Cymbopogon nardus) extract as insecticide against Aedes aegypti. </w:t>
          </w:r>
          <w:r w:rsidRPr="00F5462A">
            <w:rPr>
              <w:rFonts w:ascii="Arial" w:eastAsia="Times New Roman" w:hAnsi="Arial" w:cs="Arial"/>
              <w:i/>
              <w:iCs/>
              <w:color w:val="000000"/>
              <w:sz w:val="20"/>
              <w:szCs w:val="20"/>
            </w:rPr>
            <w:t>International Journal of Mosquito Research</w:t>
          </w:r>
          <w:r w:rsidRPr="00F5462A">
            <w:rPr>
              <w:rFonts w:ascii="Arial" w:eastAsia="Times New Roman" w:hAnsi="Arial" w:cs="Arial"/>
              <w:color w:val="000000"/>
              <w:sz w:val="20"/>
              <w:szCs w:val="20"/>
            </w:rPr>
            <w:t xml:space="preserve">, </w:t>
          </w:r>
          <w:r w:rsidRPr="00F5462A">
            <w:rPr>
              <w:rFonts w:ascii="Arial" w:eastAsia="Times New Roman" w:hAnsi="Arial" w:cs="Arial"/>
              <w:i/>
              <w:iCs/>
              <w:color w:val="000000"/>
              <w:sz w:val="20"/>
              <w:szCs w:val="20"/>
            </w:rPr>
            <w:t>6</w:t>
          </w:r>
          <w:r w:rsidRPr="00F5462A">
            <w:rPr>
              <w:rFonts w:ascii="Arial" w:eastAsia="Times New Roman" w:hAnsi="Arial" w:cs="Arial"/>
              <w:color w:val="000000"/>
              <w:sz w:val="20"/>
              <w:szCs w:val="20"/>
            </w:rPr>
            <w:t>(1), 101–103. https://www.researchgate.net/publication/331371544_The_effect_of_lemongrass_Cymbopogon_nardus_extract_as_insecticide_against_Aedes_aegypti</w:t>
          </w:r>
        </w:p>
        <w:p w14:paraId="45BD3EB7" w14:textId="55CD52E3" w:rsidR="0097096E" w:rsidRPr="00F5462A" w:rsidRDefault="009E469A" w:rsidP="00F5462A">
          <w:pPr>
            <w:spacing w:after="120" w:line="240" w:lineRule="auto"/>
            <w:ind w:left="0" w:firstLine="0"/>
            <w:rPr>
              <w:rFonts w:ascii="Arial" w:hAnsi="Arial" w:cs="Arial"/>
              <w:sz w:val="20"/>
              <w:szCs w:val="20"/>
              <w:lang w:val="id-ID"/>
            </w:rPr>
          </w:pPr>
          <w:r w:rsidRPr="00F5462A">
            <w:rPr>
              <w:rFonts w:ascii="Arial" w:eastAsia="Times New Roman" w:hAnsi="Arial" w:cs="Arial"/>
              <w:color w:val="000000"/>
              <w:sz w:val="20"/>
              <w:szCs w:val="20"/>
            </w:rPr>
            <w:t> </w:t>
          </w:r>
        </w:p>
      </w:sdtContent>
    </w:sdt>
    <w:sectPr w:rsidR="0097096E" w:rsidRPr="00F5462A" w:rsidSect="00F5462A">
      <w:pgSz w:w="11906" w:h="16838" w:code="9"/>
      <w:pgMar w:top="2160" w:right="2160" w:bottom="3799" w:left="2160" w:header="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B2F5" w14:textId="77777777" w:rsidR="00A05DC4" w:rsidRDefault="00A05DC4" w:rsidP="00470AA5">
      <w:pPr>
        <w:spacing w:line="240" w:lineRule="auto"/>
      </w:pPr>
      <w:r>
        <w:separator/>
      </w:r>
    </w:p>
  </w:endnote>
  <w:endnote w:type="continuationSeparator" w:id="0">
    <w:p w14:paraId="166553CA" w14:textId="77777777" w:rsidR="00A05DC4" w:rsidRDefault="00A05DC4" w:rsidP="00470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18"/>
      </w:rPr>
      <w:id w:val="587813023"/>
      <w:docPartObj>
        <w:docPartGallery w:val="Page Numbers (Bottom of Page)"/>
        <w:docPartUnique/>
      </w:docPartObj>
    </w:sdtPr>
    <w:sdtEndPr>
      <w:rPr>
        <w:noProof/>
      </w:rPr>
    </w:sdtEndPr>
    <w:sdtContent>
      <w:p w14:paraId="56994DCB" w14:textId="41025506" w:rsidR="00470AA5" w:rsidRPr="00470AA5" w:rsidRDefault="00470AA5">
        <w:pPr>
          <w:pStyle w:val="Footer"/>
          <w:jc w:val="center"/>
          <w:rPr>
            <w:rFonts w:ascii="Arial" w:hAnsi="Arial" w:cs="Arial"/>
            <w:sz w:val="20"/>
            <w:szCs w:val="18"/>
          </w:rPr>
        </w:pPr>
        <w:r w:rsidRPr="00470AA5">
          <w:rPr>
            <w:rFonts w:ascii="Arial" w:hAnsi="Arial" w:cs="Arial"/>
            <w:sz w:val="20"/>
            <w:szCs w:val="18"/>
          </w:rPr>
          <w:fldChar w:fldCharType="begin"/>
        </w:r>
        <w:r w:rsidRPr="00470AA5">
          <w:rPr>
            <w:rFonts w:ascii="Arial" w:hAnsi="Arial" w:cs="Arial"/>
            <w:sz w:val="20"/>
            <w:szCs w:val="18"/>
          </w:rPr>
          <w:instrText xml:space="preserve"> PAGE   \* MERGEFORMAT </w:instrText>
        </w:r>
        <w:r w:rsidRPr="00470AA5">
          <w:rPr>
            <w:rFonts w:ascii="Arial" w:hAnsi="Arial" w:cs="Arial"/>
            <w:sz w:val="20"/>
            <w:szCs w:val="18"/>
          </w:rPr>
          <w:fldChar w:fldCharType="separate"/>
        </w:r>
        <w:r w:rsidRPr="00470AA5">
          <w:rPr>
            <w:rFonts w:ascii="Arial" w:hAnsi="Arial" w:cs="Arial"/>
            <w:noProof/>
            <w:sz w:val="20"/>
            <w:szCs w:val="18"/>
          </w:rPr>
          <w:t>2</w:t>
        </w:r>
        <w:r w:rsidRPr="00470AA5">
          <w:rPr>
            <w:rFonts w:ascii="Arial" w:hAnsi="Arial" w:cs="Arial"/>
            <w:noProof/>
            <w:sz w:val="20"/>
            <w:szCs w:val="18"/>
          </w:rPr>
          <w:fldChar w:fldCharType="end"/>
        </w:r>
      </w:p>
    </w:sdtContent>
  </w:sdt>
  <w:p w14:paraId="5F60018F" w14:textId="77777777" w:rsidR="00470AA5" w:rsidRPr="00470AA5" w:rsidRDefault="00470AA5">
    <w:pPr>
      <w:pStyle w:val="Footer"/>
      <w:rPr>
        <w:rFonts w:ascii="Arial" w:hAnsi="Arial" w:cs="Arial"/>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C0CA2" w14:textId="77777777" w:rsidR="00A05DC4" w:rsidRDefault="00A05DC4" w:rsidP="00470AA5">
      <w:pPr>
        <w:spacing w:line="240" w:lineRule="auto"/>
      </w:pPr>
      <w:r>
        <w:separator/>
      </w:r>
    </w:p>
  </w:footnote>
  <w:footnote w:type="continuationSeparator" w:id="0">
    <w:p w14:paraId="068E58C9" w14:textId="77777777" w:rsidR="00A05DC4" w:rsidRDefault="00A05DC4" w:rsidP="00470A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D3A"/>
    <w:multiLevelType w:val="hybridMultilevel"/>
    <w:tmpl w:val="00E494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02460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E53"/>
    <w:rsid w:val="000038BC"/>
    <w:rsid w:val="0002065B"/>
    <w:rsid w:val="000252C7"/>
    <w:rsid w:val="00032542"/>
    <w:rsid w:val="000340EB"/>
    <w:rsid w:val="000B0DD2"/>
    <w:rsid w:val="000D7655"/>
    <w:rsid w:val="000E6EB4"/>
    <w:rsid w:val="00164475"/>
    <w:rsid w:val="0020395F"/>
    <w:rsid w:val="00247D9E"/>
    <w:rsid w:val="002A6AF6"/>
    <w:rsid w:val="002C23EE"/>
    <w:rsid w:val="003013DB"/>
    <w:rsid w:val="00332923"/>
    <w:rsid w:val="003E72F7"/>
    <w:rsid w:val="00403560"/>
    <w:rsid w:val="00470AA5"/>
    <w:rsid w:val="004935F7"/>
    <w:rsid w:val="004B5D2A"/>
    <w:rsid w:val="004C0AC3"/>
    <w:rsid w:val="00517F83"/>
    <w:rsid w:val="00530F54"/>
    <w:rsid w:val="00540144"/>
    <w:rsid w:val="005420D7"/>
    <w:rsid w:val="00594A2F"/>
    <w:rsid w:val="005E662A"/>
    <w:rsid w:val="00636477"/>
    <w:rsid w:val="00656E96"/>
    <w:rsid w:val="0068324A"/>
    <w:rsid w:val="006B65BC"/>
    <w:rsid w:val="006B6A25"/>
    <w:rsid w:val="006E1D49"/>
    <w:rsid w:val="006E367B"/>
    <w:rsid w:val="00716940"/>
    <w:rsid w:val="0075630F"/>
    <w:rsid w:val="007F023B"/>
    <w:rsid w:val="007F5871"/>
    <w:rsid w:val="00867E69"/>
    <w:rsid w:val="00931EA4"/>
    <w:rsid w:val="0095224A"/>
    <w:rsid w:val="0097096E"/>
    <w:rsid w:val="0098547A"/>
    <w:rsid w:val="009E469A"/>
    <w:rsid w:val="00A05DC4"/>
    <w:rsid w:val="00A251D7"/>
    <w:rsid w:val="00A5642E"/>
    <w:rsid w:val="00A605C8"/>
    <w:rsid w:val="00A85457"/>
    <w:rsid w:val="00AA1B3F"/>
    <w:rsid w:val="00AC22FA"/>
    <w:rsid w:val="00B3414C"/>
    <w:rsid w:val="00B75493"/>
    <w:rsid w:val="00BA2879"/>
    <w:rsid w:val="00BC2FFF"/>
    <w:rsid w:val="00BD34C4"/>
    <w:rsid w:val="00BD4692"/>
    <w:rsid w:val="00BF25F0"/>
    <w:rsid w:val="00C324E8"/>
    <w:rsid w:val="00C41770"/>
    <w:rsid w:val="00CB73FB"/>
    <w:rsid w:val="00D05607"/>
    <w:rsid w:val="00D15C21"/>
    <w:rsid w:val="00D3344F"/>
    <w:rsid w:val="00DB2951"/>
    <w:rsid w:val="00E53E53"/>
    <w:rsid w:val="00E76EA5"/>
    <w:rsid w:val="00F158D2"/>
    <w:rsid w:val="00F5462A"/>
    <w:rsid w:val="00F73EE3"/>
    <w:rsid w:val="00F91F9E"/>
    <w:rsid w:val="00FC0E8F"/>
    <w:rsid w:val="00FC5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AA0B4"/>
  <w15:chartTrackingRefBased/>
  <w15:docId w15:val="{E5E4E54F-6F70-4040-9B01-DBDE6235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F0"/>
    <w:pPr>
      <w:spacing w:after="0" w:line="480" w:lineRule="auto"/>
      <w:ind w:left="714" w:hanging="357"/>
      <w:jc w:val="both"/>
    </w:pPr>
    <w:rPr>
      <w:rFonts w:ascii="Times New Roman" w:hAnsi="Times New Roman"/>
      <w:color w:val="000000" w:themeColor="text1"/>
      <w:kern w:val="0"/>
      <w:sz w:val="24"/>
      <w:lang w:val="en-US"/>
    </w:rPr>
  </w:style>
  <w:style w:type="paragraph" w:styleId="Heading1">
    <w:name w:val="heading 1"/>
    <w:basedOn w:val="Normal"/>
    <w:next w:val="Normal"/>
    <w:link w:val="Heading1Char"/>
    <w:autoRedefine/>
    <w:uiPriority w:val="9"/>
    <w:qFormat/>
    <w:rsid w:val="00BF25F0"/>
    <w:pPr>
      <w:keepNext/>
      <w:keepLines/>
      <w:spacing w:before="240"/>
      <w:outlineLvl w:val="0"/>
    </w:pPr>
    <w:rPr>
      <w:rFonts w:eastAsiaTheme="majorEastAsia" w:cstheme="majorBidi"/>
      <w:b/>
      <w:szCs w:val="32"/>
      <w:lang w:val="en-ID"/>
    </w:rPr>
  </w:style>
  <w:style w:type="paragraph" w:styleId="Heading2">
    <w:name w:val="heading 2"/>
    <w:basedOn w:val="Normal"/>
    <w:next w:val="Normal"/>
    <w:link w:val="Heading2Char"/>
    <w:autoRedefine/>
    <w:uiPriority w:val="9"/>
    <w:semiHidden/>
    <w:unhideWhenUsed/>
    <w:qFormat/>
    <w:rsid w:val="00BF25F0"/>
    <w:pPr>
      <w:keepNext/>
      <w:keepLines/>
      <w:spacing w:before="40"/>
      <w:outlineLvl w:val="1"/>
    </w:pPr>
    <w:rPr>
      <w:rFonts w:eastAsiaTheme="majorEastAsia" w:cstheme="majorBidi"/>
      <w:b/>
      <w:szCs w:val="26"/>
      <w:lang w:val="en-ID"/>
    </w:rPr>
  </w:style>
  <w:style w:type="paragraph" w:styleId="Heading3">
    <w:name w:val="heading 3"/>
    <w:basedOn w:val="Normal"/>
    <w:link w:val="Heading3Char"/>
    <w:autoRedefine/>
    <w:uiPriority w:val="9"/>
    <w:qFormat/>
    <w:rsid w:val="00BF25F0"/>
    <w:pPr>
      <w:spacing w:before="100" w:beforeAutospacing="1" w:after="100" w:afterAutospacing="1" w:line="240" w:lineRule="auto"/>
      <w:outlineLvl w:val="2"/>
    </w:pPr>
    <w:rPr>
      <w:rFonts w:eastAsia="Times New Roman" w:cs="Times New Roman"/>
      <w:b/>
      <w:bCs/>
      <w:szCs w:val="27"/>
      <w:lang w:val="en-ID" w:eastAsia="en-ID"/>
    </w:rPr>
  </w:style>
  <w:style w:type="paragraph" w:styleId="Heading4">
    <w:name w:val="heading 4"/>
    <w:basedOn w:val="Normal"/>
    <w:next w:val="Normal"/>
    <w:link w:val="Heading4Char"/>
    <w:uiPriority w:val="9"/>
    <w:semiHidden/>
    <w:unhideWhenUsed/>
    <w:qFormat/>
    <w:rsid w:val="00E53E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3E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3E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3E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3E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3E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636477"/>
    <w:pPr>
      <w:spacing w:after="0" w:line="240" w:lineRule="auto"/>
    </w:pPr>
    <w:rPr>
      <w:rFonts w:ascii="Gentium Basic" w:hAnsi="Gentium Basic"/>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BF25F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BF25F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F25F0"/>
    <w:rPr>
      <w:rFonts w:ascii="Times New Roman" w:eastAsia="Times New Roman" w:hAnsi="Times New Roman" w:cs="Times New Roman"/>
      <w:b/>
      <w:bCs/>
      <w:sz w:val="24"/>
      <w:szCs w:val="27"/>
      <w:lang w:eastAsia="en-ID"/>
    </w:rPr>
  </w:style>
  <w:style w:type="character" w:customStyle="1" w:styleId="Heading4Char">
    <w:name w:val="Heading 4 Char"/>
    <w:basedOn w:val="DefaultParagraphFont"/>
    <w:link w:val="Heading4"/>
    <w:uiPriority w:val="9"/>
    <w:semiHidden/>
    <w:rsid w:val="00E53E53"/>
    <w:rPr>
      <w:rFonts w:eastAsiaTheme="majorEastAsia" w:cstheme="majorBidi"/>
      <w:i/>
      <w:iCs/>
      <w:color w:val="2F5496" w:themeColor="accent1" w:themeShade="BF"/>
      <w:kern w:val="0"/>
      <w:sz w:val="24"/>
      <w:lang w:val="en-US"/>
    </w:rPr>
  </w:style>
  <w:style w:type="character" w:customStyle="1" w:styleId="Heading5Char">
    <w:name w:val="Heading 5 Char"/>
    <w:basedOn w:val="DefaultParagraphFont"/>
    <w:link w:val="Heading5"/>
    <w:uiPriority w:val="9"/>
    <w:semiHidden/>
    <w:rsid w:val="00E53E53"/>
    <w:rPr>
      <w:rFonts w:eastAsiaTheme="majorEastAsia" w:cstheme="majorBidi"/>
      <w:color w:val="2F5496" w:themeColor="accent1" w:themeShade="BF"/>
      <w:kern w:val="0"/>
      <w:sz w:val="24"/>
      <w:lang w:val="en-US"/>
    </w:rPr>
  </w:style>
  <w:style w:type="character" w:customStyle="1" w:styleId="Heading6Char">
    <w:name w:val="Heading 6 Char"/>
    <w:basedOn w:val="DefaultParagraphFont"/>
    <w:link w:val="Heading6"/>
    <w:uiPriority w:val="9"/>
    <w:semiHidden/>
    <w:rsid w:val="00E53E53"/>
    <w:rPr>
      <w:rFonts w:eastAsiaTheme="majorEastAsia" w:cstheme="majorBidi"/>
      <w:i/>
      <w:iCs/>
      <w:color w:val="595959" w:themeColor="text1" w:themeTint="A6"/>
      <w:kern w:val="0"/>
      <w:sz w:val="24"/>
      <w:lang w:val="en-US"/>
    </w:rPr>
  </w:style>
  <w:style w:type="character" w:customStyle="1" w:styleId="Heading7Char">
    <w:name w:val="Heading 7 Char"/>
    <w:basedOn w:val="DefaultParagraphFont"/>
    <w:link w:val="Heading7"/>
    <w:uiPriority w:val="9"/>
    <w:semiHidden/>
    <w:rsid w:val="00E53E53"/>
    <w:rPr>
      <w:rFonts w:eastAsiaTheme="majorEastAsia" w:cstheme="majorBidi"/>
      <w:color w:val="595959" w:themeColor="text1" w:themeTint="A6"/>
      <w:kern w:val="0"/>
      <w:sz w:val="24"/>
      <w:lang w:val="en-US"/>
    </w:rPr>
  </w:style>
  <w:style w:type="character" w:customStyle="1" w:styleId="Heading8Char">
    <w:name w:val="Heading 8 Char"/>
    <w:basedOn w:val="DefaultParagraphFont"/>
    <w:link w:val="Heading8"/>
    <w:uiPriority w:val="9"/>
    <w:semiHidden/>
    <w:rsid w:val="00E53E53"/>
    <w:rPr>
      <w:rFonts w:eastAsiaTheme="majorEastAsia" w:cstheme="majorBidi"/>
      <w:i/>
      <w:iCs/>
      <w:color w:val="272727" w:themeColor="text1" w:themeTint="D8"/>
      <w:kern w:val="0"/>
      <w:sz w:val="24"/>
      <w:lang w:val="en-US"/>
    </w:rPr>
  </w:style>
  <w:style w:type="character" w:customStyle="1" w:styleId="Heading9Char">
    <w:name w:val="Heading 9 Char"/>
    <w:basedOn w:val="DefaultParagraphFont"/>
    <w:link w:val="Heading9"/>
    <w:uiPriority w:val="9"/>
    <w:semiHidden/>
    <w:rsid w:val="00E53E53"/>
    <w:rPr>
      <w:rFonts w:eastAsiaTheme="majorEastAsia" w:cstheme="majorBidi"/>
      <w:color w:val="272727" w:themeColor="text1" w:themeTint="D8"/>
      <w:kern w:val="0"/>
      <w:sz w:val="24"/>
      <w:lang w:val="en-US"/>
    </w:rPr>
  </w:style>
  <w:style w:type="paragraph" w:styleId="Title">
    <w:name w:val="Title"/>
    <w:basedOn w:val="Normal"/>
    <w:next w:val="Normal"/>
    <w:link w:val="TitleChar"/>
    <w:uiPriority w:val="10"/>
    <w:qFormat/>
    <w:rsid w:val="00E53E5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53E5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E53"/>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E53"/>
    <w:rPr>
      <w:rFonts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E53E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E53"/>
    <w:rPr>
      <w:rFonts w:ascii="Times New Roman" w:hAnsi="Times New Roman"/>
      <w:i/>
      <w:iCs/>
      <w:color w:val="404040" w:themeColor="text1" w:themeTint="BF"/>
      <w:kern w:val="0"/>
      <w:sz w:val="24"/>
      <w:lang w:val="en-US"/>
    </w:rPr>
  </w:style>
  <w:style w:type="paragraph" w:styleId="ListParagraph">
    <w:name w:val="List Paragraph"/>
    <w:basedOn w:val="Normal"/>
    <w:uiPriority w:val="34"/>
    <w:qFormat/>
    <w:rsid w:val="00E53E53"/>
    <w:pPr>
      <w:ind w:left="720"/>
      <w:contextualSpacing/>
    </w:pPr>
  </w:style>
  <w:style w:type="character" w:styleId="IntenseEmphasis">
    <w:name w:val="Intense Emphasis"/>
    <w:basedOn w:val="DefaultParagraphFont"/>
    <w:uiPriority w:val="21"/>
    <w:qFormat/>
    <w:rsid w:val="00E53E53"/>
    <w:rPr>
      <w:i/>
      <w:iCs/>
      <w:color w:val="2F5496" w:themeColor="accent1" w:themeShade="BF"/>
    </w:rPr>
  </w:style>
  <w:style w:type="paragraph" w:styleId="IntenseQuote">
    <w:name w:val="Intense Quote"/>
    <w:basedOn w:val="Normal"/>
    <w:next w:val="Normal"/>
    <w:link w:val="IntenseQuoteChar"/>
    <w:uiPriority w:val="30"/>
    <w:qFormat/>
    <w:rsid w:val="00E53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E53"/>
    <w:rPr>
      <w:rFonts w:ascii="Times New Roman" w:hAnsi="Times New Roman"/>
      <w:i/>
      <w:iCs/>
      <w:color w:val="2F5496" w:themeColor="accent1" w:themeShade="BF"/>
      <w:kern w:val="0"/>
      <w:sz w:val="24"/>
      <w:lang w:val="en-US"/>
    </w:rPr>
  </w:style>
  <w:style w:type="character" w:styleId="IntenseReference">
    <w:name w:val="Intense Reference"/>
    <w:basedOn w:val="DefaultParagraphFont"/>
    <w:uiPriority w:val="32"/>
    <w:qFormat/>
    <w:rsid w:val="00E53E53"/>
    <w:rPr>
      <w:b/>
      <w:bCs/>
      <w:smallCaps/>
      <w:color w:val="2F5496" w:themeColor="accent1" w:themeShade="BF"/>
      <w:spacing w:val="5"/>
    </w:rPr>
  </w:style>
  <w:style w:type="character" w:styleId="PlaceholderText">
    <w:name w:val="Placeholder Text"/>
    <w:basedOn w:val="DefaultParagraphFont"/>
    <w:uiPriority w:val="99"/>
    <w:semiHidden/>
    <w:rsid w:val="0097096E"/>
    <w:rPr>
      <w:color w:val="666666"/>
    </w:rPr>
  </w:style>
  <w:style w:type="paragraph" w:styleId="Caption">
    <w:name w:val="caption"/>
    <w:basedOn w:val="Normal"/>
    <w:next w:val="Normal"/>
    <w:uiPriority w:val="35"/>
    <w:unhideWhenUsed/>
    <w:qFormat/>
    <w:rsid w:val="00AA1B3F"/>
    <w:pPr>
      <w:spacing w:after="200" w:line="240" w:lineRule="auto"/>
    </w:pPr>
    <w:rPr>
      <w:i/>
      <w:iCs/>
      <w:color w:val="44546A" w:themeColor="text2"/>
      <w:sz w:val="18"/>
      <w:szCs w:val="18"/>
    </w:rPr>
  </w:style>
  <w:style w:type="table" w:styleId="TableGrid">
    <w:name w:val="Table Grid"/>
    <w:basedOn w:val="TableNormal"/>
    <w:uiPriority w:val="39"/>
    <w:rsid w:val="006E1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547A"/>
    <w:rPr>
      <w:rFonts w:cs="Times New Roman"/>
      <w:szCs w:val="24"/>
    </w:rPr>
  </w:style>
  <w:style w:type="character" w:styleId="Emphasis">
    <w:name w:val="Emphasis"/>
    <w:basedOn w:val="DefaultParagraphFont"/>
    <w:uiPriority w:val="20"/>
    <w:qFormat/>
    <w:rsid w:val="00A5642E"/>
    <w:rPr>
      <w:i/>
      <w:iCs/>
    </w:rPr>
  </w:style>
  <w:style w:type="character" w:styleId="Hyperlink">
    <w:name w:val="Hyperlink"/>
    <w:basedOn w:val="DefaultParagraphFont"/>
    <w:uiPriority w:val="99"/>
    <w:unhideWhenUsed/>
    <w:rsid w:val="00BD4692"/>
    <w:rPr>
      <w:color w:val="0563C1" w:themeColor="hyperlink"/>
      <w:u w:val="single"/>
    </w:rPr>
  </w:style>
  <w:style w:type="character" w:styleId="UnresolvedMention">
    <w:name w:val="Unresolved Mention"/>
    <w:basedOn w:val="DefaultParagraphFont"/>
    <w:uiPriority w:val="99"/>
    <w:semiHidden/>
    <w:unhideWhenUsed/>
    <w:rsid w:val="00BD4692"/>
    <w:rPr>
      <w:color w:val="605E5C"/>
      <w:shd w:val="clear" w:color="auto" w:fill="E1DFDD"/>
    </w:rPr>
  </w:style>
  <w:style w:type="paragraph" w:styleId="Header">
    <w:name w:val="header"/>
    <w:basedOn w:val="Normal"/>
    <w:link w:val="HeaderChar"/>
    <w:uiPriority w:val="99"/>
    <w:unhideWhenUsed/>
    <w:rsid w:val="00470AA5"/>
    <w:pPr>
      <w:tabs>
        <w:tab w:val="center" w:pos="4513"/>
        <w:tab w:val="right" w:pos="9026"/>
      </w:tabs>
      <w:spacing w:line="240" w:lineRule="auto"/>
    </w:pPr>
  </w:style>
  <w:style w:type="character" w:customStyle="1" w:styleId="HeaderChar">
    <w:name w:val="Header Char"/>
    <w:basedOn w:val="DefaultParagraphFont"/>
    <w:link w:val="Header"/>
    <w:uiPriority w:val="99"/>
    <w:rsid w:val="00470AA5"/>
    <w:rPr>
      <w:rFonts w:ascii="Times New Roman" w:hAnsi="Times New Roman"/>
      <w:color w:val="000000" w:themeColor="text1"/>
      <w:kern w:val="0"/>
      <w:sz w:val="24"/>
      <w:lang w:val="en-US"/>
    </w:rPr>
  </w:style>
  <w:style w:type="paragraph" w:styleId="Footer">
    <w:name w:val="footer"/>
    <w:basedOn w:val="Normal"/>
    <w:link w:val="FooterChar"/>
    <w:uiPriority w:val="99"/>
    <w:unhideWhenUsed/>
    <w:rsid w:val="00470AA5"/>
    <w:pPr>
      <w:tabs>
        <w:tab w:val="center" w:pos="4513"/>
        <w:tab w:val="right" w:pos="9026"/>
      </w:tabs>
      <w:spacing w:line="240" w:lineRule="auto"/>
    </w:pPr>
  </w:style>
  <w:style w:type="character" w:customStyle="1" w:styleId="FooterChar">
    <w:name w:val="Footer Char"/>
    <w:basedOn w:val="DefaultParagraphFont"/>
    <w:link w:val="Footer"/>
    <w:uiPriority w:val="99"/>
    <w:rsid w:val="00470AA5"/>
    <w:rPr>
      <w:rFonts w:ascii="Times New Roman" w:hAnsi="Times New Roman"/>
      <w:color w:val="000000" w:themeColor="text1"/>
      <w:kern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583">
      <w:marLeft w:val="480"/>
      <w:marRight w:val="0"/>
      <w:marTop w:val="0"/>
      <w:marBottom w:val="0"/>
      <w:divBdr>
        <w:top w:val="none" w:sz="0" w:space="0" w:color="auto"/>
        <w:left w:val="none" w:sz="0" w:space="0" w:color="auto"/>
        <w:bottom w:val="none" w:sz="0" w:space="0" w:color="auto"/>
        <w:right w:val="none" w:sz="0" w:space="0" w:color="auto"/>
      </w:divBdr>
    </w:div>
    <w:div w:id="53480051">
      <w:marLeft w:val="480"/>
      <w:marRight w:val="0"/>
      <w:marTop w:val="0"/>
      <w:marBottom w:val="0"/>
      <w:divBdr>
        <w:top w:val="none" w:sz="0" w:space="0" w:color="auto"/>
        <w:left w:val="none" w:sz="0" w:space="0" w:color="auto"/>
        <w:bottom w:val="none" w:sz="0" w:space="0" w:color="auto"/>
        <w:right w:val="none" w:sz="0" w:space="0" w:color="auto"/>
      </w:divBdr>
    </w:div>
    <w:div w:id="133329164">
      <w:marLeft w:val="480"/>
      <w:marRight w:val="0"/>
      <w:marTop w:val="0"/>
      <w:marBottom w:val="0"/>
      <w:divBdr>
        <w:top w:val="none" w:sz="0" w:space="0" w:color="auto"/>
        <w:left w:val="none" w:sz="0" w:space="0" w:color="auto"/>
        <w:bottom w:val="none" w:sz="0" w:space="0" w:color="auto"/>
        <w:right w:val="none" w:sz="0" w:space="0" w:color="auto"/>
      </w:divBdr>
    </w:div>
    <w:div w:id="200480454">
      <w:marLeft w:val="480"/>
      <w:marRight w:val="0"/>
      <w:marTop w:val="0"/>
      <w:marBottom w:val="0"/>
      <w:divBdr>
        <w:top w:val="none" w:sz="0" w:space="0" w:color="auto"/>
        <w:left w:val="none" w:sz="0" w:space="0" w:color="auto"/>
        <w:bottom w:val="none" w:sz="0" w:space="0" w:color="auto"/>
        <w:right w:val="none" w:sz="0" w:space="0" w:color="auto"/>
      </w:divBdr>
    </w:div>
    <w:div w:id="257250532">
      <w:marLeft w:val="480"/>
      <w:marRight w:val="0"/>
      <w:marTop w:val="0"/>
      <w:marBottom w:val="0"/>
      <w:divBdr>
        <w:top w:val="none" w:sz="0" w:space="0" w:color="auto"/>
        <w:left w:val="none" w:sz="0" w:space="0" w:color="auto"/>
        <w:bottom w:val="none" w:sz="0" w:space="0" w:color="auto"/>
        <w:right w:val="none" w:sz="0" w:space="0" w:color="auto"/>
      </w:divBdr>
    </w:div>
    <w:div w:id="378817985">
      <w:marLeft w:val="480"/>
      <w:marRight w:val="0"/>
      <w:marTop w:val="0"/>
      <w:marBottom w:val="0"/>
      <w:divBdr>
        <w:top w:val="none" w:sz="0" w:space="0" w:color="auto"/>
        <w:left w:val="none" w:sz="0" w:space="0" w:color="auto"/>
        <w:bottom w:val="none" w:sz="0" w:space="0" w:color="auto"/>
        <w:right w:val="none" w:sz="0" w:space="0" w:color="auto"/>
      </w:divBdr>
    </w:div>
    <w:div w:id="428159785">
      <w:marLeft w:val="480"/>
      <w:marRight w:val="0"/>
      <w:marTop w:val="0"/>
      <w:marBottom w:val="0"/>
      <w:divBdr>
        <w:top w:val="none" w:sz="0" w:space="0" w:color="auto"/>
        <w:left w:val="none" w:sz="0" w:space="0" w:color="auto"/>
        <w:bottom w:val="none" w:sz="0" w:space="0" w:color="auto"/>
        <w:right w:val="none" w:sz="0" w:space="0" w:color="auto"/>
      </w:divBdr>
    </w:div>
    <w:div w:id="430011214">
      <w:marLeft w:val="480"/>
      <w:marRight w:val="0"/>
      <w:marTop w:val="0"/>
      <w:marBottom w:val="0"/>
      <w:divBdr>
        <w:top w:val="none" w:sz="0" w:space="0" w:color="auto"/>
        <w:left w:val="none" w:sz="0" w:space="0" w:color="auto"/>
        <w:bottom w:val="none" w:sz="0" w:space="0" w:color="auto"/>
        <w:right w:val="none" w:sz="0" w:space="0" w:color="auto"/>
      </w:divBdr>
    </w:div>
    <w:div w:id="527182512">
      <w:marLeft w:val="480"/>
      <w:marRight w:val="0"/>
      <w:marTop w:val="0"/>
      <w:marBottom w:val="0"/>
      <w:divBdr>
        <w:top w:val="none" w:sz="0" w:space="0" w:color="auto"/>
        <w:left w:val="none" w:sz="0" w:space="0" w:color="auto"/>
        <w:bottom w:val="none" w:sz="0" w:space="0" w:color="auto"/>
        <w:right w:val="none" w:sz="0" w:space="0" w:color="auto"/>
      </w:divBdr>
    </w:div>
    <w:div w:id="650476447">
      <w:marLeft w:val="480"/>
      <w:marRight w:val="0"/>
      <w:marTop w:val="0"/>
      <w:marBottom w:val="0"/>
      <w:divBdr>
        <w:top w:val="none" w:sz="0" w:space="0" w:color="auto"/>
        <w:left w:val="none" w:sz="0" w:space="0" w:color="auto"/>
        <w:bottom w:val="none" w:sz="0" w:space="0" w:color="auto"/>
        <w:right w:val="none" w:sz="0" w:space="0" w:color="auto"/>
      </w:divBdr>
    </w:div>
    <w:div w:id="685180406">
      <w:marLeft w:val="480"/>
      <w:marRight w:val="0"/>
      <w:marTop w:val="0"/>
      <w:marBottom w:val="0"/>
      <w:divBdr>
        <w:top w:val="none" w:sz="0" w:space="0" w:color="auto"/>
        <w:left w:val="none" w:sz="0" w:space="0" w:color="auto"/>
        <w:bottom w:val="none" w:sz="0" w:space="0" w:color="auto"/>
        <w:right w:val="none" w:sz="0" w:space="0" w:color="auto"/>
      </w:divBdr>
    </w:div>
    <w:div w:id="689529689">
      <w:marLeft w:val="480"/>
      <w:marRight w:val="0"/>
      <w:marTop w:val="0"/>
      <w:marBottom w:val="0"/>
      <w:divBdr>
        <w:top w:val="none" w:sz="0" w:space="0" w:color="auto"/>
        <w:left w:val="none" w:sz="0" w:space="0" w:color="auto"/>
        <w:bottom w:val="none" w:sz="0" w:space="0" w:color="auto"/>
        <w:right w:val="none" w:sz="0" w:space="0" w:color="auto"/>
      </w:divBdr>
    </w:div>
    <w:div w:id="693845977">
      <w:marLeft w:val="480"/>
      <w:marRight w:val="0"/>
      <w:marTop w:val="0"/>
      <w:marBottom w:val="0"/>
      <w:divBdr>
        <w:top w:val="none" w:sz="0" w:space="0" w:color="auto"/>
        <w:left w:val="none" w:sz="0" w:space="0" w:color="auto"/>
        <w:bottom w:val="none" w:sz="0" w:space="0" w:color="auto"/>
        <w:right w:val="none" w:sz="0" w:space="0" w:color="auto"/>
      </w:divBdr>
    </w:div>
    <w:div w:id="779254401">
      <w:marLeft w:val="480"/>
      <w:marRight w:val="0"/>
      <w:marTop w:val="0"/>
      <w:marBottom w:val="0"/>
      <w:divBdr>
        <w:top w:val="none" w:sz="0" w:space="0" w:color="auto"/>
        <w:left w:val="none" w:sz="0" w:space="0" w:color="auto"/>
        <w:bottom w:val="none" w:sz="0" w:space="0" w:color="auto"/>
        <w:right w:val="none" w:sz="0" w:space="0" w:color="auto"/>
      </w:divBdr>
    </w:div>
    <w:div w:id="967123240">
      <w:marLeft w:val="480"/>
      <w:marRight w:val="0"/>
      <w:marTop w:val="0"/>
      <w:marBottom w:val="0"/>
      <w:divBdr>
        <w:top w:val="none" w:sz="0" w:space="0" w:color="auto"/>
        <w:left w:val="none" w:sz="0" w:space="0" w:color="auto"/>
        <w:bottom w:val="none" w:sz="0" w:space="0" w:color="auto"/>
        <w:right w:val="none" w:sz="0" w:space="0" w:color="auto"/>
      </w:divBdr>
    </w:div>
    <w:div w:id="968362927">
      <w:marLeft w:val="480"/>
      <w:marRight w:val="0"/>
      <w:marTop w:val="0"/>
      <w:marBottom w:val="0"/>
      <w:divBdr>
        <w:top w:val="none" w:sz="0" w:space="0" w:color="auto"/>
        <w:left w:val="none" w:sz="0" w:space="0" w:color="auto"/>
        <w:bottom w:val="none" w:sz="0" w:space="0" w:color="auto"/>
        <w:right w:val="none" w:sz="0" w:space="0" w:color="auto"/>
      </w:divBdr>
    </w:div>
    <w:div w:id="1053043860">
      <w:marLeft w:val="480"/>
      <w:marRight w:val="0"/>
      <w:marTop w:val="0"/>
      <w:marBottom w:val="0"/>
      <w:divBdr>
        <w:top w:val="none" w:sz="0" w:space="0" w:color="auto"/>
        <w:left w:val="none" w:sz="0" w:space="0" w:color="auto"/>
        <w:bottom w:val="none" w:sz="0" w:space="0" w:color="auto"/>
        <w:right w:val="none" w:sz="0" w:space="0" w:color="auto"/>
      </w:divBdr>
    </w:div>
    <w:div w:id="1093747046">
      <w:marLeft w:val="480"/>
      <w:marRight w:val="0"/>
      <w:marTop w:val="0"/>
      <w:marBottom w:val="0"/>
      <w:divBdr>
        <w:top w:val="none" w:sz="0" w:space="0" w:color="auto"/>
        <w:left w:val="none" w:sz="0" w:space="0" w:color="auto"/>
        <w:bottom w:val="none" w:sz="0" w:space="0" w:color="auto"/>
        <w:right w:val="none" w:sz="0" w:space="0" w:color="auto"/>
      </w:divBdr>
    </w:div>
    <w:div w:id="1158955058">
      <w:marLeft w:val="480"/>
      <w:marRight w:val="0"/>
      <w:marTop w:val="0"/>
      <w:marBottom w:val="0"/>
      <w:divBdr>
        <w:top w:val="none" w:sz="0" w:space="0" w:color="auto"/>
        <w:left w:val="none" w:sz="0" w:space="0" w:color="auto"/>
        <w:bottom w:val="none" w:sz="0" w:space="0" w:color="auto"/>
        <w:right w:val="none" w:sz="0" w:space="0" w:color="auto"/>
      </w:divBdr>
    </w:div>
    <w:div w:id="1167861355">
      <w:marLeft w:val="480"/>
      <w:marRight w:val="0"/>
      <w:marTop w:val="0"/>
      <w:marBottom w:val="0"/>
      <w:divBdr>
        <w:top w:val="none" w:sz="0" w:space="0" w:color="auto"/>
        <w:left w:val="none" w:sz="0" w:space="0" w:color="auto"/>
        <w:bottom w:val="none" w:sz="0" w:space="0" w:color="auto"/>
        <w:right w:val="none" w:sz="0" w:space="0" w:color="auto"/>
      </w:divBdr>
    </w:div>
    <w:div w:id="1191528617">
      <w:marLeft w:val="480"/>
      <w:marRight w:val="0"/>
      <w:marTop w:val="0"/>
      <w:marBottom w:val="0"/>
      <w:divBdr>
        <w:top w:val="none" w:sz="0" w:space="0" w:color="auto"/>
        <w:left w:val="none" w:sz="0" w:space="0" w:color="auto"/>
        <w:bottom w:val="none" w:sz="0" w:space="0" w:color="auto"/>
        <w:right w:val="none" w:sz="0" w:space="0" w:color="auto"/>
      </w:divBdr>
    </w:div>
    <w:div w:id="1196381589">
      <w:marLeft w:val="480"/>
      <w:marRight w:val="0"/>
      <w:marTop w:val="0"/>
      <w:marBottom w:val="0"/>
      <w:divBdr>
        <w:top w:val="none" w:sz="0" w:space="0" w:color="auto"/>
        <w:left w:val="none" w:sz="0" w:space="0" w:color="auto"/>
        <w:bottom w:val="none" w:sz="0" w:space="0" w:color="auto"/>
        <w:right w:val="none" w:sz="0" w:space="0" w:color="auto"/>
      </w:divBdr>
    </w:div>
    <w:div w:id="1202747534">
      <w:marLeft w:val="480"/>
      <w:marRight w:val="0"/>
      <w:marTop w:val="0"/>
      <w:marBottom w:val="0"/>
      <w:divBdr>
        <w:top w:val="none" w:sz="0" w:space="0" w:color="auto"/>
        <w:left w:val="none" w:sz="0" w:space="0" w:color="auto"/>
        <w:bottom w:val="none" w:sz="0" w:space="0" w:color="auto"/>
        <w:right w:val="none" w:sz="0" w:space="0" w:color="auto"/>
      </w:divBdr>
    </w:div>
    <w:div w:id="1279869700">
      <w:marLeft w:val="480"/>
      <w:marRight w:val="0"/>
      <w:marTop w:val="0"/>
      <w:marBottom w:val="0"/>
      <w:divBdr>
        <w:top w:val="none" w:sz="0" w:space="0" w:color="auto"/>
        <w:left w:val="none" w:sz="0" w:space="0" w:color="auto"/>
        <w:bottom w:val="none" w:sz="0" w:space="0" w:color="auto"/>
        <w:right w:val="none" w:sz="0" w:space="0" w:color="auto"/>
      </w:divBdr>
    </w:div>
    <w:div w:id="1292900378">
      <w:marLeft w:val="480"/>
      <w:marRight w:val="0"/>
      <w:marTop w:val="0"/>
      <w:marBottom w:val="0"/>
      <w:divBdr>
        <w:top w:val="none" w:sz="0" w:space="0" w:color="auto"/>
        <w:left w:val="none" w:sz="0" w:space="0" w:color="auto"/>
        <w:bottom w:val="none" w:sz="0" w:space="0" w:color="auto"/>
        <w:right w:val="none" w:sz="0" w:space="0" w:color="auto"/>
      </w:divBdr>
    </w:div>
    <w:div w:id="1353914035">
      <w:marLeft w:val="480"/>
      <w:marRight w:val="0"/>
      <w:marTop w:val="0"/>
      <w:marBottom w:val="0"/>
      <w:divBdr>
        <w:top w:val="none" w:sz="0" w:space="0" w:color="auto"/>
        <w:left w:val="none" w:sz="0" w:space="0" w:color="auto"/>
        <w:bottom w:val="none" w:sz="0" w:space="0" w:color="auto"/>
        <w:right w:val="none" w:sz="0" w:space="0" w:color="auto"/>
      </w:divBdr>
    </w:div>
    <w:div w:id="1376924673">
      <w:marLeft w:val="480"/>
      <w:marRight w:val="0"/>
      <w:marTop w:val="0"/>
      <w:marBottom w:val="0"/>
      <w:divBdr>
        <w:top w:val="none" w:sz="0" w:space="0" w:color="auto"/>
        <w:left w:val="none" w:sz="0" w:space="0" w:color="auto"/>
        <w:bottom w:val="none" w:sz="0" w:space="0" w:color="auto"/>
        <w:right w:val="none" w:sz="0" w:space="0" w:color="auto"/>
      </w:divBdr>
    </w:div>
    <w:div w:id="1441533446">
      <w:marLeft w:val="480"/>
      <w:marRight w:val="0"/>
      <w:marTop w:val="0"/>
      <w:marBottom w:val="0"/>
      <w:divBdr>
        <w:top w:val="none" w:sz="0" w:space="0" w:color="auto"/>
        <w:left w:val="none" w:sz="0" w:space="0" w:color="auto"/>
        <w:bottom w:val="none" w:sz="0" w:space="0" w:color="auto"/>
        <w:right w:val="none" w:sz="0" w:space="0" w:color="auto"/>
      </w:divBdr>
    </w:div>
    <w:div w:id="1465466329">
      <w:marLeft w:val="480"/>
      <w:marRight w:val="0"/>
      <w:marTop w:val="0"/>
      <w:marBottom w:val="0"/>
      <w:divBdr>
        <w:top w:val="none" w:sz="0" w:space="0" w:color="auto"/>
        <w:left w:val="none" w:sz="0" w:space="0" w:color="auto"/>
        <w:bottom w:val="none" w:sz="0" w:space="0" w:color="auto"/>
        <w:right w:val="none" w:sz="0" w:space="0" w:color="auto"/>
      </w:divBdr>
    </w:div>
    <w:div w:id="1560821069">
      <w:marLeft w:val="480"/>
      <w:marRight w:val="0"/>
      <w:marTop w:val="0"/>
      <w:marBottom w:val="0"/>
      <w:divBdr>
        <w:top w:val="none" w:sz="0" w:space="0" w:color="auto"/>
        <w:left w:val="none" w:sz="0" w:space="0" w:color="auto"/>
        <w:bottom w:val="none" w:sz="0" w:space="0" w:color="auto"/>
        <w:right w:val="none" w:sz="0" w:space="0" w:color="auto"/>
      </w:divBdr>
    </w:div>
    <w:div w:id="1609315752">
      <w:marLeft w:val="480"/>
      <w:marRight w:val="0"/>
      <w:marTop w:val="0"/>
      <w:marBottom w:val="0"/>
      <w:divBdr>
        <w:top w:val="none" w:sz="0" w:space="0" w:color="auto"/>
        <w:left w:val="none" w:sz="0" w:space="0" w:color="auto"/>
        <w:bottom w:val="none" w:sz="0" w:space="0" w:color="auto"/>
        <w:right w:val="none" w:sz="0" w:space="0" w:color="auto"/>
      </w:divBdr>
    </w:div>
    <w:div w:id="1644385636">
      <w:marLeft w:val="480"/>
      <w:marRight w:val="0"/>
      <w:marTop w:val="0"/>
      <w:marBottom w:val="0"/>
      <w:divBdr>
        <w:top w:val="none" w:sz="0" w:space="0" w:color="auto"/>
        <w:left w:val="none" w:sz="0" w:space="0" w:color="auto"/>
        <w:bottom w:val="none" w:sz="0" w:space="0" w:color="auto"/>
        <w:right w:val="none" w:sz="0" w:space="0" w:color="auto"/>
      </w:divBdr>
    </w:div>
    <w:div w:id="1681855822">
      <w:marLeft w:val="480"/>
      <w:marRight w:val="0"/>
      <w:marTop w:val="0"/>
      <w:marBottom w:val="0"/>
      <w:divBdr>
        <w:top w:val="none" w:sz="0" w:space="0" w:color="auto"/>
        <w:left w:val="none" w:sz="0" w:space="0" w:color="auto"/>
        <w:bottom w:val="none" w:sz="0" w:space="0" w:color="auto"/>
        <w:right w:val="none" w:sz="0" w:space="0" w:color="auto"/>
      </w:divBdr>
    </w:div>
    <w:div w:id="1784880362">
      <w:marLeft w:val="480"/>
      <w:marRight w:val="0"/>
      <w:marTop w:val="0"/>
      <w:marBottom w:val="0"/>
      <w:divBdr>
        <w:top w:val="none" w:sz="0" w:space="0" w:color="auto"/>
        <w:left w:val="none" w:sz="0" w:space="0" w:color="auto"/>
        <w:bottom w:val="none" w:sz="0" w:space="0" w:color="auto"/>
        <w:right w:val="none" w:sz="0" w:space="0" w:color="auto"/>
      </w:divBdr>
    </w:div>
    <w:div w:id="1832334428">
      <w:marLeft w:val="480"/>
      <w:marRight w:val="0"/>
      <w:marTop w:val="0"/>
      <w:marBottom w:val="0"/>
      <w:divBdr>
        <w:top w:val="none" w:sz="0" w:space="0" w:color="auto"/>
        <w:left w:val="none" w:sz="0" w:space="0" w:color="auto"/>
        <w:bottom w:val="none" w:sz="0" w:space="0" w:color="auto"/>
        <w:right w:val="none" w:sz="0" w:space="0" w:color="auto"/>
      </w:divBdr>
    </w:div>
    <w:div w:id="1869760720">
      <w:marLeft w:val="480"/>
      <w:marRight w:val="0"/>
      <w:marTop w:val="0"/>
      <w:marBottom w:val="0"/>
      <w:divBdr>
        <w:top w:val="none" w:sz="0" w:space="0" w:color="auto"/>
        <w:left w:val="none" w:sz="0" w:space="0" w:color="auto"/>
        <w:bottom w:val="none" w:sz="0" w:space="0" w:color="auto"/>
        <w:right w:val="none" w:sz="0" w:space="0" w:color="auto"/>
      </w:divBdr>
    </w:div>
    <w:div w:id="1872913350">
      <w:marLeft w:val="480"/>
      <w:marRight w:val="0"/>
      <w:marTop w:val="0"/>
      <w:marBottom w:val="0"/>
      <w:divBdr>
        <w:top w:val="none" w:sz="0" w:space="0" w:color="auto"/>
        <w:left w:val="none" w:sz="0" w:space="0" w:color="auto"/>
        <w:bottom w:val="none" w:sz="0" w:space="0" w:color="auto"/>
        <w:right w:val="none" w:sz="0" w:space="0" w:color="auto"/>
      </w:divBdr>
    </w:div>
    <w:div w:id="2066178624">
      <w:marLeft w:val="480"/>
      <w:marRight w:val="0"/>
      <w:marTop w:val="0"/>
      <w:marBottom w:val="0"/>
      <w:divBdr>
        <w:top w:val="none" w:sz="0" w:space="0" w:color="auto"/>
        <w:left w:val="none" w:sz="0" w:space="0" w:color="auto"/>
        <w:bottom w:val="none" w:sz="0" w:space="0" w:color="auto"/>
        <w:right w:val="none" w:sz="0" w:space="0" w:color="auto"/>
      </w:divBdr>
    </w:div>
    <w:div w:id="2107992853">
      <w:marLeft w:val="480"/>
      <w:marRight w:val="0"/>
      <w:marTop w:val="0"/>
      <w:marBottom w:val="0"/>
      <w:divBdr>
        <w:top w:val="none" w:sz="0" w:space="0" w:color="auto"/>
        <w:left w:val="none" w:sz="0" w:space="0" w:color="auto"/>
        <w:bottom w:val="none" w:sz="0" w:space="0" w:color="auto"/>
        <w:right w:val="none" w:sz="0" w:space="0" w:color="auto"/>
      </w:divBdr>
    </w:div>
    <w:div w:id="212095077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374198-B099-4B7A-A9FB-43C45AD6067C}"/>
      </w:docPartPr>
      <w:docPartBody>
        <w:p w:rsidR="007758E5" w:rsidRDefault="000E112A">
          <w:r w:rsidRPr="008D688D">
            <w:rPr>
              <w:rStyle w:val="PlaceholderText"/>
            </w:rPr>
            <w:t>Click or tap here to enter text.</w:t>
          </w:r>
        </w:p>
      </w:docPartBody>
    </w:docPart>
    <w:docPart>
      <w:docPartPr>
        <w:name w:val="52597087AC5E47909AB8A012B722357B"/>
        <w:category>
          <w:name w:val="General"/>
          <w:gallery w:val="placeholder"/>
        </w:category>
        <w:types>
          <w:type w:val="bbPlcHdr"/>
        </w:types>
        <w:behaviors>
          <w:behavior w:val="content"/>
        </w:behaviors>
        <w:guid w:val="{24EA493E-05BA-4F29-A966-AF1FB5B5408D}"/>
      </w:docPartPr>
      <w:docPartBody>
        <w:p w:rsidR="007758E5" w:rsidRDefault="000E112A" w:rsidP="000E112A">
          <w:pPr>
            <w:pStyle w:val="52597087AC5E47909AB8A012B722357B"/>
          </w:pPr>
          <w:r w:rsidRPr="008D688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2A"/>
    <w:rsid w:val="000E112A"/>
    <w:rsid w:val="00332923"/>
    <w:rsid w:val="00612E1A"/>
    <w:rsid w:val="007758E5"/>
    <w:rsid w:val="00931EA4"/>
    <w:rsid w:val="00B72B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112A"/>
    <w:rPr>
      <w:color w:val="666666"/>
    </w:rPr>
  </w:style>
  <w:style w:type="paragraph" w:customStyle="1" w:styleId="52597087AC5E47909AB8A012B722357B">
    <w:name w:val="52597087AC5E47909AB8A012B722357B"/>
    <w:rsid w:val="000E11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24E84D-6979-444D-8734-807C7A9AC71E}">
  <we:reference id="wa104382081" version="1.55.1.0" store="en-US" storeType="OMEX"/>
  <we:alternateReferences>
    <we:reference id="WA104382081" version="1.55.1.0" store="" storeType="OMEX"/>
  </we:alternateReferences>
  <we:properties>
    <we:property name="MENDELEY_CITATIONS" value="[{&quot;citationID&quot;:&quot;MENDELEY_CITATION_f6f10156-639c-41fd-b41b-d831bb19b42b&quot;,&quot;properties&quot;:{&quot;noteIndex&quot;:0},&quot;isEdited&quot;:false,&quot;manualOverride&quot;:{&quot;isManuallyOverridden&quot;:false,&quot;citeprocText&quot;:&quot;(Bhatt et al., 2013; Brady et al., 2012)&quot;,&quot;manualOverrideText&quot;:&quot;&quot;},&quot;citationTag&quot;:&quot;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quot;,&quot;citationItems&quot;:[{&quot;id&quot;:&quot;52e02dfa-52ee-35c9-bec7-9c68dfc642b8&quot;,&quot;itemData&quot;:{&quot;type&quot;:&quot;article-journal&quot;,&quot;id&quot;:&quot;52e02dfa-52ee-35c9-bec7-9c68dfc642b8&quot;,&quot;title&quot;:&quot;Refining the Global Spatial Limits of Dengue Virus Transmission by Evidence-Based Consensus&quot;,&quot;author&quot;:[{&quot;family&quot;:&quot;Brady&quot;,&quot;given&quot;:&quot;Oliver J.&quot;,&quot;parse-names&quot;:false,&quot;dropping-particle&quot;:&quot;&quot;,&quot;non-dropping-particle&quot;:&quot;&quot;},{&quot;family&quot;:&quot;Gething&quot;,&quot;given&quot;:&quot;Peter W.&quot;,&quot;parse-names&quot;:false,&quot;dropping-particle&quot;:&quot;&quot;,&quot;non-dropping-particle&quot;:&quot;&quot;},{&quot;family&quot;:&quot;Bhatt&quot;,&quot;given&quot;:&quot;Samir&quot;,&quot;parse-names&quot;:false,&quot;dropping-particle&quot;:&quot;&quot;,&quot;non-dropping-particle&quot;:&quot;&quot;},{&quot;family&quot;:&quot;Messina&quot;,&quot;given&quot;:&quot;Jane P.&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Moyes&quot;,&quot;given&quot;:&quot;Catherine L.&quot;,&quot;parse-names&quot;:false,&quot;dropping-particle&quot;:&quot;&quot;,&quot;non-dropping-particle&quot;:&quot;&quot;},{&quot;family&quot;:&quot;Farlow&quot;,&quot;given&quot;:&quot;Andrew W.&quot;,&quot;parse-names&quot;:false,&quot;dropping-particle&quot;:&quot;&quot;,&quot;non-dropping-particle&quot;:&quot;&quot;},{&quot;family&quot;:&quot;Scott&quot;,&quot;given&quot;:&quot;Thomas W.&quot;,&quot;parse-names&quot;:false,&quot;dropping-particle&quot;:&quot;&quot;,&quot;non-dropping-particle&quot;:&quot;&quot;},{&quot;family&quot;:&quot;Hay&quot;,&quot;given&quot;:&quot;Simon I.&quot;,&quot;parse-names&quot;:false,&quot;dropping-particle&quot;:&quot;&quot;,&quot;non-dropping-particle&quot;:&quot;&quot;}],&quot;container-title&quot;:&quot;PLOS Neglected Tropical Diseases&quot;,&quot;container-title-short&quot;:&quot;PLoS Negl. Trop. Dis.&quot;,&quot;accessed&quot;:{&quot;date-parts&quot;:[[2026,5,3]]},&quot;DOI&quot;:&quot;10.1371/JOURNAL.PNTD.0001760&quot;,&quot;ISSN&quot;:&quot;1935-2735&quot;,&quot;PMID&quot;:&quot;22880140&quot;,&quot;URL&quot;:&quot;https://journals.plos.org/plosntds/article?id=10.1371/journal.pntd.0001760&quot;,&quot;issued&quot;:{&quot;date-parts&quot;:[[2012]]},&quot;page&quot;:&quot;e1760&quot;,&quot;abstract&quot;:&quot;Background Dengue is a growing problem both in its geographical spread and in its intensity, and yet current global distribution remains highly uncertain. Challenges in diagnosis and diagnostic methods as well as highly variable national health systems mean no single data source can reliably estimate the distribution of this disease. As such, there is a lack of agreement on national dengue status among international health organisations. Here we bring together all available information on dengue occurrence using a novel approach to produce an evidence consensus map of the disease range that highlights nations with an uncertain dengue status.   Methods/Principal Findings A baseline methodology was used to assess a range of evidence for each country. In regions where dengue status was uncertain, additional evidence types were included to either clarify dengue status or confirm that it is unknown at this time. An algorithm was developed that assesses evidence quality and consistency, giving each country an evidence consensus score. Using this approach, we were able to generate a contemporary global map of national-level dengue status that assigns a relative measure of certainty and identifies gaps in the available evidence.   Conclusion The map produced here provides a list of 128 countries for which there is good evidence of dengue occurrence, including 36 countries that have previously been classified as dengue-free by the World Health Organization and/or the US Centers for Disease Control. It also identifies disease surveillance needs, which we list in full. The disease extents and limits determined here using evidence consensus, marks the beginning of a five-year study to advance the mapping of dengue virus transmission and disease risk. Completion of this first step has allowed us to produce a preliminary estimate of population at risk with an upper bound of 3.97 billion people. This figure will be refined in future work.&quot;,&quot;publisher&quot;:&quot;Public Library of Science&quot;,&quot;issue&quot;:&quot;8&quot;,&quot;volume&quot;:&quot;6&quot;},&quot;isTemporary&quot;:false},{&quot;id&quot;:&quot;588a93fc-3f17-33da-8b38-be4c3afce560&quot;,&quot;itemData&quot;:{&quot;type&quot;:&quot;article-journal&quot;,&quot;id&quot;:&quot;588a93fc-3f17-33da-8b38-be4c3afce560&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 2013 496:7446&quot;,&quot;accessed&quot;:{&quot;date-parts&quot;:[[2026,5,3]]},&quot;DOI&quot;:&quot;10.1038/nature12060&quot;,&quot;ISSN&quot;:&quot;1476-4687&quot;,&quot;PMID&quot;:&quot;23563266&quot;,&quot;URL&quot;:&quot;https://www.nature.com/articles/nature12060&quot;,&quot;issued&quot;:{&quot;date-parts&quot;:[[2013,4,7]]},&quot;page&quot;:&quot;504-507&quot;,&quot;abstract&quot;:&quot;The public health burden of dengue is unknown; here cartographic approaches are used to provide insight into the global, regional and national burden of dengue, with the finding that the global number of infections per year is around 390 million, more than three times the estimate of the World Health Organization. The mosquito-borne viral infection dengue is found in tropical and subtropical regions worldwide, predominantly in urban and semi-urban areas. The incidence of dengue is on the increase, but the current global distribution is poorly known. Simon Hay and colleagues have applied novel mapping techniques to an extensive evidence base of nearly 10,000 case records. The outcome is an estimate of around 390 million new infections per year, more than double the most recent estimate from the World Health Organization. Importantly, this work extends the mapping to provide global estimates of the symptomatic and asymptomatic dengue case burden, at 96 and 294 million, respectively. Dengue is a systemic viral infection transmitted between humans by Aedes mosquitoes1. For some patients, dengue is a life-threatening illness2. There are currently no licensed vaccines or specific therapeutics, and substantial vector control efforts have not stopped its rapid emergence and global spread3. The contemporary worldwide distribution of the risk of dengue virus infection4 and its public health burden are poorly known2,5.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2.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quot;,&quot;publisher&quot;:&quot;Nature Publishing Group&quot;,&quot;issue&quot;:&quot;7446&quot;,&quot;volume&quot;:&quot;496&quot;,&quot;container-title-short&quot;:&quot;&quot;},&quot;isTemporary&quot;:false}]},{&quot;citationID&quot;:&quot;MENDELEY_CITATION_b8200273-1b44-42e2-8ca8-62731b624c05&quot;,&quot;properties&quot;:{&quot;noteIndex&quot;:0},&quot;isEdited&quot;:false,&quot;manualOverride&quot;:{&quot;isManuallyOverridden&quot;:false,&quot;citeprocText&quot;:&quot;(Shepard et al., 2016)&quot;,&quot;manualOverrideText&quot;:&quot;&quot;},&quot;citationTag&quot;:&quot;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quot;,&quot;citationItems&quot;:[{&quot;id&quot;:&quot;da00e56c-d547-3815-8032-487bcd862eae&quot;,&quot;itemData&quot;:{&quot;type&quot;:&quot;article-journal&quot;,&quot;id&quot;:&quot;da00e56c-d547-3815-8032-487bcd862eae&quot;,&quot;title&quot;:&quot;The global economic burden of dengue: a systematic analysis&quot;,&quot;author&quot;:[{&quot;family&quot;:&quot;Shepard&quot;,&quot;given&quot;:&quot;Donald S.&quot;,&quot;parse-names&quot;:false,&quot;dropping-particle&quot;:&quot;&quot;,&quot;non-dropping-particle&quot;:&quot;&quot;},{&quot;family&quot;:&quot;Undurraga&quot;,&quot;given&quot;:&quot;Eduardo A.&quot;,&quot;parse-names&quot;:false,&quot;dropping-particle&quot;:&quot;&quot;,&quot;non-dropping-particle&quot;:&quot;&quot;},{&quot;family&quot;:&quot;Halasa&quot;,&quot;given&quot;:&quot;Yara A.&quot;,&quot;parse-names&quot;:false,&quot;dropping-particle&quot;:&quot;&quot;,&quot;non-dropping-particle&quot;:&quot;&quot;},{&quot;family&quot;:&quot;Stanaway&quot;,&quot;given&quot;:&quot;Jeffrey D.&quot;,&quot;parse-names&quot;:false,&quot;dropping-particle&quot;:&quot;&quot;,&quot;non-dropping-particle&quot;:&quot;&quot;}],&quot;container-title&quot;:&quot;The Lancet Infectious Diseases&quot;,&quot;container-title-short&quot;:&quot;Lancet Infect. Dis.&quot;,&quot;accessed&quot;:{&quot;date-parts&quot;:[[2026,5,20]]},&quot;DOI&quot;:&quot;10.1016/S1473-3099(16)00146-8&quot;,&quot;ISSN&quot;:&quot;14744457&quot;,&quot;PMID&quot;:&quot;27091092&quot;,&quot;URL&quot;:&quot;https://www.thelancet.com/action/showFullText?pii=S1473309916001468&quot;,&quot;issued&quot;:{&quot;date-parts&quot;:[[2016,8,1]]},&quot;page&quot;:&quot;935-941&quot;,&quot;abstract&quot;:&quot;Background Dengue is a serious global burden. Unreported and unrecognised apparent dengue virus infections make it difficult to estimate the true extent of dengue and current estimates of the incidence and costs of dengue have substantial uncertainty. Objective, systematic, comparable measures of dengue burden are needed to track health progress, assess the application and financing of emerging preventive and control strategies, and inform health policy. We estimated the global economic burden of dengue by country and super-region (groups of epidemiologically similar countries). Methods We used the latest dengue incidence estimates from the Institute for Health Metrics and Evaluation's Global Burden of Disease Study 2013 and several other data sources to assess the economic burden of symptomatic dengue cases in the 141 countries and territories with active dengue transmission. From the scientific literature and regressions, we estimated cases and costs by setting, including the non-medical setting, for all countries and territories. Findings Our global estimates suggest that in 2013 there were a total of 58·40 million symptomatic dengue virus infections (95% uncertainty interval [95% UI] 24 million–122 million), including 13 586 fatal cases (95% UI 4200–34 700), and that the total annual global cost of dengue illness was US$8·9 billion (95% UI 3·7 billion–19·7 billion). The global distribution of dengue cases is 18% admitted to hospital, 48% ambulatory, and 34% non-medical. Interpretation The global cost of dengue is substantial and, if control strategies could reduce dengue appreciably, billions of dollars could be saved globally. In estimating dengue costs by country and setting, this study contributes to the needs of policy makers, donors, developers, and researchers for economic assessments of dengue interventions, particularly with the licensure of the first dengue vaccine and promising developments in other technologies. Funding Sanofi Pasteur.&quot;,&quot;publisher&quot;:&quot;Lancet Publishing Group&quot;,&quot;issue&quot;:&quot;8&quot;,&quot;volume&quot;:&quot;16&quot;},&quot;isTemporary&quot;:false}]},{&quot;citationID&quot;:&quot;MENDELEY_CITATION_9230cc4e-1043-4616-95f7-3d4b747a89bd&quot;,&quot;properties&quot;:{&quot;noteIndex&quot;:0},&quot;isEdited&quot;:false,&quot;manualOverride&quot;:{&quot;isManuallyOverridden&quot;:false,&quot;citeprocText&quot;:&quot;(Goodyer &amp;#38; Schofield, 2018)&quot;,&quot;manualOverrideText&quot;:&quot;&quot;},&quot;citationTag&quot;:&quot;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ID&quot;:&quot;MENDELEY_CITATION_5bba97ad-47bf-4dac-bec7-613f5a48ca86&quot;,&quot;properties&quot;:{&quot;noteIndex&quot;:0},&quot;isEdited&quot;:false,&quot;manualOverride&quot;:{&quot;isManuallyOverridden&quot;:false,&quot;citeprocText&quot;:&quot;(Shrestha &amp;#38; Lee, 2020)&quot;,&quot;manualOverrideText&quot;:&quot;&quot;},&quot;citationTag&quot;:&quot;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quot;,&quot;citationItems&quot;:[{&quot;id&quot;:&quot;2362a2f9-4e08-3b5f-969f-08d56a19ab88&quot;,&quot;itemData&quot;:{&quot;type&quot;:&quot;article-journal&quot;,&quot;id&quot;:&quot;2362a2f9-4e08-3b5f-969f-08d56a19ab88&quot;,&quot;title&quot;:&quot;Cellular and molecular mechanisms of DEET toxicity and disease-carrying insect vectors: a review&quot;,&quot;author&quot;:[{&quot;family&quot;:&quot;Shrestha&quot;,&quot;given&quot;:&quot;Bhanu&quot;,&quot;parse-names&quot;:false,&quot;dropping-particle&quot;:&quot;&quot;,&quot;non-dropping-particle&quot;:&quot;&quot;},{&quot;family&quot;:&quot;Lee&quot;,&quot;given&quot;:&quot;Youngseok&quot;,&quot;parse-names&quot;:false,&quot;dropping-particle&quot;:&quot;&quot;,&quot;non-dropping-particle&quot;:&quot;&quot;}],&quot;container-title&quot;:&quot;Genes and Genomics&quot;,&quot;container-title-short&quot;:&quot;Genes Genomics&quot;,&quot;accessed&quot;:{&quot;date-parts&quot;:[[2026,5,20]]},&quot;DOI&quot;:&quot;10.1007/S13258-020-00991-Z/METRICS&quot;,&quot;ISSN&quot;:&quot;20929293&quot;,&quot;PMID&quot;:&quot;32889681&quot;,&quot;URL&quot;:&quot;https://link.springer.com/article/10.1007/s13258-020-00991-z&quot;,&quot;issued&quot;:{&quot;date-parts&quot;:[[2020,10,1]]},&quot;page&quot;:&quot;1131-1144&quot;,&quot;abstract&quot;:&quot;Background: Several insects such as mosquitoes, flies, ticks, fleas, lice, and mites are known to serve as vectors for a vast number of pathogens. Many such vectors are hematophagous, and therefore introduce pathogens directly into the host’s bloodstream. Importantly, the capacity of these vectors to spread disease can lead to serious global health crises. Furthermore, crop damage can be exacerbated by pathogen infection and increased insect foraging due to recent global warming. Methods: Our study categorized insect-associated damage into three groups: animal infection, plant infection, and direct crop damage due to insect foraging. To manage these problems, insect repellents and pesticides have been developed, among which DEET is the most broadly used and studied pest control agent. This review discusses the mode of action and possible mechanisms of DEET action, including olfactory and gustatory mechanisms and central nervous system impairment. Conclusion: To protect humans from malaria, yellow fever, dengue fever, zika, and filariasis, as well as to reduce economic losses associated with crop damage, considerably more efforts are needed to characterize the interactions between insects and insect repellents/pesticides to develop more potent pest control agents.&quot;,&quot;publisher&quot;:&quot;Genetics Society of Korea&quot;,&quot;issue&quot;:&quot;10&quot;,&quot;volume&quot;:&quot;42&quot;},&quot;isTemporary&quot;:false}]},{&quot;citationID&quot;:&quot;MENDELEY_CITATION_dfc2e010-32fe-4b8a-8c2b-38b361a570ad&quot;,&quot;properties&quot;:{&quot;noteIndex&quot;:0},&quot;isEdited&quot;:false,&quot;manualOverride&quot;:{&quot;isManuallyOverridden&quot;:false,&quot;citeprocText&quot;:&quot;(Adhikari et al., 2022; Maia &amp;#38; Moore, 2011; Nerio et al., 2010)&quot;,&quot;manualOverrideText&quot;:&quot;&quot;},&quot;citationTag&quot;:&quot;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isTemporary&quot;:false}]},{&quot;citationID&quot;:&quot;MENDELEY_CITATION_b6548605-034a-4f4f-9dec-40009fc99960&quot;,&quot;properties&quot;:{&quot;noteIndex&quot;:0},&quot;isEdited&quot;:false,&quot;manualOverride&quot;:{&quot;isManuallyOverridden&quot;:false,&quot;citeprocText&quot;:&quot;(Abbas et al., 2024; Hategekimana &amp;#38; Erler, 2020; Soares de Oliveira et al., 2020; Wu et al., 2022)&quot;,&quot;manualOverrideText&quot;:&quot;&quot;},&quot;citationTag&quot;:&quot;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&quot;,&quot;citationItems&quot;:[{&quot;id&quot;:&quot;d0f8fbb0-b59e-3816-b1be-515960476734&quot;,&quot;itemData&quot;:{&quot;type&quot;:&quot;article-journal&quot;,&quot;id&quot;:&quot;d0f8fbb0-b59e-3816-b1be-515960476734&quot;,&quot;title&quot;:&quot;Repellent activity of essential oils against culicids: A review&quot;,&quot;author&quot;:[{&quot;family&quot;:&quot;Soares de Oliveira&quot;,&quot;given&quot;:&quot;Maria Aurea&quot;,&quot;parse-names&quot;:false,&quot;dropping-particle&quot;:&quot;&quot;,&quot;non-dropping-particle&quot;:&quot;&quot;},{&quot;family&quot;:&quot;Melo Coutinho&quot;,&quot;given&quot;:&quot;Henrique Douglas&quot;,&quot;parse-names&quot;:false,&quot;dropping-particle&quot;:&quot;&quot;,&quot;non-dropping-particle&quot;:&quot;&quot;},{&quot;family&quot;:&quot;Jardelino de Lacerda Neto&quot;,&quot;given&quot;:&quot;Luiz&quot;,&quot;parse-names&quot;:false,&quot;dropping-particle&quot;:&quot;&quot;,&quot;non-dropping-particle&quot;:&quot;&quot;},{&quot;family&quot;:&quot;Castro de Oliveira&quot;,&quot;given&quot;:&quot;Ligia Cláudia&quot;,&quot;parse-names&quot;:false,&quot;dropping-particle&quot;:&quot;&quot;,&quot;non-dropping-particle&quot;:&quot;&quot;},{&quot;family&quot;:&quot;Bezerra da Cunha&quot;,&quot;given&quot;:&quot;Francisco Assis&quot;,&quot;parse-names&quot;:false,&quot;dropping-particle&quot;:&quot;&quot;,&quot;non-dropping-particle&quot;:&quot;&quot;}],&quot;container-title&quot;:&quot;Sustainable Chemistry and Pharmacy&quot;,&quot;container-title-short&quot;:&quot;Sustain. Chem. Pharm.&quot;,&quot;accessed&quot;:{&quot;date-parts&quot;:[[2026,5,20]]},&quot;DOI&quot;:&quot;10.1016/J.SCP.2020.100328&quot;,&quot;ISSN&quot;:&quot;2352-5541&quot;,&quot;URL&quot;:&quot;https://www.sciencedirect.com/science/article/abs/pii/S2352554120305672&quot;,&quot;issued&quot;:{&quot;date-parts&quot;:[[2020,12,1]]},&quot;page&quot;:&quot;100328&quot;,&quot;abstract&quot;:&quot;The use of plants with repellent properties has been evidenced as an important tool in the biocontrol of Culicidae that threaten public health. Studies on the main genera used for the biological control of these vectors were systematically reviewed including articles published from 2000 to 2019. Specialized databases such as Web of Science, Pubmed, Science Direct, Scopus BioMed, Bioline, Doaj and Scielo and the descriptors volatile oils, culicidae, arthropod vectors and medicinal plants were used. In the present study, 121 species distributed across 31 families were identified, with Lamiaceae, Myrtaceae and Verbenaceae possessing the largest number of species. For EO extraction virtually all plant parts were found to be used, including seeds, roots, rhizomes, stems, leaves, bracts, fruits, bark and inflorescences, these being mainly extract by hydrodistillation and steam distillation extraction. Gas chromatography coupled to mass spectrometry (GC-MS) was the main analytical technique used to identify the EO constituents. It is necessary to take into account the importance of developing alternative products which do not harm nature or the human species, nor any of the properties and uses these vegetables possess, which are essential for biological control.&quot;,&quot;publisher&quot;:&quot;Elsevier&quot;,&quot;volume&quot;:&quot;18&quot;},&quot;isTemporary&quot;:false},{&quot;id&quot;:&quot;0ac703f1-171a-3858-9511-f8f93a654147&quot;,&quot;itemData&quot;:{&quot;type&quot;:&quot;article-journal&quot;,&quot;id&quot;:&quot;0ac703f1-171a-3858-9511-f8f93a654147&quot;,&quot;title&quot;:&quot;Chemical Composition, Repellent, and Oviposition Deterrent Potential of Wild Plant Essential Oils against Three Mosquito Species&quot;,&quot;author&quot;:[{&quot;family&quot;:&quot;Abbas&quot;,&quot;given&quot;:&quot;Muhammad Ghazanfar&quot;,&quot;parse-names&quot;:false,&quot;dropping-particle&quot;:&quot;&quot;,&quot;non-dropping-particle&quot;:&quot;&quot;},{&quot;family&quot;:&quot;Azeem&quot;,&quot;given&quot;:&quot;Muhammad&quot;,&quot;parse-names&quot;:false,&quot;dropping-particle&quot;:&quot;&quot;,&quot;non-dropping-particle&quot;:&quot;&quot;},{&quot;family&quot;:&quot;Bashir&quot;,&quot;given&quot;:&quot;Muhammad Umar&quot;,&quot;parse-names&quot;:false,&quot;dropping-particle&quot;:&quot;&quot;,&quot;non-dropping-particle&quot;:&quot;&quot;},{&quot;family&quot;:&quot;Ali&quot;,&quot;given&quot;:&quot;Faw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9112657/S1&quot;,&quot;ISSN&quot;:&quot;14203049&quot;,&quot;PMID&quot;:&quot;38893531&quot;,&quot;URL&quot;:&quot;https://www.mdpi.com/1420-3049/29/11/2657/htm&quot;,&quot;issued&quot;:{&quot;date-parts&quot;:[[2024,6,1]]},&quot;page&quot;:&quot;2657&quot;,&quot;abstract&quot;:&quot;In this study, the chemical composition, repellent, and oviposition deterrent effects of five plant essential oils (EOs) extracted from Lantana camara (Verbenaceae), Schinus terebinthifolia (Anacardiaceae), Callistemon viminalis (Myrtaceae), Helichrysum odoratissimum (Asteraceae), and Hyptis suaveolens (Lamiaceae) were evaluated against Aedes aegypti, Anopheles gambiae, and Culex quinquefasciatus. When tested at 33.3 µg/cm2, L. camara, S. terebinthifolia, C. viminalis, and H. odoratissimum were effective repellents against Ae. aegypti (89%, 91%, 90%, and 51% repellency, respectively), but they were less repellent against An. gambiae (66%, 86%, 59%, and 49% repellency, respectively). Interestingly, L. camara, S. terebinthifolia, C. viminalis, and H. odoratissimum exhibited 100% repellency against Cx. quinquefasciatus at 33.3 μg/cm2. In time-span bioassays performed at 333 μg/cm2, the EO of L. camara exhibited 100% repellence against Ae. aegypti and An. gambiae for up to 15 min and against Cx. quinquefasciatus for 75 min. The oviposition bioassays revealed that L. camara exhibited the highest activity, showing 85%, 59%, and 89% oviposition deterrence against Ae. aegypti, An. gambiae, and Cx. quinquefasciatus, respectively. The major compounds of L. camara, S. terebinthifolia, and C. viminalis were trans-β-caryophyllene (16.7%), α-pinene (15.5%), and 1,8-cineole (38.1%), respectively. In conclusion, the L. camara and S. terebinthifolia EOs have the potential to be natural mosquito repellents.&quot;,&quot;publisher&quot;:&quot;Multidisciplinary Digital Publishing Institute (MDPI)&quot;,&quot;issue&quot;:&quot;11&quot;,&quot;volume&quot;:&quot;29&quot;,&quot;container-title-short&quot;:&quot;&quot;},&quot;isTemporary&quot;:false},{&quot;id&quot;:&quot;2536fe10-beab-3978-8562-dff88b1996b0&quot;,&quot;itemData&quot;:{&quot;type&quot;:&quot;article-journal&quot;,&quot;id&quot;:&quot;2536fe10-beab-3978-8562-dff88b1996b0&quot;,&quot;title&quot;:&quot;Study of the Repellent Activity of 60 Essential Oils and Their Main Constituents against Aedes albopictus, and Nano-Formulation Development&quot;,&quot;author&quot;:[{&quot;family&quot;:&quot;Wu&quot;,&quot;given&quot;:&quot;Weifeng&quot;,&quot;parse-names&quot;:false,&quot;dropping-particle&quot;:&quot;&quot;,&quot;non-dropping-particle&quot;:&quot;&quot;},{&quot;family&quot;:&quot;Yang&quot;,&quot;given&quot;:&quot;Yu&quot;,&quot;parse-names&quot;:false,&quot;dropping-particle&quot;:&quot;&quot;,&quot;non-dropping-particle&quot;:&quot;&quot;},{&quot;family&quot;:&quot;Feng&quot;,&quot;given&quot;:&quot;Yingmiao&quot;,&quot;parse-names&quot;:false,&quot;dropping-particle&quot;:&quot;&quot;,&quot;non-dropping-particle&quot;:&quot;&quot;},{&quot;family&quot;:&quot;Ren&quot;,&quot;given&quot;:&quot;Xiaofei&quot;,&quot;parse-names&quot;:false,&quot;dropping-particle&quot;:&quot;&quot;,&quot;non-dropping-particle&quot;:&quot;&quot;},{&quot;family&quot;:&quot;Li&quot;,&quot;given&quot;:&quot;Yuling&quot;,&quot;parse-names&quot;:false,&quot;dropping-particle&quot;:&quot;&quot;,&quot;non-dropping-particle&quot;:&quot;&quot;},{&quot;family&quot;:&quot;Li&quot;,&quot;given&quot;:&quot;Wenjiao&quot;,&quot;parse-names&quot;:false,&quot;dropping-particle&quot;:&quot;&quot;,&quot;non-dropping-particle&quot;:&quot;&quot;},{&quot;family&quot;:&quot;Huang&quot;,&quot;given&quot;:&quot;Jietong&quot;,&quot;parse-names&quot;:false,&quot;dropping-particle&quot;:&quot;&quot;,&quot;non-dropping-particle&quot;:&quot;&quot;},{&quot;family&quot;:&quot;Kong&quot;,&quot;given&quot;:&quot;Lingjia&quot;,&quot;parse-names&quot;:false,&quot;dropping-particle&quot;:&quot;&quot;,&quot;non-dropping-particle&quot;:&quot;&quot;},{&quot;family&quot;:&quot;Chen&quot;,&quot;given&quot;:&quot;Xiaole&quot;,&quot;parse-names&quot;:false,&quot;dropping-particle&quot;:&quot;&quot;,&quot;non-dropping-particle&quot;:&quot;&quot;},{&quot;family&quot;:&quot;Lin&quot;,&quot;given&quot;:&quot;Zhongze&quot;,&quot;parse-names&quot;:false,&quot;dropping-particle&quot;:&quot;&quot;,&quot;non-dropping-particle&quot;:&quot;&quot;},{&quot;family&quot;:&quot;Hou&quot;,&quot;given&quot;:&quot;Xiaohui&quot;,&quot;parse-names&quot;:false,&quot;dropping-particle&quot;:&quot;&quot;,&quot;non-dropping-particle&quot;:&quot;&quot;},{&quot;family&quot;:&quot;Zhang&quot;,&quot;given&quot;:&quot;Longlai&quot;,&quot;parse-names&quot;:false,&quot;dropping-particle&quot;:&quot;&quot;,&quot;non-dropping-particle&quot;:&quot;&quot;},{&quot;family&quot;:&quot;Chen&quot;,&quot;given&quot;:&quot;Yajie&quot;,&quot;parse-names&quot;:false,&quot;dropping-particle&quot;:&quot;&quot;,&quot;non-dropping-particle&quot;:&quot;&quot;},{&quot;family&quot;:&quot;Sheng&quot;,&quot;given&quot;:&quot;Zhaojun&quot;,&quot;parse-names&quot;:false,&quot;dropping-particle&quot;:&quot;&quot;,&quot;non-dropping-particle&quot;:&quot;&quot;},{&quot;family&quot;:&quot;Hong&quot;,&quot;given&quot;:&quot;Weiqian&quot;,&quot;parse-names&quot;:false,&quot;dropping-particle&quot;:&quot;&quot;,&quot;non-dropping-particle&quot;:&quot;&quot;}],&quot;container-title&quot;:&quot;Insects&quot;,&quot;container-title-short&quot;:&quot;Insects&quot;,&quot;accessed&quot;:{&quot;date-parts&quot;:[[2026,5,20]]},&quot;DOI&quot;:&quot;10.3390/INSECTS13121077/S1&quot;,&quot;ISSN&quot;:&quot;20754450&quot;,&quot;URL&quot;:&quot;https://pmc.ncbi.nlm.nih.gov/articles/PMC9782114/&quot;,&quot;issued&quot;:{&quot;date-parts&quot;:[[2022,12,1]]},&quot;page&quot;:&quot;1077&quot;,&quot;abstract&quot;:&quot;Mosquitoes are one of the most important disease vectors from a medical viewpoint in that they transmit several diseases such as malaria, filariasis, yellow and Dengue fever. Mosquito vector control and personal protection from mosquito bites are currently the most efficient ways to prevent these diseases. Several synthetic repellents such as DEET, ethyl butylacetylaminopropionate (IR3535) and 1-(1-methylpropoxycarbonyl)-2-(2-hydroxyethyl)piperidine) (Picaridin), have been widely used to prevent humans from receiving mosquito bites. However, the use of synthetic repellents has raised several environment and health concerns. Therefore, essential oils (EOs) as natural alternatives receive our attention. In order to discover highly effective mosquito repellents from natural sources, the repellent activity of 60 commercial EOs against Ae. albopictus was screened in this study. Eight EOs including cinnamon, marjoram, lemongrass, bay, chamomile, jasmine, peppermint2, and thyme, showed a suitable repellent rate (&gt;40%) at the tested dose of 10 μg/cm2. Then, their main constituents were analyzed by GC-MS, and the active constituents were identified. The most active compounds including cinnamaldehyde, citral and terpinen-4-ol, exhibited an 82%, 65% and 60% repellent rate, respectively. Moreover, the nanoemulsions of the three active compounds were prepared and characterized. In the arm-in-cage assay, the protection times of the nanoemulsions of cinnamaldehyde and citral were significantly extended compared with their normal solutions. This study provides several lead compounds to develop new mosquito repellents, and it suggests that nanoemulsification is an effective method for improving the duration of the activity of natural repellents.&quot;,&quot;publisher&quot;:&quot;MDPI&quot;,&quot;issue&quot;:&quot;12&quot;,&quot;volume&quot;:&quot;13&quot;},&quot;isTemporary&quot;:false},{&quot;id&quot;:&quot;01ad00c4-5a78-367d-8af3-2efae7701f50&quot;,&quot;itemData&quot;:{&quot;type&quot;:&quot;article-journal&quot;,&quot;id&quot;:&quot;01ad00c4-5a78-367d-8af3-2efae7701f50&quot;,&quot;title&quot;:&quot;Comparative repellent activity of single, binary and ternary combinations of plant essential oils and their major components against Sitophilus oryzae L. (Coleoptera: Curculionidae)&quot;,&quot;author&quot;:[{&quot;family&quot;:&quot;Hategekimana&quot;,&quot;given&quot;:&quot;Athanase&quot;,&quot;parse-names&quot;:false,&quot;dropping-particle&quot;:&quot;&quot;,&quot;non-dropping-particle&quot;:&quot;&quot;},{&quot;family&quot;:&quot;Erler&quot;,&quot;given&quot;:&quot;Fedai&quot;,&quot;parse-names&quot;:false,&quot;dropping-particle&quot;:&quot;&quot;,&quot;non-dropping-particle&quot;:&quot;&quot;}],&quot;container-title&quot;:&quot;Journal of Plant Diseases and Protection 2020 127:6&quot;,&quot;accessed&quot;:{&quot;date-parts&quot;:[[2026,5,20]]},&quot;DOI&quot;:&quot;10.1007/S41348-020-00353-7&quot;,&quot;ISSN&quot;:&quot;1861-3837&quot;,&quot;URL&quot;:&quot;https://link.springer.com/article/10.1007/s41348-020-00353-7&quot;,&quot;issued&quot;:{&quot;date-parts&quot;:[[2020,6,29]]},&quot;page&quot;:&quot;873-881&quot;,&quot;abstract&quot;:&quot;In the present study, repellent activity of three plant essential oils (EOs) [anise (Pimpinella anisum&amp;nbsp;L.), eucalyptus (Eucalyptus camaldulensis Dehn.) and peppermint&amp;nbsp;(Mentha piperita&amp;nbsp;L.)]&amp;nbsp;and their major components (trans-anethole, 1,8-cineole and&amp;nbsp;L-menthol, respectively) was evaluated at five concentrations (3.6, 7.1, 14.3, 28.6 and 57.1&amp;nbsp;µl/l air) through Y-tube olfactometer against the rice weevil, Sitophilus oryzae&amp;nbsp;L. (Coleoptera: Curculionidae), under laboratory conditions. The binary (1:1) and ternary (1:1:1) combinations of the EOs and/or components were also evaluated for their possible combination effects (synergism, antagonism and additive effect). The results showed that all the EOs and components tested, both alone and in binary and ternary combinations, had a repellent activity on adult S. oryzae. However, repellency was concentration dependent (P = 0.05). None of the combinations tested had a statistically significant influence on the repellence against adult&amp;nbsp;S. oryzae (P = 0.05). Based on the estimated RC50 (the concentration required to obtain 50% repellency) values, binary and ternary combinations generally had lower RC50 values, indicating that they were more repellent to&amp;nbsp;S. oryzae than the single application of EOs or components, except for anise EO and 1,8-cineole. Considering the combination index (CI) values, most of the binary and ternary combinations showed synergistic effects (CI &amp;lt; 1), while some of them exhibited additive effects (CI = 1). However, no binary or ternary combination showed an antagonistic effect (C &amp;gt; 1). Overall results suggest that EOs and their components may help prevent the rice weevil infestations and can be used to develop new products that meet expectations.&quot;,&quot;publisher&quot;:&quot;Springer&quot;,&quot;issue&quot;:&quot;6&quot;,&quot;volume&quot;:&quot;127&quot;,&quot;container-title-short&quot;:&quot;&quot;},&quot;isTemporary&quot;:false}]},{&quot;citationID&quot;:&quot;MENDELEY_CITATION_59475dda-f545-4fcb-9798-205a9dfed252&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quot;,&quot;citationItems&quot;:[{&quot;id&quot;:&quot;0afe6009-ef2f-3a3e-ac8f-2ce12c66a2f2&quot;,&quot;itemData&quot;:{&quot;type&quot;:&quot;article-journal&quot;,&quot;id&quot;:&quot;0afe6009-ef2f-3a3e-ac8f-2ce12c66a2f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PLOS Medicine&quot;,&quot;container-title-short&quot;:&quot;PLoS Med.&quot;,&quot;accessed&quot;:{&quot;date-parts&quot;:[[2026,5,18]]},&quot;DOI&quot;:&quot;10.1371/JOURNAL.PMED.1003583&quot;,&quot;ISBN&quot;:&quot;1111111111&quot;,&quot;ISSN&quot;:&quot;1549-1676&quot;,&quot;PMID&quot;:&quot;33780438&quot;,&quot;URL&quot;:&quot;https://journals.plos.org/plosmedicine/article?id=10.1371/journal.pmed.1003583&quot;,&quot;issued&quot;:{&quot;date-parts&quot;:[[2021,3,29]]},&quot;page&quot;:&quot;e1003583&quot;,&quot;abstract&quot;:&quot;Matthew Page and co-authors describe PRISMA 2020, an updated reporting guideline for systematic reviews and meta-analyses.&quot;,&quot;publisher&quot;:&quot;Public Library of Science&quot;,&quot;issue&quot;:&quot;3&quot;,&quot;volume&quot;:&quot;18&quot;},&quot;isTemporary&quot;:false}]},{&quot;citationID&quot;:&quot;MENDELEY_CITATION_d7505341-d202-45e6-8b59-e7ab956ea9c9&quot;,&quot;properties&quot;:{&quot;noteIndex&quot;:0},&quot;isEdited&quot;:false,&quot;manualOverride&quot;:{&quot;isManuallyOverridden&quot;:false,&quot;citeprocText&quot;:&quot;(Amer &amp;#38; Mehlhorn, 2006)&quot;,&quot;manualOverrideText&quot;:&quot;&quot;},&quot;citationTag&quot;:&quot;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quot;,&quot;citationItems&quot;:[{&quot;id&quot;:&quot;f8538958-d2b2-3f9b-9be3-a0bd84c3d1c4&quot;,&quot;itemData&quot;:{&quot;type&quot;:&quot;article-journal&quot;,&quot;id&quot;:&quot;f8538958-d2b2-3f9b-9be3-a0bd84c3d1c4&quot;,&quot;title&quot;:&quot;Repellency effect of forty-one essential oils against Aedes, Anopheles, and Culex mosquitoes&quot;,&quot;author&quot;:[{&quot;family&quot;:&quot;Amer&quot;,&quot;given&quot;:&quot;Abdelkrim&quot;,&quot;parse-names&quot;:false,&quot;dropping-particle&quot;:&quot;&quot;,&quot;non-dropping-particle&quot;:&quot;&quot;},{&quot;family&quot;:&quot;Mehlhorn&quot;,&quot;given&quot;:&quot;Heinz&quot;,&quot;parse-names&quot;:false,&quot;dropping-particle&quot;:&quot;&quot;,&quot;non-dropping-particle&quot;:&quot;&quot;}],&quot;container-title&quot;:&quot;Parasitology Research 2006 99:4&quot;,&quot;accessed&quot;:{&quot;date-parts&quot;:[[2026,5,20]]},&quot;DOI&quot;:&quot;10.1007/S00436-006-0184-1&quot;,&quot;ISSN&quot;:&quot;1432-1955&quot;,&quot;PMID&quot;:&quot;16642384&quot;,&quot;URL&quot;:&quot;https://link.springer.com/article/10.1007/s00436-006-0184-1&quot;,&quot;issued&quot;:{&quot;date-parts&quot;:[[2006,4,27]]},&quot;page&quot;:&quot;478-490&quot;,&quot;abstract&quot;:&quot;Since ancient times, plant products were used in various aspects. However, their use against pests decreased when chemical products became developed. Recently, concerns increased with respect to public health and environmental security requiring detection of natural products that may be used against insect pests. In this study, 41 plant extracts and 11 oil mixtures were evaluated against the yellow fever mosquito, Aedes aegypti (Linnaeus), the malaria vector, Anopheles stephensi (Liston), and the filariasis and encephalitis vector, Culex quinquefasciatus (Say) (Diptera: Culicidae) using the skin of human volunteers to find out the protection time and repellency. The five most effective oils were those of Litsea (Litsea cubeba), Cajeput (Melaleuca leucadendron), Niaouli (Melaleuca quinquenervia), Violet (Viola odorata), and Catnip (Nepeta cataria), which induced a protection time of 8&amp;nbsp;h at the maximum and a 100% repellency against all three species. This effect needs, however, a peculiar formulation to fix them on the human skin.&quot;,&quot;publisher&quot;:&quot;Springer&quot;,&quot;issue&quot;:&quot;4&quot;,&quot;volume&quot;:&quot;99&quot;,&quot;container-title-short&quot;:&quot;&quot;},&quot;isTemporary&quot;:false}]},{&quot;citationID&quot;:&quot;MENDELEY_CITATION_927ed39a-0e88-4523-8499-40f43a0a7952&quot;,&quot;properties&quot;:{&quot;noteIndex&quot;:0},&quot;isEdited&quot;:false,&quot;manualOverride&quot;:{&quot;isManuallyOverridden&quot;:false,&quot;citeprocText&quot;:&quot;(Carroll &amp;#38; Loye, 2006)&quot;,&quot;manualOverrideText&quot;:&quot;&quot;},&quot;citationTag&quot;:&quot;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quot;,&quot;citationItems&quot;:[{&quot;id&quot;:&quot;e342248c-8c90-3a6e-b3ca-b478974ea0d3&quot;,&quot;itemData&quot;:{&quot;type&quot;:&quot;article-journal&quot;,&quot;id&quot;:&quot;e342248c-8c90-3a6e-b3ca-b478974ea0d3&quot;,&quot;title&quot;:&quot;PMD, a Registered Botanical Mosquito Repellent with Deet-Like Efficacy&quot;,&quot;author&quot;:[{&quot;family&quot;:&quot;Carroll&quot;,&quot;given&quot;:&quot;Scott P.&quot;,&quot;parse-names&quot;:false,&quot;dropping-particle&quot;:&quot;&quot;,&quot;non-dropping-particle&quot;:&quot;&quot;},{&quot;family&quot;:&quot;Loye&quot;,&quot;given&quot;:&quot;Jenella&quot;,&quot;parse-names&quot;:false,&quot;dropping-particle&quot;:&quot;&quot;,&quot;non-dropping-particle&quot;:&quot;&quot;}],&quot;container-title&quot;:&quot;https://doi.org/10.2987/8756-971X(2006)22[507:PARBMR]2.0.CO;2&quot;,&quot;accessed&quot;:{&quot;date-parts&quot;:[[2026,5,20]]},&quot;DOI&quot;:&quot;10.2987/8756-971X(2006)22&quot;,&quot;ISSN&quot;:&quot;8756-971X&quot;,&quot;URL&quot;:&quot;https://bioone.org/journals/journal-of-the-american-mosquito-control-association/volume-22/issue-3/8756-971X_2006_22_507_PARBMR_2.0.CO_2/PMD-a-Registered-Botanical-Mosquito-Repellent-with-Deet-Like-Efficacy/10.2987/8756-971X(2006)22[507:PARBMR]2.0.CO;2.full&quot;,&quot;issued&quot;:{&quot;date-parts&quot;:[[2006,9,1]]},&quot;page&quot;:&quot;507-514&quot;,&quot;abstract&quot;:&quot;para-Menthane-3,8-diol(PMD) is a monoterpene spent product of the distillation of leaves of the Australian lemon-scented gum tree (updated nomenclature Corymbia citriodora ssp. citriodora). In April 2005, the U.S. Centers for Disease Control and Prevention (CDC) endorsed two non-deet mosquito repellents, including PMD. However, few mosquito professionals have in-depth familiarity with the history and efficacy of PMD. In this article, we describe the origin and development of PMD as a repellent and offer a comprehensive review of its performance against Aedes, Anopheles, Culex, and Ochlerotatus. In addition, we present original data from field and laboratory studies involving large numbers of subjects and comparisons with high-concentration deet and other repellents. We conclude that not only is the CDC endorsement warranted but also that it probably underestimates the value of PMD as a deet alternative for public health applications.&quot;,&quot;publisher&quot;:&quot;The American Mosquito Control Association&quot;,&quot;issue&quot;:&quot;3&quot;,&quot;volume&quot;:&quot;22&quot;,&quot;container-title-short&quot;:&quot;&quot;},&quot;isTemporary&quot;:false}]},{&quot;citationID&quot;:&quot;MENDELEY_CITATION_b1e23a23-7f22-4e43-98e5-4c4d79f66a6f&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47121ce-806e-4716-b8e4-d54965d81cc5&quot;,&quot;properties&quot;:{&quot;noteIndex&quot;:0},&quot;isEdited&quot;:false,&quot;manualOverride&quot;:{&quot;isManuallyOverridden&quot;:false,&quot;citeprocText&quot;:&quot;(Trongtokit et al., 2005)&quot;,&quot;manualOverrideText&quot;:&quot;&quot;},&quot;citationTag&quot;:&quot;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quot;,&quot;citationItems&quot;:[{&quot;id&quot;:&quot;0368302b-1532-3cfb-bb4d-f11518a808f3&quot;,&quot;itemData&quot;:{&quot;type&quot;:&quot;article-journal&quot;,&quot;id&quot;:&quot;0368302b-1532-3cfb-bb4d-f11518a808f3&quot;,&quot;title&quot;:&quot;Comparative repellency of 38 essential oils against mosquito bites&quot;,&quot;author&quot;:[{&quot;family&quot;:&quot;Trongtokit&quot;,&quot;given&quot;:&quot;Yuwadee&quot;,&quot;parse-names&quot;:false,&quot;dropping-particle&quot;:&quot;&quot;,&quot;non-dropping-particle&quot;:&quot;&quot;},{&quot;family&quot;:&quot;Rongsriyam&quot;,&quot;given&quot;:&quot;Yupha&quot;,&quot;parse-names&quot;:false,&quot;dropping-particle&quot;:&quot;&quot;,&quot;non-dropping-particle&quot;:&quot;&quot;},{&quot;family&quot;:&quot;Komalamisra&quot;,&quot;given&quot;:&quot;Narumon&quot;,&quot;parse-names&quot;:false,&quot;dropping-particle&quot;:&quot;&quot;,&quot;non-dropping-particle&quot;:&quot;&quot;},{&quot;family&quot;:&quot;Apiwathnasorn&quot;,&quot;given&quot;:&quot;Chamnarn&quot;,&quot;parse-names&quot;:false,&quot;dropping-particle&quot;:&quot;&quot;,&quot;non-dropping-particle&quot;:&quot;&quot;}],&quot;container-title&quot;:&quot;Phytotherapy Research&quot;,&quot;accessed&quot;:{&quot;date-parts&quot;:[[2026,5,19]]},&quot;DOI&quot;:&quot;10.1002/PTR.1637&quot;,&quot;ISSN&quot;:&quot;0951418X&quot;,&quot;PMID&quot;:&quot;16041723&quot;,&quot;URL&quot;:&quot;https://www.researchgate.net/publication/7703294_Comparative_repellency_of_38_essential_oils_against_mosquito_bites&quot;,&quot;issued&quot;:{&quot;date-parts&quot;:[[2005,4]]},&quot;page&quot;:&quot;303-309&quot;,&quot;abstract&quot;:&quot;The mosquito repellent activity of 38 essential oils from plants at three concentrations was screened against the mosquito Aedes aegypti under laboratory conditions using human subjects. On a volunteer's forearm, 0.1 mL of oil was applied per 30 cm2 of exposed skin. When the tested oils were applied at a 10% or 50% concentration, none of them prevented mosquito bites for as long as 2 h, but the undiluted oils of Cymbopogon nardus (citronella), Pogostemon cablin (patchuli), Syzygium aromaticum (clove) and Zanthoxylum limonella (Thai name: makaen) were the most effective and provided 2 h of complete repellency. From these initial results, three concentrations (10%, 50% and undiluted) of citronella, patchouli, clove and makaen were selected for repellency tests against Culex quinquefasciatus and Anopheles dirus. As expected, the undiluted oil showed the highest protection in each case. Clove oil gave the longest duration of 100% repellency (2-4 h) against all three species of mosquito. Copyright © 2005 John Wiley &amp; Sons, Ltd.&quot;,&quot;issue&quot;:&quot;4&quot;,&quot;volume&quot;:&quot;19&quot;,&quot;container-title-short&quot;:&quot;&quot;},&quot;isTemporary&quot;:false,&quot;suppress-author&quot;:false,&quot;composite&quot;:false,&quot;author-only&quot;:false}]},{&quot;citationID&quot;:&quot;MENDELEY_CITATION_01bfe644-f83b-4e3e-bba6-87e4c14b03f2&quot;,&quot;properties&quot;:{&quot;noteIndex&quot;:0},&quot;isEdited&quot;:false,&quot;manualOverride&quot;:{&quot;isManuallyOverridden&quot;:false,&quot;citeprocText&quot;:&quot;(Nerio et al., 2010)&quot;,&quot;manualOverrideText&quot;:&quot;&quot;},&quot;citationTag&quot;:&quot;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5be4c8da-7220-4b0c-ac6f-af7d8082da55&quot;,&quot;properties&quot;:{&quot;noteIndex&quot;:0},&quot;isEdited&quot;:false,&quot;manualOverride&quot;:{&quot;isManuallyOverridden&quot;:false,&quot;citeprocText&quot;:&quot;(Maia &amp;#38; Moore, 2011)&quot;,&quot;manualOverrideText&quot;:&quot;&quot;},&quot;citationTag&quot;:&quot;MENDELEY_CITATION_v3_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&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citationID&quot;:&quot;MENDELEY_CITATION_6690feca-b2db-43c6-b3dc-a2ec5097a478&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NjY5MGZlY2EtYjJkYi00M2M2LWIzZGMtYTJlYzUwOTdhNDc4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baca3213-91fa-4d66-9bd0-178bf896d90a&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citationID&quot;:&quot;MENDELEY_CITATION_bed43fcc-11f3-4df5-9d9c-6891f63b2aad&quot;,&quot;properties&quot;:{&quot;noteIndex&quot;:0},&quot;isEdited&quot;:false,&quot;manualOverride&quot;:{&quot;isManuallyOverridden&quot;:false,&quot;citeprocText&quot;:&quot;(Solomon et al., 2012)&quot;,&quot;manualOverrideText&quot;:&quot;&quot;},&quot;citationTag&quot;:&quot;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aae9eb71-4b39-4594-8951-37441424bce0&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quot;citationID&quot;:&quot;MENDELEY_CITATION_e0fd11e9-5550-4a6f-8e40-316e1c27b5e8&quot;,&quot;properties&quot;:{&quot;noteIndex&quot;:0},&quot;isEdited&quot;:false,&quot;manualOverride&quot;:{&quot;isManuallyOverridden&quot;:false,&quot;citeprocText&quot;:&quot;(Pulido et al., 2022)&quot;,&quot;manualOverrideText&quot;:&quot;&quot;},&quot;citationTag&quot;:&quot;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quot;,&quot;citationItems&quot;:[{&quot;id&quot;:&quot;1d215c57-ed45-3f04-84b1-d33e4ed2a1ee&quot;,&quot;itemData&quot;:{&quot;type&quot;:&quot;article-journal&quot;,&quot;id&quot;:&quot;1d215c57-ed45-3f04-84b1-d33e4ed2a1ee&quot;,&quot;title&quot;:&quot;Differentiation of action mechanisms between natural and synthetic repellents through neuronal electroantennogram and proteomic in Aedes aegypti (Diptera: Culicidae)&quot;,&quot;author&quot;:[{&quot;family&quot;:&quot;Pulido&quot;,&quot;given&quot;:&quot;Johan Sebastián Portilla&quot;,&quot;parse-names&quot;:false,&quot;dropping-particle&quot;:&quot;&quot;,&quot;non-dropping-particle&quot;:&quot;&quot;},{&quot;family&quot;:&quot;Duitama&quot;,&quot;given&quot;:&quot;Diana Lizeth Urbina&quot;,&quot;parse-names&quot;:false,&quot;dropping-particle&quot;:&quot;&quot;,&quot;non-dropping-particle&quot;:&quot;&quot;},{&quot;family&quot;:&quot;Velasquez-Martinez&quot;,&quot;given&quot;:&quot;María Carolina&quot;,&quot;parse-names&quot;:false,&quot;dropping-particle&quot;:&quot;&quot;,&quot;non-dropping-particle&quot;:&quot;&quot;},{&quot;family&quot;:&quot;Mendez-Sanchez&quot;,&quot;given&quot;:&quot;Stelia Carolina&quot;,&quot;parse-names&quot;:false,&quot;dropping-particle&quot;:&quot;&quot;,&quot;non-dropping-particle&quot;:&quot;&quot;},{&quot;family&quot;:&quot;Duque&quot;,&quot;given&quot;:&quot;Jonny Edward&quot;,&quot;parse-names&quot;:false,&quot;dropping-particle&quot;:&quot;&quot;,&quot;non-dropping-particle&quot;:&quot;&quot;}],&quot;container-title&quot;:&quot;Scientific Reports 2022 12:1&quot;,&quot;accessed&quot;:{&quot;date-parts&quot;:[[2026,5,20]]},&quot;DOI&quot;:&quot;10.1038/s41598-022-24923-x&quot;,&quot;ISBN&quot;:&quot;0123456789&quot;,&quot;ISSN&quot;:&quot;2045-2322&quot;,&quot;PMID&quot;:&quot;36437275&quot;,&quot;URL&quot;:&quot;https://www.nature.com/articles/s41598-022-24923-x&quot;,&quot;issued&quot;:{&quot;date-parts&quot;:[[2022,11,27]]},&quot;page&quot;:&quot;20397-&quot;,&quot;abstract&quot;:&quot;Natural-based compounds with repellent activity arise nowadays with the possibility to replace commercial synthetic repellents wholly or partially, such as N,N-Diethyl-m-toluamide (DEET). It is due to DEET's demonstrated toxicity and cutaneous irritation for human beings. Besides, research recommends avoiding using it with kids and pregnant women. The search for a repellent product implies early stages of detailed research that resolve the modes of action against the target insect. Therefore the objective of the current study was to analyze neuronal electrophysiological signals and olfactory system protein expression when the Aedes aegypti mosquito with exposition to natural-based repellents. Adult females of Ae. aegypti of Rockefeller strain were exposed to specific concentrations of repellent compounds like geranyl acetate, α-bisabolol, nerolidol, and DEET. The neuronal effect was measured by electroantennography technique, and the effect of exposure to either DEET or a mixture of natural molecules on protein expression was determined with 2D-PAGE followed by MALDI-TOF-mass spectrometry (MS). This approach revealed that DEET affected proteins related to synapses and ATP production, whereas natural-based repellents increased transport, signaling, and detoxification proteins. The proteomic and electrophysiology experiments demonstrated that repellent exposure disrupts ionic channel activity and modifies neuronal synapse and energy production processes.&quot;,&quot;publisher&quot;:&quot;Nature Publishing Group&quot;,&quot;issue&quot;:&quot;1&quot;,&quot;volume&quot;:&quot;12&quot;,&quot;container-title-short&quot;:&quot;&quot;},&quot;isTemporary&quot;:false}]},{&quot;citationID&quot;:&quot;MENDELEY_CITATION_4a9318df-b1b3-4501-824c-751cd02fc7b9&quot;,&quot;properties&quot;:{&quot;noteIndex&quot;:0},&quot;isEdited&quot;:false,&quot;manualOverride&quot;:{&quot;isManuallyOverridden&quot;:false,&quot;citeprocText&quot;:&quot;(Chatterjee et al., 2023)&quot;,&quot;manualOverrideText&quot;:&quot;&quot;},&quot;citationTag&quot;:&quot;MENDELEY_CITATION_v3_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&quot;,&quot;citationItems&quot;:[{&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4462d854-4789-4be7-a420-eba05abad4f2&quot;,&quot;properties&quot;:{&quot;noteIndex&quot;:0},&quot;isEdited&quot;:false,&quot;manualOverride&quot;:{&quot;isManuallyOverridden&quot;:false,&quot;citeprocText&quot;:&quot;(Drapeau et al., 2011)&quot;,&quot;manualOverrideText&quot;:&quot;&quot;},&quot;citationTag&quot;:&quot;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quot;,&quot;citationItems&quot;:[{&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citationID&quot;:&quot;MENDELEY_CITATION_7446afad-62e6-4218-9e64-8e8a62ca2bf9&quot;,&quot;properties&quot;:{&quot;noteIndex&quot;:0},&quot;isEdited&quot;:false,&quot;manualOverride&quot;:{&quot;isManuallyOverridden&quot;:false,&quot;citeprocText&quot;:&quot;(Silva et al., 2006)&quot;,&quot;manualOverrideText&quot;:&quot;&quot;},&quot;citationTag&quot;:&quot;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quot;,&quot;citationItems&quot;:[{&quot;id&quot;:&quot;38d920a7-f317-3b21-86df-bfd9453e2925&quot;,&quot;itemData&quot;:{&quot;type&quot;:&quot;article-journal&quot;,&quot;id&quot;:&quot;38d920a7-f317-3b21-86df-bfd9453e2925&quot;,&quot;title&quot;:&quot;Larvicidal effect of andiroba oil, Carapa guianensis (Meliaceae), against Aedes aegypti.&quot;,&quot;author&quot;:[{&quot;family&quot;:&quot;Silva&quot;,&quot;given&quot;:&quot;Onilda S.&quot;,&quot;parse-names&quot;:false,&quot;dropping-particle&quot;:&quot;&quot;,&quot;non-dropping-particle&quot;:&quot;&quot;},{&quot;family&quot;:&quot;Prophiro&quot;,&quot;given&quot;:&quot;Josiane S.&quot;,&quot;parse-names&quot;:false,&quot;dropping-particle&quot;:&quot;&quot;,&quot;non-dropping-particle&quot;:&quot;&quot;},{&quot;family&quot;:&quot;Nogared&quot;,&quot;given&quot;:&quot;Juliana C.&quot;,&quot;parse-names&quot;:false,&quot;dropping-particle&quot;:&quot;&quot;,&quot;non-dropping-particle&quot;:&quot;&quot;},{&quot;family&quot;:&quot;Kanis&quot;,&quot;given&quot;:&quot;Luiz&quot;,&quot;parse-names&quot;:false,&quot;dropping-particle&quot;:&quot;&quot;,&quot;non-dropping-particle&quot;:&quot;&quot;},{&quot;family&quot;:&quot;Emerick&quot;,&quot;given&quot;:&quot;Sheila&quot;,&quot;parse-names&quot;:false,&quot;dropping-particle&quot;:&quot;&quot;,&quot;non-dropping-particle&quot;:&quot;&quot;},{&quot;family&quot;:&quot;Blazlus&quot;,&quot;given&quot;:&quot;Rene D.&quot;,&quot;parse-names&quot;:false,&quot;dropping-particle&quot;:&quot;&quot;,&quot;non-dropping-particle&quot;:&quot;&quot;},{&quot;family&quot;:&quot;Romao&quot;,&quot;given&quot;:&quot;Pedro R.T.&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8756-971x(2006)22[699:leoaoc]2.0.co;2&quot;,&quot;ISSN&quot;:&quot;8756-971X&quot;,&quot;PMID&quot;:&quot;17304939&quot;,&quot;URL&quot;:&quot;https://europepmc.org/article/MED/17304939&quot;,&quot;issued&quot;:{&quot;date-parts&quot;:[[2006,12,1]]},&quot;page&quot;:&quot;699-701&quot;,&quot;abstract&quot;:&quot;The aim of this work was to evaluate the larvicidal effect of andiroba oil, Carapa guyanensis, against 2 strains of Aedes aegypti. After 8 h after exposure to oil, the lethal concentration (LC)90 and LC95 values for the GCZ (temephos-resistant) strain larvae were 80 and 86 ppm (1st instars), 98 and 106 (2nd instars), 166 and 182 (3rd instars), and 192 and 202 ppm (4th instars), respectively. The LC90 and LC95 values for the Rockefeller strain larvae were 164 and 182 ppm (1st instars), 212 and 224 (2nd instars), 210 and 226 (3rd instars), and 450 and 490 ppm (4th instars), respectively. Comparison of the 2 laboratory strains of Ae. aegypti in the present study demonstrated significant variation in the susceptibility of larvae to andiroba oil. Whether a higher susceptibility of field populations of Ae. aegypti to andiroba oil occurs remains to be investigated. Copyright © 2006 by The American Mosquito Control Association, Inc.&quot;,&quot;issue&quot;:&quot;4&quot;,&quot;volume&quot;:&quot;22&quot;},&quot;isTemporary&quot;:false}]},{&quot;citationID&quot;:&quot;MENDELEY_CITATION_0482713f-ba21-43b5-bd1e-ca1eb51b9e4d&quot;,&quot;properties&quot;:{&quot;noteIndex&quot;:0},&quot;isEdited&quot;:false,&quot;manualOverride&quot;:{&quot;isManuallyOverridden&quot;:false,&quot;citeprocText&quot;:&quot;(Budiman et al., 2022)&quot;,&quot;manualOverrideText&quot;:&quot;&quot;},&quot;citationTag&quot;:&quot;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quot;,&quot;citationItems&quot;:[{&quot;id&quot;:&quot;a9f545e7-471d-38ed-a826-51b40475d666&quot;,&quot;itemData&quot;:{&quot;type&quot;:&quot;article-journal&quot;,&quot;id&quot;:&quot;a9f545e7-471d-38ed-a826-51b40475d666&quot;,&quot;title&quot;:&quot;Effectiveness of Clove Oil (Syzigium aromaticum) as Biolarvacide of Aedes aegypti&quot;,&quot;author&quot;:[{&quot;family&quot;:&quot;Budiman&quot;,&quot;given&quot;:&quot;&quot;,&quot;parse-names&quot;:false,&quot;dropping-particle&quot;:&quot;&quot;,&quot;non-dropping-particle&quot;:&quot;&quot;},{&quot;family&quot;:&quot;Ishak&quot;,&quot;given&quot;:&quot;Hasanuddin&quot;,&quot;parse-names&quot;:false,&quot;dropping-particle&quot;:&quot;&quot;,&quot;non-dropping-particle&quot;:&quot;&quot;},{&quot;family&quot;:&quot;Stang&quot;,&quot;given&quot;:&quot;&quot;,&quot;parse-names&quot;:false,&quot;dropping-particle&quot;:&quot;&quot;,&quot;non-dropping-particle&quot;:&quot;&quot;},{&quot;family&quot;:&quot;Ibrahim&quot;,&quot;given&quot;:&quot;Erniwati&quot;,&quot;parse-names&quot;:false,&quot;dropping-particle&quot;:&quot;&quot;,&quot;non-dropping-particle&quot;:&quot;&quot;},{&quot;family&quot;:&quot;Yudhastuti&quot;,&quot;given&quot;:&quot;Ririh&quot;,&quot;parse-names&quot;:false,&quot;dropping-particle&quot;:&quot;&quot;,&quot;non-dropping-particle&quot;:&quot;&quot;},{&quot;family&quot;:&quot;Maidin&quot;,&quot;given&quot;:&quot;Alimin&quot;,&quot;parse-names&quot;:false,&quot;dropping-particle&quot;:&quot;&quot;,&quot;non-dropping-particle&quot;:&quot;&quot;},{&quot;family&quot;:&quot;Naiem&quot;,&quot;given&quot;:&quot;Furqaan&quot;,&quot;parse-names&quot;:false,&quot;dropping-particle&quot;:&quot;&quot;,&quot;non-dropping-particle&quot;:&quot;&quot;},{&quot;family&quot;:&quot;Wahid&quot;,&quot;given&quot;:&quot;Isra&quot;,&quot;parse-names&quot;:false,&quot;dropping-particle&quot;:&quot;&quot;,&quot;non-dropping-particle&quot;:&quot;&quot;},{&quot;family&quot;:&quot;Mallongi&quot;,&quot;given&quot;:&quot;Anwar&quot;,&quot;parse-names&quot;:false,&quot;dropping-particle&quot;:&quot;&quot;,&quot;non-dropping-particle&quot;:&quot;&quot;}],&quot;container-title&quot;:&quot;Biomedical and Pharmacology Journal&quot;,&quot;accessed&quot;:{&quot;date-parts&quot;:[[2026,5,20]]},&quot;DOI&quot;:&quot;10.13005/BPJ/2566&quot;,&quot;ISSN&quot;:&quot;24562610&quot;,&quot;issued&quot;:{&quot;date-parts&quot;:[[2022,12,1]]},&quot;page&quot;:&quot;2287-2292&quot;,&quot;abstract&quot;:&quot;The vector control that is often done so far is by chemical control, which will continually have a negative impact. Therefore, it is necessary to control methods that are more friendly to the environment, effective and efficient, and safe for health, one of which is the use of essential oils from plants. Clove (Syzigium aromaticum) is one of the plants that can be used as an alternative larvicide to kill mosquito vectors because it contains many chemical compounds, including eugenol compounds, eugenol acetate, methyl eugenol, b-caryophyllene, methyl eugenol, saponins, flavonoids and larvicidal tannins. This study aims to determine the effectiveness of clove leaf waste oil (Syzygium) as a biolarvicide for the Aedes aegypti mosquito. The research method used is experimental with a Quasi-Experimental Design approach and Post-test Control Group Design. The object of this research is clove leaf waste oil (Syzigium aromaticum) that has been obtained from the distillation of dried clove leaf waste. The object of this research is the third-stage larvae and adult Aedes aegypti mosquitoes obtained by rearing or self-reproducing mosquitoes in the laboratory. The bioassay test method used a glass test vessel with a volume of 200 ml of solution consisting of a mixture of water (aquades) with clove leaf waste oil. This study used a treatment concentration of 0.006%; 0.007%; 0.008%; 0.009% and 0.01%. The control used aquades (0%). Then put 25 Aedes aegypti larvae in the test container and then observe the number of mortality larvae during 24 hours of observation. Results: The results showed that clove (Syzygium aromaticum) leaf waste oil was effective as a biolarvicide with LC50 at a concentration of 0.005% and Kruskal Wallis test value of 0.000 (P&lt;0.05) which means that there is significant difference in the number of deaths of Aedes aegypti mosquito larvae at each concentration. Clove leaf waste oil (Syzygium aromaticum) is effective as a biolarvicide for Aedes aegypti mosquitoes.&quot;,&quot;publisher&quot;:&quot;Oriental Scientific Publishing Company&quot;,&quot;issue&quot;:&quot;4&quot;,&quot;volume&quot;:&quot;15&quot;,&quot;container-title-short&quot;:&quot;&quot;},&quot;isTemporary&quot;:false}]},{&quot;citationID&quot;:&quot;MENDELEY_CITATION_6ec169f4-c57b-484f-abed-9131d981d1e8&quot;,&quot;properties&quot;:{&quot;noteIndex&quot;:0},&quot;isEdited&quot;:false,&quot;manualOverride&quot;:{&quot;isManuallyOverridden&quot;:false,&quot;citeprocText&quot;:&quot;(Farooq et al., 2022)&quot;,&quot;manualOverrideText&quot;:&quot;&quot;},&quot;citationTag&quot;:&quot;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quot;,&quot;citationItems&quot;:[{&quot;id&quot;:&quot;fb8ee490-ff76-37f6-966c-f8e89af7fdb6&quot;,&quot;itemData&quot;:{&quot;type&quot;:&quot;article-journal&quot;,&quot;id&quot;:&quot;fb8ee490-ff76-37f6-966c-f8e89af7fdb6&quot;,&quot;title&quot;:&quot;Evaluation of Essential Oils as Spatial Repellents Against Aedes aegypti in an Olfactometer&quot;,&quot;author&quot;:[{&quot;family&quot;:&quot;Farooq&quot;,&quot;given&quot;:&quot;Muhammad&quot;,&quot;parse-names&quot;:false,&quot;dropping-particle&quot;:&quot;&quot;,&quot;non-dropping-particle&quot;:&quot;&quot;},{&quot;family&quot;:&quot;Bangonan&quot;,&quot;given&quot;:&quot;Lea&quot;,&quot;parse-names&quot;:false,&quot;dropping-particle&quot;:&quot;&quot;,&quot;non-dropping-particle&quot;:&quot;&quot;},{&quot;family&quot;:&quot;Xue&quot;,&quot;given&quot;:&quot;Rui&quot;,&quot;parse-names&quot;:false,&quot;dropping-particle&quot;:&quot;De&quot;,&quot;non-dropping-particle&quot;:&quot;&quot;},{&quot;family&quot;:&quot;Talbalaghi&quot;,&quot;given&quot;:&quot;Asghar&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22-7090&quot;,&quot;ISSN&quot;:&quot;1943-6270&quot;,&quot;PMID&quot;:&quot;36351363&quot;,&quot;URL&quot;:&quot;https://pubmed.ncbi.nlm.nih.gov/36351363/&quot;,&quot;issued&quot;:{&quot;date-parts&quot;:[[2022,12,1]]},&quot;page&quot;:&quot;261-267&quot;,&quot;abstract&quot;:&quot;Spatial repellents are becoming an integral part of the integrated mosquito management and are considered another tool to prevent mosquito-borne diseases. They are also gaining attention as a potential disease transmission breaking strategy. Current vector control practices are losing their viability due to resistance development in arthropods to synthetic pesticides. Economic feasibility of developing natural products is driving towards search for natural products as spatial repellents evidenced by increase in number of their studies. Different volumes (0.0625, 0.125, 0.25, 0.5 ml) of clove oil, eucalyptus oil, geraniol, Immortelle oil, lemongrass oil, and RepelCare (mixture of turmeric oil and eucalyptus oil) were evaluated for their repellency against Aedes aegypti, replicating each test 5 times. Biogents lure and fresh air were used as control. The evaluations were conducted in a True Choice olfactometer by passing air carrying 2 vapors from 2 different products, i.e., an attractant, repellent, or clean air, through 2 chambers and providing mosquitoes an option to move to the chamber of their choice. For each run, 24-h-starved 15-20 female Ae. aegypti were released into the mosquito release chamber and number of mosquitoes in the 2-choice chambers and the mosquito release chamber were counted after 15 min and recorded. The difference in mosquitoes between 2 chambers indicated presence or absence of repellency. All the natural oils and RepelCare provided ≥70% repellency, except for Immortelle oil which had no repellency. All repellents tested except Immortelle and lemongrass oils showed increase in repellency with increase in application volume. However, minimum application volume to be effective was different for each oil. Lemongrass is the only oil which showed a peak at 0.125-ml volume.&quot;,&quot;publisher&quot;:&quot;J Am Mosq Control Assoc&quot;,&quot;issue&quot;:&quot;4&quot;,&quot;volume&quot;:&quot;38&quot;},&quot;isTemporary&quot;:false}]},{&quot;citationID&quot;:&quot;MENDELEY_CITATION_021baed9-3ce1-42ca-976e-e5b9d101f837&quot;,&quot;properties&quot;:{&quot;noteIndex&quot;:0},&quot;isEdited&quot;:false,&quot;manualOverride&quot;:{&quot;isManuallyOverridden&quot;:true,&quot;citeprocText&quot;:&quot;(C. O. Aniefuna et al., 2025)&quot;,&quot;manualOverrideText&quot;:&quot;(Aniefuna et al., 2025)&quot;},&quot;citationTag&quot;:&quot;MENDELEY_CITATION_v3_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&quot;,&quot;citationItems&quot;:[{&quot;id&quot;:&quot;1d01e5e0-fe94-3b25-a9f0-04033e4cb821&quot;,&quot;itemData&quot;:{&quot;type&quot;:&quot;article-journal&quot;,&quot;id&quot;:&quot;1d01e5e0-fe94-3b25-a9f0-04033e4cb821&quot;,&quot;title&quot;:&quot;Bio-activity of Ocimum gratissimum Essential Oil on Aedes aegypti Mosquitoes Towards Vector Control&quot;,&quot;author&quot;:[{&quot;family&quot;:&quot;Aniefuna&quot;,&quot;given&quot;:&quot;C. O&quot;,&quot;parse-names&quot;:false,&quot;dropping-particle&quot;:&quot;&quot;,&quot;non-dropping-particle&quot;:&quot;&quot;},{&quot;family&quot;:&quot;Nwankwo&quot;,&quot;given&quot;:&quot;E. N&quot;,&quot;parse-names&quot;:false,&quot;dropping-particle&quot;:&quot;&quot;,&quot;non-dropping-particle&quot;:&quot;&quot;},{&quot;family&quot;:&quot;EOgbuefi&quot;,&quot;given&quot;:&quot;. O&quot;,&quot;parse-names&quot;:false,&quot;dropping-particle&quot;:&quot;&quot;,&quot;non-dropping-particle&quot;:&quot;&quot;},{&quot;family&quot;:&quot;Chukwudike&quot;,&quot;given&quot;:&quot;C.O&quot;,&quot;parse-names&quot;:false,&quot;dropping-particle&quot;:&quot;&quot;,&quot;non-dropping-particle&quot;:&quot;&quot;},{&quot;family&quot;:&quot;Chukwudike&quot;,&quot;given&quot;:&quot;K.C&quot;,&quot;parse-names&quot;:false,&quot;dropping-particle&quot;:&quot;&quot;,&quot;non-dropping-particle&quot;:&quot;&quot;},{&quot;family&quot;:&quot;Ikpeze&quot;,&quot;given&quot;:&quot;O.O&quot;,&quot;parse-names&quot;:false,&quot;dropping-particle&quot;:&quot;&quot;,&quot;non-dropping-particle&quot;:&quot;&quot;},{&quot;family&quot;:&quot;Ononye&quot;,&quot;given&quot;:&quot;B.U&quot;,&quot;parse-names&quot;:false,&quot;dropping-particle&quot;:&quot;&quot;,&quot;non-dropping-particle&quot;:&quot;&quot;},{&quot;family&quot;:&quot;Ifejika&quot;,&quot;given&quot;:&quot;C.C&quot;,&quot;parse-names&quot;:false,&quot;dropping-particle&quot;:&quot;&quot;,&quot;non-dropping-particle&quot;:&quot;&quot;},{&quot;family&quot;:&quot;C.C.&quot;,&quot;given&quot;:&quot;Obasi&quot;,&quot;parse-names&quot;:false,&quot;dropping-particle&quot;:&quot;&quot;,&quot;non-dropping-particle&quot;:&quot;&quot;}],&quot;container-title&quot;:&quot;Asian Journal of Research in Zoology&quot;,&quot;accessed&quot;:{&quot;date-parts&quot;:[[2026,5,20]]},&quot;DOI&quot;:&quot;10.9734/AJRIZ/2025/V8I3202&quot;,&quot;issued&quot;:{&quot;date-parts&quot;:[[2025,6,23]]},&quot;page&quot;:&quot;16-29&quot;,&quot;abstract&quot;:&quot;Aedes aegypti mosquito is a notorious vector which transmits various diseases in Nigeria especially yellow fever virus. To that regards, the need to control the vector is not only crucial but urgent. Therefore the effect of varying concentrations of Ocimum gratissimum leaf-oil extract on Aedes aegypti larvae and adults was studied between January 2023 and June 2024. Essential oil from authenticated fresh samples of O. gratissimum leaves were extracted by steam distillation. Bioactive constituents of the oil were analyzed by gas chromatography. The extracted oil taken as 100% concentration was serially diluted to 20%, 10%, 5%, 2.5%, and 1.25% used for larval bioassays and adult repellency tests. Concentrations (20%, 10%, 5%, 2.5%, 1.25% w/w) of oil-based creams were formulated for repellency tests. Plain petroleum jelly and Odomos® (12% DEET) served as negative and positive controls, respectively. Aedes aegypti eggs from National Arbovirus and Vector Research Centre Enugu were reared to 4th instar larvae and adults for the study. Log-probit regression produced LC₅₀ and LT₅₀ while two-way ANOVA indicated significant differences (p&lt;0.05) between mortality and repellency regarding concentrations and exposure times. Bioactive components of essential oil included ephedrine, tannin, flavonones, cardiac glycoside, ocimene, and decanal. In-vivo, 1.25% concentration caused 41.3% larval mortality (LC₅₀=2.4%; LT₅₀=7h). Simulated trails with encapsulated essential oils and oil-based creams exhibited comparable effects observed with pure essential oil. There was higher mortality and repellency effects at elevated concentrations. The essential oil of O. gratissimum has demonstrated larvicidal and adult repellency properties so that further research is urgently required to develop the oil for sustainable eco-friendly vector control.&quot;,&quot;publisher&quot;:&quot;Sciencedomain International&quot;,&quot;issue&quot;:&quot;3&quot;,&quot;volume&quot;:&quot;8&quot;},&quot;isTemporary&quot;:false}]},{&quot;citationID&quot;:&quot;MENDELEY_CITATION_a217eca4-428f-4a18-904d-b0dde79c88a4&quot;,&quot;properties&quot;:{&quot;noteIndex&quot;:0},&quot;isEdited&quot;:false,&quot;manualOverride&quot;:{&quot;isManuallyOverridden&quot;:false,&quot;citeprocText&quot;:&quot;(de Souza et al., 2019)&quot;,&quot;manualOverrideText&quot;:&quot;&quot;},&quot;citationTag&quot;:&quot;MENDELEY_CITATION_v3_eyJjaXRhdGlvbklEIjoiTUVOREVMRVlfQ0lUQVRJT05fYTIxN2VjYTQtNDI4Zi00YTE4LTkwNGQtYjBkZGU3OWM4OGE0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quot;,&quot;citationItems&quot;:[{&quot;id&quot;:&quot;cfa04fa9-0448-338e-b202-1f3dab05997e&quot;,&quot;itemData&quot;:{&quot;type&quot;:&quot;article-journal&quot;,&quot;id&quot;:&quot;cfa04fa9-0448-338e-b202-1f3dab05997e&quot;,&quot;title&quot;:&quot;Adulticide and repellent activity of essential oils against Aedes aegypti (Diptera: Culicidae) – A review&quot;,&quot;author&quot;:[{&quot;family&quot;:&quot;Souza&quot;,&quot;given&quot;:&quot;M. A.&quot;,&quot;parse-names&quot;:false,&quot;dropping-particle&quot;:&quot;&quot;,&quot;non-dropping-particle&quot;:&quot;de&quot;},{&quot;family&quot;:&quot;Silva&quot;,&quot;given&quot;:&quot;L.&quot;,&quot;parse-names&quot;:false,&quot;dropping-particle&quot;:&quot;&quot;,&quot;non-dropping-particle&quot;:&quot;da&quot;},{&quot;family&quot;:&quot;Macêdo&quot;,&quot;given&quot;:&quot;M. J.F.&quot;,&quot;parse-names&quot;:false,&quot;dropping-particle&quot;:&quot;&quot;,&quot;non-dropping-particle&quot;:&quot;&quot;},{&quot;family&quot;:&quot;Lacerda-Neto&quot;,&quot;given&quot;:&quot;L. J.&quot;,&quot;parse-names&quot;:false,&quot;dropping-particle&quot;:&quot;&quot;,&quot;non-dropping-particle&quot;:&quot;&quot;},{&quot;family&quot;:&quot;Santos&quot;,&quot;given&quot;:&quot;M. A.C.&quot;,&quot;parse-names&quot;:false,&quot;dropping-particle&quot;:&quot;&quot;,&quot;non-dropping-particle&quot;:&quot;dos&quot;},{&quot;family&quot;:&quot;Coutinho&quot;,&quot;given&quot;:&quot;H. D.M.&quot;,&quot;parse-names&quot;:false,&quot;dropping-particle&quot;:&quot;&quot;,&quot;non-dropping-particle&quot;:&quot;&quot;},{&quot;family&quot;:&quot;Cunha&quot;,&quot;given&quot;:&quot;F. A.B.&quot;,&quot;parse-names&quot;:false,&quot;dropping-particle&quot;:&quot;&quot;,&quot;non-dropping-particle&quot;:&quot;&quot;}],&quot;container-title&quot;:&quot;South African Journal of Botany&quot;,&quot;accessed&quot;:{&quot;date-parts&quot;:[[2026,5,3]]},&quot;DOI&quot;:&quot;10.1016/J.SAJB.2019.05.007&quot;,&quot;ISSN&quot;:&quot;0254-6299&quot;,&quot;URL&quot;:&quot;https://www.sciencedirect.com/science/article/pii/S0254629919305356&quot;,&quot;issued&quot;:{&quot;date-parts&quot;:[[2019,8,1]]},&quot;page&quot;:&quot;160-165&quot;,&quot;abstract&quot;:&quot;Aedes aegypti (Ae. aegypti) is responsible for the spread of diseases that compromise public health such as dengue fever, urban yellow fever, chikungunya and zika. Synthetic insecticides are used to control Ae. aegypti, however, this substance use results in vector resistance and environment contamination. Essential oils (OEs) derived from plants are natural alternatives to replace the commercial synthetic insecticides and repellents, since they present components that may be toxic to this vector. This review had as its objective to research the literature surrounding the repellent and adulticide action of essential oils against Ae. aegypti, using electronic research databases (Pubmed, Science Direct and Scielo), to provide an overall view on the plant species used to obtain EOs, the plant parts, extraction methods and analytical techniques used as well as the major components in the EOs. The data showed 16 families, 35 genera and 49 species, with Lamiaceae, Zingiberaceae, Myrtaceae and Rutaceae families being the ones with the most species. Moreover, all plant parts were shown to be used to extract essential oils, especially with hydro-distillation and steam-distillation methods, with Gas Chromatography coupled to Mass Spectrometry (GC–MS) as the main analytical technique. The data revealed the chemical composition of EOs, especially of terpenes. Therefore, essential oils are promising options for the production of natural insecticides due many reasons: they are less harmful to human beings and to the environment; they can be used in association with synthetic insecticides and repellents, reducing the concentration used of the last ones; and can be produced in a perennial manner by producers, using subproducts from the crop industries. By all these reasons, they can be used in insect vector control programs, rather than using synthetic insecticides.&quot;,&quot;publisher&quot;:&quot;Elsevier&quot;,&quot;volume&quot;:&quot;124&quot;,&quot;container-title-short&quot;:&quot;&quot;},&quot;isTemporary&quot;:false}]},{&quot;citationID&quot;:&quot;MENDELEY_CITATION_f2d7ffc0-1761-4593-8d5d-ab1a4c7fc0c0&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2b871f59-5994-466e-9e8e-b6e737bb4257&quot;,&quot;properties&quot;:{&quot;noteIndex&quot;:0},&quot;isEdited&quot;:false,&quot;manualOverride&quot;:{&quot;isManuallyOverridden&quot;:false,&quot;citeprocText&quot;:&quot;(Arpiwi et al., 2020)&quot;,&quot;manualOverrideText&quot;:&quot;&quot;},&quot;citationTag&quot;:&quot;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J9LCJpc1RlbXBvcmFyeSI6ZmFsc2V9XX0=&quot;,&quot;citationItems&quot;:[{&quot;id&quot;:&quot;7512736c-f7b5-30d2-b981-aa714b375f1a&quot;,&quot;itemData&quot;:{&quot;type&quot;:&quot;article-journal&quot;,&quot;id&quot;:&quot;7512736c-f7b5-30d2-b981-aa714b375f1a&quot;,&quot;title&quot;:&quot;Essential oil from cymbopogon nardus and repellant activity against aedes aegypti&quot;,&quot;author&quot;:[{&quot;family&quot;:&quot;Arpiwi&quot;,&quot;given&quot;:&quot;Ni Luh&quot;,&quot;parse-names&quot;:false,&quot;dropping-particle&quot;:&quot;&quot;,&quot;non-dropping-particle&quot;:&quot;&quot;},{&quot;family&quot;:&quot;Muksin&quot;,&quot;given&quot;:&quot;I. Ketut&quot;,&quot;parse-names&quot;:false,&quot;dropping-particle&quot;:&quot;&quot;,&quot;non-dropping-particle&quot;:&quot;&quot;},{&quot;family&quot;:&quot;Kartini&quot;,&quot;given&quot;:&quot;Ni Luh&quot;,&quot;parse-names&quot;:false,&quot;dropping-particle&quot;:&quot;&quot;,&quot;non-dropping-particle&quot;:&quot;&quot;}],&quot;container-title&quot;:&quot;Biodiversitas&quot;,&quot;accessed&quot;:{&quot;date-parts&quot;:[[2026,5,20]]},&quot;DOI&quot;:&quot;10.13057/BIODIV/D210857&quot;,&quot;ISSN&quot;:&quot;20854722&quot;,&quot;issued&quot;:{&quot;date-parts&quot;:[[2020,8,1]]},&quot;page&quot;:&quot;3873-3878&quot;,&quot;abstract&quot;:&quot;Cymbopogon nardus (L.) Rendle is an aromatic grass from the Poaceae family that produces essential oil mainly in the leaves. The essential oil from C. nardus is known as citronella oil has repellent activity. This research aimed to quantify the oil content of C. nardus leaves, to analyze the essential oil quality, to analyze the repellent activity of lotion with different concentrations of citronella oil against Aedes aegypti, and to examine the quality of formulated lotions. The oil was extracted from leaves using steam distillation, and the quality was examined according to the Indonesian National Standard. The citronella oil was formulated into a lotion with five concentrations (0, 2, 3, 4, 5% w/w). Repellent activity of the lotions against Ae. aegypti was tested using screened cage test method under laboratory conditions. Lotion quality was analyzed for pH, viscosity, homogeneity, and sensorial assessments. The result showed that the oil yield of C. nardus leaves was 0.9% w/w. The color of the oil was pale yellow, specific weight was 0.8819, the refraction index was 1.464, total geraniol was 72.71%, citronellal content was 49.14%, and solubility in 80% alcohol 1:2 was clear. The repellent activity of lotions with citronella oil was concentration-dependent, where a concentration of 5% gave the highest protection. The quality of formulated lotions met the standard and the lotions were nonirritant.&quot;,&quot;publisher&quot;:&quot;Society for Indonesian Biodiversity&quot;,&quot;issue&quot;:&quot;8&quot;,&quot;volume&quot;:&quot;21&quot;},&quot;isTemporary&quot;:false}]},{&quot;citationID&quot;:&quot;MENDELEY_CITATION_482e42b3-94f6-4636-97fc-304c29274c1c&quot;,&quot;properties&quot;:{&quot;noteIndex&quot;:0},&quot;isEdited&quot;:false,&quot;manualOverride&quot;:{&quot;isManuallyOverridden&quot;:false,&quot;citeprocText&quot;:&quot;(Deng et al., 2023)&quot;,&quot;manualOverrideText&quot;:&quot;&quot;},&quot;citationTag&quot;:&quot;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quot;,&quot;citationItems&quot;:[{&quot;id&quot;:&quot;4e1055d3-fcfb-3ef1-aff9-31741d0e8791&quot;,&quot;itemData&quot;:{&quot;type&quot;:&quot;article-journal&quot;,&quot;id&quot;:&quot;4e1055d3-fcfb-3ef1-aff9-31741d0e8791&quot;,&quot;title&quot;:&quot;Repellent Screening of Selected Plant Essential Oils Against Dengue Fever Mosquitoes Using Behavior Bioassays&quot;,&quot;author&quot;:[{&quot;family&quot;:&quot;Deng&quot;,&quot;given&quot;:&quot;Wan&quot;,&quot;parse-names&quot;:false,&quot;dropping-particle&quot;:&quot;&quot;,&quot;non-dropping-particle&quot;:&quot;&quot;},{&quot;family&quot;:&quot;Li&quot;,&quot;given&quot;:&quot;Mi&quot;,&quot;parse-names&quot;:false,&quot;dropping-particle&quot;:&quot;&quot;,&quot;non-dropping-particle&quot;:&quot;&quot;},{&quot;family&quot;:&quot;Liu&quot;,&quot;given&quot;:&quot;Sisi&quot;,&quot;parse-names&quot;:false,&quot;dropping-particle&quot;:&quot;&quot;,&quot;non-dropping-particle&quot;:&quot;&quot;},{&quot;family&quot;:&quot;Logan&quot;,&quot;given&quot;:&quot;James G.&quot;,&quot;parse-names&quot;:false,&quot;dropping-particle&quot;:&quot;&quot;,&quot;non-dropping-particle&quot;:&quot;&quot;},{&quot;family&quot;:&quot;Mo&quot;,&quot;given&quot;:&quot;Jianchu&quot;,&quot;parse-names&quot;:false,&quot;dropping-particle&quot;:&quot;&quot;,&quot;non-dropping-particle&quot;:&quot;&quot;}],&quot;container-title&quot;:&quot;Neotropical Entomology 2023 52:3&quot;,&quot;accessed&quot;:{&quot;date-parts&quot;:[[2026,5,20]]},&quot;DOI&quot;:&quot;10.1007/S13744-023-01039-Z&quot;,&quot;ISBN&quot;:&quot;0123456789&quot;,&quot;ISSN&quot;:&quot;1678-8052&quot;,&quot;PMID&quot;:&quot;36928838&quot;,&quot;URL&quot;:&quot;https://link.springer.com/article/10.1007/s13744-023-01039-z&quot;,&quot;issued&quot;:{&quot;date-parts&quot;:[[2023,3,16]]},&quot;page&quot;:&quot;521-529&quot;,&quot;abstract&quot;:&quot;Among the efforts to reduce mosquito-transmitted diseases, such as malaria and dengue fever, essential oils (EOs) have become increasingly popular as natural replacements for the repellant DEET. In this study, seven commercially available plant EOs against Aedes species mosquitoes were evaluated for their complete protection time (CPT, min) in vivo using human-hand in cage tests (GB2009/China and WHO2009). Among the EOs with the highest efficacy in repelling mosquitoes, Aedes albopictus&amp;nbsp;(Skuse) were clove bud oil and patchouli oil. Both were further assessed according to the in vivo method recommended by the WHO, to determine their minimum effective dose and CPT. A comparison of the ED50 values (dose yielding a 50% repellent response) of these two EOs against Aedes aegypti(L.) showed that the ED50 (2.496&amp;nbsp;µg/cm2) of patchouli oil was 1248 times higher than that of clove bud oil (0.002&amp;nbsp;µg/cm2), thus demonstrating them greater efficacy of the latter in repelling Ae. aegypti mosquitoes. For the 2 EOs, eugenol was the major component with higher than 80% in relative amount of the clove bud oil. The patchouli oil had more than 30% of character chemical patchouli alcohol along with α-bulnesene (10.962%), α-guaiene (9.227%), and seychellene (7.566%). Clove bud oil was found to confer longer complete protection than patchouli oil against a common species of mosquito. These results suggest use of EOs as safe, highly potent repellents for use in daily life and against mosquito-transmitted diseases, such as malaria and dengue fever.&quot;,&quot;publisher&quot;:&quot;Springer&quot;,&quot;issue&quot;:&quot;3&quot;,&quot;volume&quot;:&quot;52&quot;,&quot;container-title-short&quot;:&quot;&quot;},&quot;isTemporary&quot;:false}]},{&quot;citationID&quot;:&quot;MENDELEY_CITATION_973b0979-c266-4722-a228-21155cd1fc04&quot;,&quot;properties&quot;:{&quot;noteIndex&quot;:0},&quot;isEdited&quot;:false,&quot;manualOverride&quot;:{&quot;isManuallyOverridden&quot;:false,&quot;citeprocText&quot;:&quot;(Zulfikar et al., 2019)&quot;,&quot;manualOverrideText&quot;:&quot;&quot;},&quot;citationTag&quot;:&quot;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quot;,&quot;citationItems&quot;:[{&quot;id&quot;:&quot;d2a1eb7a-8432-3bce-9602-d635c1f67f9d&quot;,&quot;itemData&quot;:{&quot;type&quot;:&quot;article-journal&quot;,&quot;id&quot;:&quot;d2a1eb7a-8432-3bce-9602-d635c1f67f9d&quot;,&quot;title&quot;:&quot;The effect of lemongrass (Cymbopogon nardus) extract as insecticide against Aedes aegypti&quot;,&quot;author&quot;:[{&quot;family&quot;:&quot;Zulfikar&quot;,&quot;given&quot;:&quot;Zulfikar&quot;,&quot;parse-names&quot;:false,&quot;dropping-particle&quot;:&quot;&quot;,&quot;non-dropping-particle&quot;:&quot;&quot;},{&quot;family&quot;:&quot;Sitepu&quot;,&quot;given&quot;:&quot;Frans Yosep&quot;,&quot;parse-names&quot;:false,&quot;dropping-particle&quot;:&quot;&quot;,&quot;non-dropping-particle&quot;:&quot;&quot;},{&quot;family&quot;:&quot;Zulfikar&quot;,&quot;given&quot;:&quot;Wiwit&quot;,&quot;parse-names&quot;:false,&quot;dropping-particle&quot;:&quot;&quot;,&quot;non-dropping-particle&quot;:&quot;&quot;}],&quot;container-title&quot;:&quot;International Journal of Mosquito Research&quot;,&quot;container-title-short&quot;:&quot;Int. J. Mosq. Res.&quot;,&quot;accessed&quot;:{&quot;date-parts&quot;:[[2026,5,3]]},&quot;URL&quot;:&quot;https://www.researchgate.net/publication/331371544_The_effect_of_lemongrass_Cymbopogon_nardus_extract_as_insecticide_against_Aedes_aegypti&quot;,&quot;issued&quot;:{&quot;date-parts&quot;:[[2019]]},&quot;page&quot;:&quot;101-103&quot;,&quot;issue&quot;:&quot;1&quot;,&quot;volume&quot;:&quot;6&quot;},&quot;isTemporary&quot;:false}]},{&quot;citationID&quot;:&quot;MENDELEY_CITATION_f4599b72-5812-47e4-8f84-2cefa661f16d&quot;,&quot;properties&quot;:{&quot;noteIndex&quot;:0},&quot;isEdited&quot;:false,&quot;manualOverride&quot;:{&quot;isManuallyOverridden&quot;:false,&quot;citeprocText&quot;:&quot;(Goodyer et al., 2020)&quot;,&quot;manualOverrideText&quot;:&quot;&quot;},&quot;citationTag&quot;:&quot;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quot;,&quot;citationItems&quot;:[{&quot;id&quot;:&quot;ed504a3e-255f-38e2-9b74-277ca7eae2e5&quot;,&quot;itemData&quot;:{&quot;type&quot;:&quot;article-journal&quot;,&quot;id&quot;:&quot;ed504a3e-255f-38e2-9b74-277ca7eae2e5&quot;,&quot;title&quot;:&quot;Characterisation of actions of p-menthane-3,8-diol repellent formulations against Aedes aegypti mosquitoes&quot;,&quot;author&quot;:[{&quot;family&quot;:&quot;Goodyer&quot;,&quot;given&quot;:&quot;Larry&quot;,&quot;parse-names&quot;:false,&quot;dropping-particle&quot;:&quot;&quot;,&quot;non-dropping-particle&quot;:&quot;&quot;},{&quot;family&quot;:&quot;Grootveld&quot;,&quot;given&quot;:&quot;Martin&quot;,&quot;parse-names&quot;:false,&quot;dropping-particle&quot;:&quot;&quot;,&quot;non-dropping-particle&quot;:&quot;&quot;},{&quot;family&quot;:&quot;Deobhankar&quot;,&quot;given&quot;:&quot;Kedar&quot;,&quot;parse-names&quot;:false,&quot;dropping-particle&quot;:&quot;&quot;,&quot;non-dropping-particle&quot;:&quot;&quot;},{&quot;family&quot;:&quot;Debboun&quot;,&quot;given&quot;:&quot;Mustapha&quot;,&quot;parse-names&quot;:false,&quot;dropping-particle&quot;:&quot;&quot;,&quot;non-dropping-particle&quot;:&quot;&quot;},{&quot;family&quot;:&quot;Philip&quot;,&quot;given&quot;:&quot;Manju&quot;,&quot;parse-names&quot;:false,&quot;dropping-particle&quot;:&quot;&quot;,&quot;non-dropping-particle&quot;:&quot;&quot;}],&quot;container-title&quot;:&quot;Transactions of The Royal Society of Tropical Medicine and Hygiene&quot;,&quot;container-title-short&quot;:&quot;Trans. R. Soc. Trop. Med. Hyg.&quot;,&quot;accessed&quot;:{&quot;date-parts&quot;:[[2026,5,20]]},&quot;DOI&quot;:&quot;10.1093/TRSTMH/TRAA045&quot;,&quot;ISSN&quot;:&quot;0035-9203&quot;,&quot;PMID&quot;:&quot;32542324&quot;,&quot;URL&quot;:&quot;https://dx.doi.org/10.1093/trstmh/traa045&quot;,&quot;issued&quot;:{&quot;date-parts&quot;:[[2020,9,1]]},&quot;page&quot;:&quot;687-692&quot;,&quot;abstract&quot;:&quot;Background: Characterisation of mosquito repellents using arm-in-cage tests are performed by assessing the 95% effective dose (ED95), half-life and complete protection time (CPT). This study fully characterizes these properties for p-menthane-3,8-diol (PMD), which has not been widely studied, and a long-acting formulation containing a PMD-vanillin composite. Methods: A series of arm-in-cage tests against Aedes aegypti (Diptera: Culicidae) mosquitoes were devised using 6 volunteers to estimate CPT or 10 to estimate the ED95 and half-lives for three repellents: 20% N,N-diethyl-3- methylbenzamide (DEET), 30% PMD and a novel 30% PMD-vanillin formulation. Non-linear regression analysis was used to characterize the relationship between applied dose and CPT. Results: PMD and DEET showed a very similar log dose relationship to CPT; however, the PMD-vanillin formulation exhibited a sigmoidal 'S-shaped' relationship. This resulted in a 1.5-fold higher CPT for PMD-vanillin compared with that of 20% DEET when applied at a dose of 1.6 mg/cm2, but little difference was observed at lower doses of 0.8-1 mg/cm2. The ED95 value for the 30% PMD and PMD-vanillin formulations were 0.25 and 0.24 mg/cm2, respectively, these being higher than that for 20% DEET (0.09 mg/cm2). The half-lives for 30% PMD and 20% DEET were similar (2.23 vs. 2.74 h), but longer for the PMD-vanillin formulations (3.8 h). Conclusions: A full characterisation for other repellent formulations, particularly those claiming extended longevity, should be conducted in order to identify differences at various applied doses.&quot;,&quot;publisher&quot;:&quot;Oxford Academic&quot;,&quot;issue&quot;:&quot;9&quot;,&quot;volume&quot;:&quot;114&quot;},&quot;isTemporary&quot;:false}]},{&quot;citationID&quot;:&quot;MENDELEY_CITATION_fa396b64-e0d0-4f54-8bd3-fb97559d3258&quot;,&quot;properties&quot;:{&quot;noteIndex&quot;:0},&quot;isEdited&quot;:false,&quot;manualOverride&quot;:{&quot;isManuallyOverridden&quot;:false,&quot;citeprocText&quot;:&quot;(Iqbal et al., 2022)&quot;,&quot;manualOverrideText&quot;:&quot;&quot;},&quot;citationTag&quot;:&quot;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citationID&quot;:&quot;MENDELEY_CITATION_71dc0305-b16a-4655-bf6c-a51232e398d4&quot;,&quot;properties&quot;:{&quot;noteIndex&quot;:0},&quot;isEdited&quot;:false,&quot;manualOverride&quot;:{&quot;isManuallyOverridden&quot;:false,&quot;citeprocText&quot;:&quot;(Yavasoglu et al., 2025)&quot;,&quot;manualOverrideText&quot;:&quot;&quot;},&quot;citationTag&quot;:&quot;MENDELEY_CITATION_v3_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citationID&quot;:&quot;MENDELEY_CITATION_af248726-0387-4b02-ac4f-b6f27f048224&quot;,&quot;properties&quot;:{&quot;noteIndex&quot;:0},&quot;isEdited&quot;:false,&quot;manualOverride&quot;:{&quot;isManuallyOverridden&quot;:false,&quot;citeprocText&quot;:&quot;(Haris et al., 2023)&quot;,&quot;manualOverrideText&quot;:&quot;&quot;},&quot;citationTag&quot;:&quot;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quot;,&quot;citationItems&quot;:[{&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container-title-short&quot;:&quot;&quot;},&quot;isTemporary&quot;:false}]},{&quot;citationID&quot;:&quot;MENDELEY_CITATION_878607ab-b3ec-4f45-92ea-ba2e19c6b1c7&quot;,&quot;properties&quot;:{&quot;noteIndex&quot;:0},&quot;isEdited&quot;:false,&quot;manualOverride&quot;:{&quot;isManuallyOverridden&quot;:false,&quot;citeprocText&quot;:&quot;(Li et al., 2026)&quot;,&quot;manualOverrideText&quot;:&quot;&quot;},&quot;citationTag&quot;:&quot;MENDELEY_CITATION_v3_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&quot;,&quot;citationItems&quot;:[{&quot;id&quot;:&quot;672a44f3-7d33-3c6b-a7cb-f34cd53a51e4&quot;,&quot;itemData&quot;:{&quot;type&quot;:&quot;article-journal&quot;,&quot;id&quot;:&quot;672a44f3-7d33-3c6b-a7cb-f34cd53a51e4&quot;,&quot;title&quot;:&quot;TRPA1-kinase axis polarization: Nepetalactone drives pest repulsion and predator attraction via divergent PKC/CaMKII signaling&quot;,&quot;author&quot;:[{&quot;family&quot;:&quot;Li&quot;,&quot;given&quot;:&quot;Jianying&quot;,&quot;parse-names&quot;:false,&quot;dropping-particle&quot;:&quot;&quot;,&quot;non-dropping-particle&quot;:&quot;&quot;},{&quot;family&quot;:&quot;Wang&quot;,&quot;given&quot;:&quot;Bo&quot;,&quot;parse-names&quot;:false,&quot;dropping-particle&quot;:&quot;&quot;,&quot;non-dropping-particle&quot;:&quot;&quot;},{&quot;family&quot;:&quot;Wang&quot;,&quot;given&quot;:&quot;Yilin&quot;,&quot;parse-names&quot;:false,&quot;dropping-particle&quot;:&quot;&quot;,&quot;non-dropping-particle&quot;:&quot;&quot;},{&quot;family&quot;:&quot;Li&quot;,&quot;given&quot;:&quot;Fen&quot;,&quot;parse-names&quot;:false,&quot;dropping-particle&quot;:&quot;&quot;,&quot;non-dropping-particle&quot;:&quot;&quot;},{&quot;family&quot;:&quot;Li&quot;,&quot;given&quot;:&quot;Zhen&quot;,&quot;parse-names&quot;:false,&quot;dropping-particle&quot;:&quot;&quot;,&quot;non-dropping-particle&quot;:&quot;&quot;},{&quot;family&quot;:&quot;Liu&quot;,&quot;given&quot;:&quot;Xiaoxia&quot;,&quot;parse-names&quot;:false,&quot;dropping-particle&quot;:&quot;&quot;,&quot;non-dropping-particle&quot;:&quot;&quot;},{&quot;family&quot;:&quot;Zhang&quot;,&quot;given&quot;:&quot;Songdou&quot;,&quot;parse-names&quot;:false,&quot;dropping-particle&quot;:&quot;&quot;,&quot;non-dropping-particle&quot;:&quot;&quot;}],&quot;container-title&quot;:&quot;Journal of Advanced Research&quot;,&quot;container-title-short&quot;:&quot;J. Adv. Res.&quot;,&quot;accessed&quot;:{&quot;date-parts&quot;:[[2026,5,20]]},&quot;DOI&quot;:&quot;10.1016/J.JARE.2025.07.026&quot;,&quot;ISSN&quot;:&quot;2090-1232&quot;,&quot;URL&quot;:&quot;https://www.sciencedirect.com/science/article/pii/S2090123225005557&quot;,&quot;issued&quot;:{&quot;date-parts&quot;:[[2026,4,1]]},&quot;page&quot;:&quot;141-153&quot;,&quot;abstract&quot;:&quot;Introduction: Nepetalactone, an iridoid compound derived from Nepeta cataria, is a potent TRPA1 agonist known to repel hematophagous insects. However, its ecological roles and molecular mechanisms within agricultural ecosystems remain largely unexplored. Objectives: This study aimed to investigate: (1) the species-specific effects of nepetalactone on pests and predator insects, (2) its action on TRPA1 orthologs, and (3) its potential for push–pull pest control strategies. Methods: We employed multi-tiered approaches including behavioral assays (two-choice tests, Y-tube olfactometry), molecular techniques (RNAi, qRT-PCR, FISH, Western blot), calcium imaging, and electrophysiology to assess behavioral responses and underlying mechanisms. Field trials further validated pest suppression efficacy. Results: Nepetalactone exhibits dual functionality: it activates TRPA1 orthologs through conserved cysteine-rich domains, triggering calcium influx and aversion in three sap-sucking pests (Cacopsylla chinensis, Diaphorina citri, Megalurothrips usitatus; Order: Hemiptera). Conversely, it paradoxically attracts two predatory ladybeetles (Harmonia axyridis, Propylea japonica). Mechanistically, this behavioral dichotomy arises form divergent downstream kinase signaling – PKCα mediates repellency in pests, whereas CaMKII drives attraction in predators – despite conserved TRPA1 activation. Field trails validated operational synergy: nepetalactone combined with predatory ladybeetles achieving &gt;90 % pest suppression through integrated push–pull effects. Our integrated approach (calcium imaging, RNAi, electrophysiology) reveals that TRPA1-kinase axis polarization governs species-specific chemoperception. Conclusion: These findings resolve the ecological paradox wherein a single semiochemical elicits opposing trophic behaviors. nepetalactone is established as a keystone agent for sustainable pest management, providing a molecular blueprint for engineering TRPA1-targeted repellents. Furthermore, it advances push–pull strategies by exploiting predator-pest signaling networks.&quot;,&quot;publisher&quot;:&quot;Elsevier&quot;,&quot;volume&quot;:&quot;82&quot;},&quot;isTemporary&quot;:false}]},{&quot;citationID&quot;:&quot;MENDELEY_CITATION_591dc032-a4c7-4ea6-99d5-898ead55b86e&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quot;,&quot;citationItems&quot;:[{&quot;id&quot;:&quot;995f0366-3715-35b3-b6f8-20507a156838&quot;,&quot;itemData&quot;:{&quot;type&quot;:&quot;article-journal&quot;,&quot;id&quot;:&quot;995f0366-3715-35b3-b6f8-20507a156838&quot;,&quot;title&quot;:&quot;Evaluating Oviposition Deterrent, Larvicidal and Repellent Effects of Different Plant Extracts and Their Combinations against Aedes aegypti&quot;,&quot;author&quot;:[{&quot;family&quot;:&quot;Majeed&quot;,&quot;given&quot;:&quot;Shahid&quot;,&quot;parse-names&quot;:false,&quot;dropping-particle&quot;:&quot;&quot;,&quot;non-dropping-particle&quot;:&quot;&quot;},{&quot;family&quot;:&quot;Ishaq&quot;,&quot;given&quot;:&quot;Amna&quot;,&quot;parse-names&quot;:false,&quot;dropping-particle&quot;:&quot;&quot;,&quot;non-dropping-particle&quot;:&quot;&quot;},{&quot;family&quot;:&quot;Javaid&quot;,&quot;given&quot;:&quot;Rameen&quot;,&quot;parse-names&quot;:false,&quot;dropping-particle&quot;:&quot;&quot;,&quot;non-dropping-particle&quot;:&quot;&quot;},{&quot;family&quot;:&quot;Sharif&quot;,&quot;given&quot;:&quot;Rao Muhammad Sajjad&quot;,&quot;parse-names&quot;:false,&quot;dropping-particle&quot;:&quot;&quot;,&quot;non-dropping-particle&quot;:&quot;&quot;},{&quot;family&quot;:&quot;Iftikhar&quot;,&quot;given&quot;:&quot;Sana&quot;,&quot;parse-names&quot;:false,&quot;dropping-particle&quot;:&quot;&quot;,&quot;non-dropping-particle&quot;:&quot;&quot;},{&quot;family&quot;:&quot;Akbar&quot;,&quot;given&quot;:&quot;Rabia&quot;,&quot;parse-names&quot;:false,&quot;dropping-particle&quot;:&quot;&quot;,&quot;non-dropping-particle&quot;:&quot;&quot;},{&quot;family&quot;:&quot;Rahman&quot;,&quot;given&quot;:&quot;Abdur&quot;,&quot;parse-names&quot;:false,&quot;dropping-particle&quot;:&quot;&quot;,&quot;non-dropping-particle&quot;:&quot;&quot;}],&quot;accessed&quot;:{&quot;date-parts&quot;:[[2026,5,20]]},&quot;DOI&quot;:&quot;10.21203/RS.3.RS-3394457/V1&quot;,&quot;URL&quot;:&quot;https://www.researchsquare.com/article/rs-3394457/v1&quot;,&quot;issued&quot;:{&quot;date-parts&quot;:[[2023,10,17]]},&quot;abstract&quot;:&quot;&lt;p&gt; Mosquitoes are significantly important in public health as they transmit many vector-borne diseases like dengue fever (DF), malaria, and filariasis to millions of people worldwide. Although there is no effective vaccination for the prevention of dengue, avoiding mosquito bites is one method to control mosquito populations. Due to the extensive uses of synthetic repellent,’ mosquitoes established resistance against them. The plant-based extracts are used as an alternative to targeted insecticides. Therefore, current study aimed to examine the oviposition-deterrent, larvicidal and repellent efficacy of plant-based extracts Clove ( &lt;italic&gt;Syzygium aromaticum)&lt;/italic&gt; , Cinnamon ( &lt;italic&gt;Cinnamomum verum&lt;/italic&gt; ), Lemon ( &lt;italic&gt;Citrus limon)&lt;/italic&gt; , Orange ( &lt;italic&gt;Citrus sinensis&lt;/italic&gt; ), Onion ( &lt;italic&gt;Allium cepa&lt;/italic&gt; ), Garlic ( &lt;italic&gt;Allium sativum&lt;/italic&gt; ), Lemon grass ( &lt;italic&gt;Cymbopogon citratus&lt;/italic&gt; ), and Aloe vera ( &lt;italic&gt;Aloe barbadensis&lt;/italic&gt; Miller) against &lt;italic&gt;Aedes aegypti&lt;/italic&gt; under laboratory conditions. The maximum repellency was observed by clove, and lemon peel plant extract compared to all other botanical plants. However, lemon, clove, garlic, onion, and garlic with lemongrass are promising for oviposition control. While, clove, lemon peel, orange and lemon peels, and lemongrass combination for larvicidal control. In terms of repellents, the most suspected repellent plants showed by the combinations of (Olive oil, lemon peel, citrus peel, lemongrass, Aloe vera), (Olive oil, lemon peel, citrus peel, lemongrass), (Olive oil, lemon peels, citrus peels, Aloe vera), such as 19.85, 19.85,19.84 repellency value along with 100% protection time up to 1 h. The establishment of plant-based products against &lt;italic&gt;Aedes aegypti&lt;/italic&gt; , complemented with insecticidal activity, could lead to an innovative approach to managing mosquito populations and disease vectors. &lt;/p&gt;&quot;,&quot;container-title-short&quot;:&quot;&quot;},&quot;isTemporary&quot;:false}]},{&quot;citationID&quot;:&quot;MENDELEY_CITATION_6e8a70b6-bd31-4472-9ed6-ee1a16c80c82&quot;,&quot;properties&quot;:{&quot;noteIndex&quot;:0},&quot;isEdited&quot;:false,&quot;manualOverride&quot;:{&quot;isManuallyOverridden&quot;:false,&quot;citeprocText&quot;:&quot;(Obi et al., 2024)&quot;,&quot;manualOverrideText&quot;:&quot;&quot;},&quot;citationTag&quot;:&quot;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container-title-short&quot;:&quot;&quot;},&quot;isTemporary&quot;:false}]},{&quot;citationID&quot;:&quot;MENDELEY_CITATION_ea9a41f3-b4ae-4f8d-a168-62eff95f21d5&quot;,&quot;properties&quot;:{&quot;noteIndex&quot;:0},&quot;isEdited&quot;:false,&quot;manualOverride&quot;:{&quot;isManuallyOverridden&quot;:false,&quot;citeprocText&quot;:&quot;(Adhikari et al., 2022)&quot;,&quot;manualOverrideText&quot;:&quot;&quot;},&quot;citationTag&quot;:&quot;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quot;,&quot;citationItems&quot;:[{&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container-title-short&quot;:&quot;&quot;},&quot;isTemporary&quot;:false}]},{&quot;citationID&quot;:&quot;MENDELEY_CITATION_571950ca-c033-43bd-8252-9aa723b37143&quot;,&quot;properties&quot;:{&quot;noteIndex&quot;:0},&quot;isEdited&quot;:false,&quot;manualOverride&quot;:{&quot;isManuallyOverridden&quot;:false,&quot;citeprocText&quot;:&quot;(Maia &amp;#38; Moore, 2011; Nerio et al., 2010)&quot;,&quot;manualOverrideText&quot;:&quot;&quot;},&quot;citationTag&quot;:&quot;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suppress-author&quot;:false,&quot;composite&quot;:false,&quot;author-onl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206b5de5-565c-4711-a2dd-5f71acb61d47&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suppress-author&quot;:false,&quot;composite&quot;:false,&quot;author-only&quot;:false}]},{&quot;citationID&quot;:&quot;MENDELEY_CITATION_8a04227a-e295-414e-9180-58503e423632&quot;,&quot;properties&quot;:{&quot;noteIndex&quot;:0},&quot;isEdited&quot;:false,&quot;manualOverride&quot;:{&quot;isManuallyOverridden&quot;:false,&quot;citeprocText&quot;:&quot;(Chatterjee et al., 2023; Iqbal et al., 2022)&quot;,&quot;manualOverrideText&quot;:&quot;&quot;},&quot;citationTag&quot;:&quot;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5fadac17-cd15-46de-a9b0-ec735d8c4d6c&quot;,&quot;properties&quot;:{&quot;noteIndex&quot;:0},&quot;isEdited&quot;:false,&quot;manualOverride&quot;:{&quot;isManuallyOverridden&quot;:true,&quot;citeprocText&quot;:&quot;(Goodyer &amp;#38; Schofield, 2018)&quot;,&quot;manualOverrideText&quot;:&quot;Goodyer &amp; Schofield, 2018)&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Tag&quot;:&quot;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quot;},{&quot;citationID&quot;:&quot;MENDELEY_CITATION_82bc6fd6-3255-46a3-a9fa-f2eb295c684f&quot;,&quot;properties&quot;:{&quot;noteIndex&quot;:0},&quot;isEdited&quot;:false,&quot;manualOverride&quot;:{&quot;isManuallyOverridden&quot;:false,&quot;citeprocText&quot;:&quot;(Goodyer &amp;#38; Schofield, 2018)&quot;,&quot;manualOverrideText&quot;:&quot;&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Tag&quot;:&quot;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D&quot;:&quot;MENDELEY_CITATION_fd4003ed-cd23-41da-beb3-982a979f1e24&quot;,&quot;properties&quot;:{&quot;noteIndex&quot;:0},&quot;isEdited&quot;:false,&quot;manualOverride&quot;:{&quot;isManuallyOverridden&quot;:false,&quot;citeprocText&quot;:&quot;(Haris et al., 2023; Obi et al., 2024)&quot;,&quot;manualOverrideText&quot;:&quot;&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isTemporary&quot;:false},{&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isTemporary&quot;:false}],&quot;citationTag&quot;:&quot;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n0sImlzVGVtcG9yYXJ5IjpmYWxzZX1dfQ==&quot;},{&quot;citationID&quot;:&quot;MENDELEY_CITATION_13408a54-e56a-49c7-8751-5ce2652da3d3&quot;,&quot;properties&quot;:{&quot;noteIndex&quot;:0},&quot;isEdited&quot;:false,&quot;manualOverride&quot;:{&quot;isManuallyOverridden&quot;:false,&quot;citeprocText&quot;:&quot;(Drapeau et al., 2011; Solomon et al., 2012; Yavasoglu et al., 2025)&quot;,&quot;manualOverrideText&quot;:&quot;&quot;},&quot;citationTag&quot;:&quot;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9def7517-39db-494b-88a1-23e876445c50&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1ffa649-8869-4ad8-880b-1429476b6289&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cb970681-ec07-4b6a-9d1f-e87b943812d6&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057b3207-4234-4cde-b76c-31c3ae14f74a&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927483117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0F13E-02F2-4051-AB85-59253255E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22</Pages>
  <Words>6821</Words>
  <Characters>38881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 rahma</dc:creator>
  <cp:keywords/>
  <dc:description/>
  <cp:lastModifiedBy>PT ANOA MANDIRI SEJAHTERA</cp:lastModifiedBy>
  <cp:revision>41</cp:revision>
  <dcterms:created xsi:type="dcterms:W3CDTF">2026-05-22T02:44:00Z</dcterms:created>
  <dcterms:modified xsi:type="dcterms:W3CDTF">2026-05-22T07:58:00Z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fcf1663e-281e-474e-af98-3ca759d2db8d</vt:lpwstr>
  </property>
</Properties>
</file>