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59485" w14:textId="77777777" w:rsidR="002F7D66" w:rsidRPr="00A20750" w:rsidRDefault="00000000" w:rsidP="00256FF2">
      <w:pPr>
        <w:pStyle w:val="ListParagraph1"/>
        <w:spacing w:after="0" w:line="240" w:lineRule="auto"/>
        <w:ind w:left="0"/>
        <w:rPr>
          <w:rFonts w:ascii="Times New Roman" w:hAnsi="Times New Roman" w:cs="Times New Roman"/>
          <w:sz w:val="24"/>
          <w:szCs w:val="24"/>
        </w:rPr>
      </w:pPr>
      <w:bookmarkStart w:id="0" w:name="_Hlk130293823"/>
      <w:r w:rsidRPr="00A20750">
        <w:rPr>
          <w:rFonts w:ascii="Times New Roman" w:hAnsi="Times New Roman" w:cs="Times New Roman"/>
          <w:sz w:val="24"/>
          <w:szCs w:val="24"/>
        </w:rPr>
        <w:t xml:space="preserve">Type of Manuscript: </w:t>
      </w:r>
    </w:p>
    <w:p w14:paraId="1D4F92E7" w14:textId="77777777" w:rsidR="002F7D66" w:rsidRPr="00A20750" w:rsidRDefault="00000000" w:rsidP="00256FF2">
      <w:pPr>
        <w:tabs>
          <w:tab w:val="left" w:pos="0"/>
        </w:tabs>
        <w:spacing w:after="0" w:line="240" w:lineRule="auto"/>
        <w:jc w:val="both"/>
        <w:rPr>
          <w:rFonts w:ascii="Times New Roman" w:hAnsi="Times New Roman" w:cs="Times New Roman"/>
          <w:bCs/>
          <w:i/>
          <w:iCs/>
          <w:sz w:val="24"/>
          <w:szCs w:val="24"/>
          <w:u w:val="single"/>
        </w:rPr>
      </w:pPr>
      <w:r w:rsidRPr="00A20750">
        <w:rPr>
          <w:rFonts w:ascii="Times New Roman" w:hAnsi="Times New Roman" w:cs="Times New Roman"/>
          <w:bCs/>
          <w:i/>
          <w:iCs/>
          <w:sz w:val="24"/>
          <w:szCs w:val="24"/>
          <w:u w:val="single"/>
        </w:rPr>
        <w:t>Research</w:t>
      </w:r>
    </w:p>
    <w:p w14:paraId="10C36091" w14:textId="77777777" w:rsidR="002F7D66" w:rsidRPr="00A20750" w:rsidRDefault="002F7D66" w:rsidP="00256FF2">
      <w:pPr>
        <w:tabs>
          <w:tab w:val="left" w:pos="0"/>
        </w:tabs>
        <w:spacing w:after="0" w:line="240" w:lineRule="auto"/>
        <w:jc w:val="both"/>
        <w:rPr>
          <w:rFonts w:ascii="Times New Roman" w:hAnsi="Times New Roman" w:cs="Times New Roman"/>
          <w:b/>
          <w:sz w:val="24"/>
          <w:szCs w:val="24"/>
        </w:rPr>
      </w:pPr>
    </w:p>
    <w:p w14:paraId="6246161F" w14:textId="4BA1F21B" w:rsidR="009065A6" w:rsidRPr="00A20750" w:rsidRDefault="00E91078" w:rsidP="00256FF2">
      <w:pPr>
        <w:pStyle w:val="IOP-CS-Title"/>
        <w:spacing w:line="240" w:lineRule="auto"/>
        <w:rPr>
          <w:rFonts w:ascii="Times New Roman" w:hAnsi="Times New Roman" w:cs="Times New Roman"/>
          <w:sz w:val="24"/>
          <w:szCs w:val="24"/>
        </w:rPr>
      </w:pPr>
      <w:bookmarkStart w:id="1" w:name="_Hlk76812466"/>
      <w:bookmarkStart w:id="2" w:name="_Hlk164947491"/>
      <w:bookmarkEnd w:id="0"/>
      <w:r w:rsidRPr="00A20750">
        <w:rPr>
          <w:rFonts w:ascii="Times New Roman" w:hAnsi="Times New Roman" w:cs="Times New Roman"/>
          <w:sz w:val="24"/>
          <w:szCs w:val="24"/>
          <w:lang w:val="en-US"/>
        </w:rPr>
        <w:t>Hyperbaric Oxygen Therapy Reverses Periodontitis-Associated Porphyromonas gingivalis–Induced Cognitive Impairment in Sprague–Dawley Rats</w:t>
      </w:r>
    </w:p>
    <w:p w14:paraId="4966B537" w14:textId="1F75F7BC" w:rsidR="00233ECA" w:rsidRPr="00A20750" w:rsidRDefault="00233ECA" w:rsidP="00256FF2">
      <w:pPr>
        <w:spacing w:after="0" w:line="240" w:lineRule="auto"/>
        <w:jc w:val="both"/>
        <w:rPr>
          <w:rFonts w:ascii="Times New Roman" w:eastAsia="Times New Roman" w:hAnsi="Times New Roman" w:cs="Times New Roman"/>
          <w:b/>
          <w:bCs/>
          <w:sz w:val="24"/>
          <w:szCs w:val="24"/>
        </w:rPr>
      </w:pPr>
    </w:p>
    <w:bookmarkEnd w:id="1"/>
    <w:bookmarkEnd w:id="2"/>
    <w:p w14:paraId="3D358A90" w14:textId="1DB2658A" w:rsidR="002F7D66" w:rsidRPr="00A20750" w:rsidRDefault="00AF78BE" w:rsidP="00256FF2">
      <w:pPr>
        <w:spacing w:line="240" w:lineRule="auto"/>
        <w:jc w:val="both"/>
        <w:outlineLvl w:val="0"/>
        <w:rPr>
          <w:rFonts w:ascii="Times New Roman" w:hAnsi="Times New Roman" w:cs="Times New Roman"/>
          <w:b/>
          <w:sz w:val="24"/>
          <w:szCs w:val="24"/>
        </w:rPr>
      </w:pPr>
      <w:r w:rsidRPr="00A20750">
        <w:rPr>
          <w:rFonts w:ascii="Times New Roman" w:hAnsi="Times New Roman" w:cs="Times New Roman"/>
          <w:b/>
          <w:sz w:val="24"/>
          <w:szCs w:val="24"/>
        </w:rPr>
        <w:t>Abstract</w:t>
      </w:r>
    </w:p>
    <w:p w14:paraId="504F7BD2" w14:textId="7007820D" w:rsidR="00604DB0" w:rsidRPr="00A20750" w:rsidRDefault="00604DB0" w:rsidP="00256FF2">
      <w:pPr>
        <w:spacing w:after="0" w:line="240" w:lineRule="auto"/>
        <w:jc w:val="both"/>
        <w:outlineLvl w:val="0"/>
        <w:rPr>
          <w:rFonts w:ascii="Times New Roman" w:hAnsi="Times New Roman" w:cs="Times New Roman"/>
          <w:sz w:val="24"/>
          <w:szCs w:val="24"/>
          <w:lang w:val="en-ID"/>
        </w:rPr>
      </w:pPr>
      <w:r w:rsidRPr="00A20750">
        <w:rPr>
          <w:rFonts w:ascii="Times New Roman" w:hAnsi="Times New Roman" w:cs="Times New Roman"/>
          <w:b/>
          <w:bCs/>
          <w:sz w:val="24"/>
          <w:szCs w:val="24"/>
          <w:lang w:val="en-ID"/>
        </w:rPr>
        <w:t>Background:</w:t>
      </w:r>
      <w:r w:rsidRPr="00A20750">
        <w:rPr>
          <w:rFonts w:ascii="Times New Roman" w:hAnsi="Times New Roman" w:cs="Times New Roman"/>
          <w:sz w:val="24"/>
          <w:szCs w:val="24"/>
          <w:lang w:val="en-ID"/>
        </w:rPr>
        <w:t xml:space="preserve"> Porphyromonas gingivalis, a major periodontal pathogen, has been implicated in systemic inflammatory processes that may contribute to neuroinflammation and cognitive impairment. Hyperbaric Oxygen Therapy (HBOT) has been proposed as a potential therapeutic approach due to its anti-inflammatory and neuroprotective effects.</w:t>
      </w:r>
    </w:p>
    <w:p w14:paraId="144E08A0" w14:textId="2516211B" w:rsidR="00604DB0" w:rsidRPr="00A20750" w:rsidRDefault="00604DB0" w:rsidP="00256FF2">
      <w:pPr>
        <w:spacing w:after="0" w:line="240" w:lineRule="auto"/>
        <w:jc w:val="both"/>
        <w:outlineLvl w:val="0"/>
        <w:rPr>
          <w:rFonts w:ascii="Times New Roman" w:hAnsi="Times New Roman" w:cs="Times New Roman"/>
          <w:sz w:val="24"/>
          <w:szCs w:val="24"/>
          <w:lang w:val="en-ID"/>
        </w:rPr>
      </w:pPr>
      <w:r w:rsidRPr="00A20750">
        <w:rPr>
          <w:rFonts w:ascii="Times New Roman" w:hAnsi="Times New Roman" w:cs="Times New Roman"/>
          <w:b/>
          <w:bCs/>
          <w:sz w:val="24"/>
          <w:szCs w:val="24"/>
          <w:lang w:val="en-ID"/>
        </w:rPr>
        <w:t>Objective:</w:t>
      </w:r>
      <w:r w:rsidRPr="00A20750">
        <w:rPr>
          <w:rFonts w:ascii="Times New Roman" w:hAnsi="Times New Roman" w:cs="Times New Roman"/>
          <w:sz w:val="24"/>
          <w:szCs w:val="24"/>
          <w:lang w:val="en-ID"/>
        </w:rPr>
        <w:t xml:space="preserve"> This study aimed to evaluate the effect of HBOT on cognitive impairment induced by Porphyromonas gingivalis–associated periodontitis using a Sprague–Dawley rat model.</w:t>
      </w:r>
    </w:p>
    <w:p w14:paraId="10AD93BB" w14:textId="05239611" w:rsidR="00604DB0" w:rsidRPr="00A20750" w:rsidRDefault="00604DB0" w:rsidP="00256FF2">
      <w:pPr>
        <w:spacing w:after="0" w:line="240" w:lineRule="auto"/>
        <w:jc w:val="both"/>
        <w:outlineLvl w:val="0"/>
        <w:rPr>
          <w:rFonts w:ascii="Times New Roman" w:hAnsi="Times New Roman" w:cs="Times New Roman"/>
          <w:sz w:val="24"/>
          <w:szCs w:val="24"/>
          <w:lang w:val="en-ID"/>
        </w:rPr>
      </w:pPr>
      <w:r w:rsidRPr="00A20750">
        <w:rPr>
          <w:rFonts w:ascii="Times New Roman" w:hAnsi="Times New Roman" w:cs="Times New Roman"/>
          <w:b/>
          <w:bCs/>
          <w:sz w:val="24"/>
          <w:szCs w:val="24"/>
          <w:lang w:val="en-ID"/>
        </w:rPr>
        <w:t>Methods:</w:t>
      </w:r>
      <w:r w:rsidRPr="00A20750">
        <w:rPr>
          <w:rFonts w:ascii="Times New Roman" w:hAnsi="Times New Roman" w:cs="Times New Roman"/>
          <w:sz w:val="24"/>
          <w:szCs w:val="24"/>
          <w:lang w:val="en-ID"/>
        </w:rPr>
        <w:t xml:space="preserve"> An experimental study was conducted using 22 male Sprague–Dawley rats divided into control and treatment groups (n=11 each). Periodontitis was induced through gingival injection of P. gingivalis (1 × 10⁹ CFU/mL) for five weeks. HBOT was administered at 2.0 atmospheres absolute (ATA) for 60 minutes per session, five times per week for four weeks. Spatial working memory was evaluated using the Y-maze spontaneous alternation test at baseline, week 5 (post-induction), and week 9 (post-treatment). Data were </w:t>
      </w:r>
      <w:proofErr w:type="spellStart"/>
      <w:r w:rsidRPr="00A20750">
        <w:rPr>
          <w:rFonts w:ascii="Times New Roman" w:hAnsi="Times New Roman" w:cs="Times New Roman"/>
          <w:sz w:val="24"/>
          <w:szCs w:val="24"/>
          <w:lang w:val="en-ID"/>
        </w:rPr>
        <w:t>analyzed</w:t>
      </w:r>
      <w:proofErr w:type="spellEnd"/>
      <w:r w:rsidRPr="00A20750">
        <w:rPr>
          <w:rFonts w:ascii="Times New Roman" w:hAnsi="Times New Roman" w:cs="Times New Roman"/>
          <w:sz w:val="24"/>
          <w:szCs w:val="24"/>
          <w:lang w:val="en-ID"/>
        </w:rPr>
        <w:t xml:space="preserve"> using repeated-measures ANOVA, paired t-tests, Friedman tests, and Wilcoxon signed-rank tests with a significance level of p &lt; 0.05.</w:t>
      </w:r>
    </w:p>
    <w:p w14:paraId="6E0929D9" w14:textId="6DD4E906" w:rsidR="00604DB0" w:rsidRPr="00A20750" w:rsidRDefault="00604DB0" w:rsidP="00256FF2">
      <w:pPr>
        <w:spacing w:after="0" w:line="240" w:lineRule="auto"/>
        <w:jc w:val="both"/>
        <w:outlineLvl w:val="0"/>
        <w:rPr>
          <w:rFonts w:ascii="Times New Roman" w:hAnsi="Times New Roman" w:cs="Times New Roman"/>
          <w:sz w:val="24"/>
          <w:szCs w:val="24"/>
          <w:lang w:val="en-ID"/>
        </w:rPr>
      </w:pPr>
      <w:r w:rsidRPr="00A20750">
        <w:rPr>
          <w:rFonts w:ascii="Times New Roman" w:hAnsi="Times New Roman" w:cs="Times New Roman"/>
          <w:b/>
          <w:bCs/>
          <w:sz w:val="24"/>
          <w:szCs w:val="24"/>
          <w:lang w:val="en-ID"/>
        </w:rPr>
        <w:t>Results:</w:t>
      </w:r>
      <w:r w:rsidRPr="00A20750">
        <w:rPr>
          <w:rFonts w:ascii="Times New Roman" w:hAnsi="Times New Roman" w:cs="Times New Roman"/>
          <w:sz w:val="24"/>
          <w:szCs w:val="24"/>
          <w:lang w:val="en-ID"/>
        </w:rPr>
        <w:t xml:space="preserve"> Induction with P. gingivalis resulted in a marked decline in spatial working memory in the treatment group at week 5 compared with baseline. Following HBOT administration, spatial working memory scores significantly improved at week 9 (p &lt; 0.05). In contrast, no significant changes were observed in the control group.</w:t>
      </w:r>
    </w:p>
    <w:p w14:paraId="70975D85" w14:textId="414B4E0F" w:rsidR="00604DB0" w:rsidRPr="00A20750" w:rsidRDefault="00604DB0" w:rsidP="00256FF2">
      <w:pPr>
        <w:spacing w:after="0" w:line="240" w:lineRule="auto"/>
        <w:jc w:val="both"/>
        <w:outlineLvl w:val="0"/>
        <w:rPr>
          <w:rFonts w:ascii="Times New Roman" w:hAnsi="Times New Roman" w:cs="Times New Roman"/>
          <w:sz w:val="24"/>
          <w:szCs w:val="24"/>
          <w:lang w:val="en-ID"/>
        </w:rPr>
      </w:pPr>
      <w:r w:rsidRPr="00A20750">
        <w:rPr>
          <w:rFonts w:ascii="Times New Roman" w:hAnsi="Times New Roman" w:cs="Times New Roman"/>
          <w:b/>
          <w:bCs/>
          <w:sz w:val="24"/>
          <w:szCs w:val="24"/>
          <w:lang w:val="en-ID"/>
        </w:rPr>
        <w:t>Conclusion:</w:t>
      </w:r>
      <w:r w:rsidRPr="00A20750">
        <w:rPr>
          <w:rFonts w:ascii="Times New Roman" w:hAnsi="Times New Roman" w:cs="Times New Roman"/>
          <w:sz w:val="24"/>
          <w:szCs w:val="24"/>
          <w:lang w:val="en-ID"/>
        </w:rPr>
        <w:t xml:space="preserve"> HBOT improved spatial working memory impairment induced by P. gingivalis infection in Sprague–Dawley rats. These findings suggest that HBOT may serve as a potential adjunctive therapy for mitigating neuroinflammatory effects associated with chronic periodontal infection.</w:t>
      </w:r>
    </w:p>
    <w:p w14:paraId="676A257B" w14:textId="77777777" w:rsidR="00604DB0" w:rsidRPr="00A20750" w:rsidRDefault="00604DB0" w:rsidP="00256FF2">
      <w:pPr>
        <w:spacing w:after="0" w:line="240" w:lineRule="auto"/>
        <w:jc w:val="both"/>
        <w:outlineLvl w:val="0"/>
        <w:rPr>
          <w:rFonts w:ascii="Times New Roman" w:hAnsi="Times New Roman" w:cs="Times New Roman"/>
          <w:b/>
          <w:bCs/>
          <w:sz w:val="24"/>
          <w:szCs w:val="24"/>
          <w:lang w:val="en-ID"/>
        </w:rPr>
      </w:pPr>
    </w:p>
    <w:p w14:paraId="79EBA289" w14:textId="2789AACC" w:rsidR="00604DB0" w:rsidRPr="00A20750" w:rsidRDefault="00604DB0" w:rsidP="00256FF2">
      <w:pPr>
        <w:spacing w:after="0" w:line="240" w:lineRule="auto"/>
        <w:jc w:val="both"/>
        <w:outlineLvl w:val="0"/>
        <w:rPr>
          <w:rFonts w:ascii="Times New Roman" w:hAnsi="Times New Roman" w:cs="Times New Roman"/>
          <w:sz w:val="24"/>
          <w:szCs w:val="24"/>
          <w:lang w:val="en-ID"/>
        </w:rPr>
      </w:pPr>
      <w:r w:rsidRPr="00A20750">
        <w:rPr>
          <w:rFonts w:ascii="Times New Roman" w:hAnsi="Times New Roman" w:cs="Times New Roman"/>
          <w:b/>
          <w:bCs/>
          <w:sz w:val="24"/>
          <w:szCs w:val="24"/>
          <w:lang w:val="en-ID"/>
        </w:rPr>
        <w:t>Keywords:</w:t>
      </w:r>
      <w:r w:rsidRPr="00A20750">
        <w:rPr>
          <w:rFonts w:ascii="Times New Roman" w:hAnsi="Times New Roman" w:cs="Times New Roman"/>
          <w:sz w:val="24"/>
          <w:szCs w:val="24"/>
          <w:lang w:val="en-ID"/>
        </w:rPr>
        <w:t xml:space="preserve"> Hyperbaric oxygen therapy; Porphyromonas gingivalis; Periodontitis; Neuroinflammation; Blood–brain barrier; Spatial working memory; Y-maze; Sprague–Dawley rats</w:t>
      </w:r>
    </w:p>
    <w:p w14:paraId="208BC60E" w14:textId="77777777" w:rsidR="002F7D66" w:rsidRPr="00A20750" w:rsidRDefault="002F7D66" w:rsidP="00256FF2">
      <w:pPr>
        <w:spacing w:after="0" w:line="240" w:lineRule="auto"/>
        <w:jc w:val="both"/>
        <w:outlineLvl w:val="0"/>
        <w:rPr>
          <w:rFonts w:ascii="Times New Roman" w:hAnsi="Times New Roman" w:cs="Times New Roman"/>
          <w:sz w:val="24"/>
          <w:szCs w:val="24"/>
        </w:rPr>
      </w:pPr>
    </w:p>
    <w:p w14:paraId="3CC1B392" w14:textId="77777777" w:rsidR="0085225B" w:rsidRPr="00A20750" w:rsidRDefault="0085225B" w:rsidP="00256FF2">
      <w:pPr>
        <w:spacing w:after="0" w:line="240" w:lineRule="auto"/>
        <w:rPr>
          <w:rFonts w:ascii="Times New Roman" w:hAnsi="Times New Roman" w:cs="Times New Roman"/>
          <w:b/>
          <w:sz w:val="24"/>
          <w:szCs w:val="24"/>
        </w:rPr>
      </w:pPr>
    </w:p>
    <w:p w14:paraId="7C1B09CB" w14:textId="07CEE7B5" w:rsidR="002F7D66" w:rsidRPr="00A20750" w:rsidRDefault="00AF78BE" w:rsidP="00256FF2">
      <w:pPr>
        <w:spacing w:after="0" w:line="240" w:lineRule="auto"/>
        <w:rPr>
          <w:rFonts w:ascii="Times New Roman" w:hAnsi="Times New Roman" w:cs="Times New Roman"/>
          <w:b/>
          <w:sz w:val="24"/>
          <w:szCs w:val="24"/>
        </w:rPr>
      </w:pPr>
      <w:r w:rsidRPr="00A20750">
        <w:rPr>
          <w:rFonts w:ascii="Times New Roman" w:hAnsi="Times New Roman" w:cs="Times New Roman"/>
          <w:b/>
          <w:sz w:val="24"/>
          <w:szCs w:val="24"/>
        </w:rPr>
        <w:t>Introduction</w:t>
      </w:r>
    </w:p>
    <w:p w14:paraId="1073ECA0" w14:textId="77777777" w:rsidR="00740FEA" w:rsidRPr="00A20750" w:rsidRDefault="00740FEA" w:rsidP="00256FF2">
      <w:pPr>
        <w:spacing w:after="0" w:line="240" w:lineRule="auto"/>
        <w:jc w:val="both"/>
        <w:rPr>
          <w:rFonts w:ascii="Times New Roman" w:eastAsiaTheme="minorHAnsi" w:hAnsi="Times New Roman" w:cs="Times New Roman"/>
          <w:iCs/>
          <w:kern w:val="2"/>
          <w:sz w:val="24"/>
          <w:szCs w:val="24"/>
          <w:lang w:val="en-ID"/>
        </w:rPr>
      </w:pPr>
      <w:r w:rsidRPr="00A20750">
        <w:rPr>
          <w:rFonts w:ascii="Times New Roman" w:eastAsiaTheme="minorHAnsi" w:hAnsi="Times New Roman" w:cs="Times New Roman"/>
          <w:iCs/>
          <w:kern w:val="2"/>
          <w:sz w:val="24"/>
          <w:szCs w:val="24"/>
          <w:lang w:val="en-ID"/>
        </w:rPr>
        <w:t xml:space="preserve">Periodontitis is a chronic inflammatory disease affecting the supporting tissues of the teeth and represents a major cause of tooth loss worldwide. One of the principal pathogens involved in the pathogenesis of periodontitis is </w:t>
      </w:r>
      <w:r w:rsidRPr="00A20750">
        <w:rPr>
          <w:rFonts w:ascii="Times New Roman" w:eastAsiaTheme="minorHAnsi" w:hAnsi="Times New Roman" w:cs="Times New Roman"/>
          <w:i/>
          <w:iCs/>
          <w:kern w:val="2"/>
          <w:sz w:val="24"/>
          <w:szCs w:val="24"/>
          <w:lang w:val="en-ID"/>
        </w:rPr>
        <w:t>Porphyromonas gingivalis</w:t>
      </w:r>
      <w:r w:rsidRPr="00A20750">
        <w:rPr>
          <w:rFonts w:ascii="Times New Roman" w:eastAsiaTheme="minorHAnsi" w:hAnsi="Times New Roman" w:cs="Times New Roman"/>
          <w:iCs/>
          <w:kern w:val="2"/>
          <w:sz w:val="24"/>
          <w:szCs w:val="24"/>
          <w:lang w:val="en-ID"/>
        </w:rPr>
        <w:t xml:space="preserve">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iCs/>
          <w:kern w:val="2"/>
          <w:sz w:val="24"/>
          <w:szCs w:val="24"/>
          <w:lang w:val="en-ID"/>
        </w:rPr>
        <w:t xml:space="preserve">), a Gram-negative obligate anaerobic bacterium [1].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iCs/>
          <w:kern w:val="2"/>
          <w:sz w:val="24"/>
          <w:szCs w:val="24"/>
          <w:lang w:val="en-ID"/>
        </w:rPr>
        <w:t xml:space="preserve"> produces several virulence factors, including gingipain proteases and lipopolysaccharide (LPS), which contribute to periodontal tissue destruction and dysregulation of host immune responses, ultimately leading to alveolar bone resorption and tooth loss [2]. Beyond its local effects in the oral cavity, increasing evidence suggests that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iCs/>
          <w:kern w:val="2"/>
          <w:sz w:val="24"/>
          <w:szCs w:val="24"/>
          <w:lang w:val="en-ID"/>
        </w:rPr>
        <w:t xml:space="preserve"> infection is associated with systemic diseases, including cardiovascular </w:t>
      </w:r>
      <w:r w:rsidRPr="00A20750">
        <w:rPr>
          <w:rFonts w:ascii="Times New Roman" w:eastAsiaTheme="minorHAnsi" w:hAnsi="Times New Roman" w:cs="Times New Roman"/>
          <w:iCs/>
          <w:kern w:val="2"/>
          <w:sz w:val="24"/>
          <w:szCs w:val="24"/>
          <w:lang w:val="en-ID"/>
        </w:rPr>
        <w:lastRenderedPageBreak/>
        <w:t>disorders and neurodegenerative conditions, through mechanisms involving systemic inflammation and microbial dissemination [3].</w:t>
      </w:r>
    </w:p>
    <w:p w14:paraId="4A49772A" w14:textId="77777777" w:rsidR="00740FEA" w:rsidRPr="00A20750" w:rsidRDefault="00740FEA" w:rsidP="00256FF2">
      <w:pPr>
        <w:spacing w:after="0" w:line="240" w:lineRule="auto"/>
        <w:jc w:val="both"/>
        <w:rPr>
          <w:rFonts w:ascii="Times New Roman" w:eastAsiaTheme="minorHAnsi" w:hAnsi="Times New Roman" w:cs="Times New Roman"/>
          <w:iCs/>
          <w:kern w:val="2"/>
          <w:sz w:val="24"/>
          <w:szCs w:val="24"/>
          <w:lang w:val="en-ID"/>
        </w:rPr>
      </w:pPr>
      <w:r w:rsidRPr="00A20750">
        <w:rPr>
          <w:rFonts w:ascii="Times New Roman" w:eastAsiaTheme="minorHAnsi" w:hAnsi="Times New Roman" w:cs="Times New Roman"/>
          <w:iCs/>
          <w:kern w:val="2"/>
          <w:sz w:val="24"/>
          <w:szCs w:val="24"/>
          <w:lang w:val="en-ID"/>
        </w:rPr>
        <w:t xml:space="preserve">Cognitive impairment is characterized by deficits in memory, attention, and executive function, with severity ranging from mild cognitive impairment (MCI) to severe neurodegenerative disorders such as dementia and Alzheimer’s disease [4]. Gingipains, which are proteolytic enzymes produced by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iCs/>
          <w:kern w:val="2"/>
          <w:sz w:val="24"/>
          <w:szCs w:val="24"/>
          <w:lang w:val="en-ID"/>
        </w:rPr>
        <w:t>, are capable of degrading host proteins, including structural components of epithelial and endothelial barriers. This activity may compromise tissue integrity and increase permeability of the blood–brain barrier (BBB), thereby facilitating the entry of inflammatory mediators and bacterial components into the central nervous system [5].</w:t>
      </w:r>
    </w:p>
    <w:p w14:paraId="7F6D5335" w14:textId="77777777" w:rsidR="00740FEA" w:rsidRPr="00A20750" w:rsidRDefault="00740FEA" w:rsidP="00256FF2">
      <w:pPr>
        <w:spacing w:after="0" w:line="240" w:lineRule="auto"/>
        <w:jc w:val="both"/>
        <w:rPr>
          <w:rFonts w:ascii="Times New Roman" w:eastAsiaTheme="minorHAnsi" w:hAnsi="Times New Roman" w:cs="Times New Roman"/>
          <w:iCs/>
          <w:kern w:val="2"/>
          <w:sz w:val="24"/>
          <w:szCs w:val="24"/>
          <w:lang w:val="en-ID"/>
        </w:rPr>
      </w:pPr>
      <w:r w:rsidRPr="00A20750">
        <w:rPr>
          <w:rFonts w:ascii="Times New Roman" w:eastAsiaTheme="minorHAnsi" w:hAnsi="Times New Roman" w:cs="Times New Roman"/>
          <w:iCs/>
          <w:kern w:val="2"/>
          <w:sz w:val="24"/>
          <w:szCs w:val="24"/>
          <w:lang w:val="en-ID"/>
        </w:rPr>
        <w:t xml:space="preserve">The combined activity of LPS and gingipain not only triggers a local inflammatory response in gingival tissues but also facilitates the translocation of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iCs/>
          <w:kern w:val="2"/>
          <w:sz w:val="24"/>
          <w:szCs w:val="24"/>
          <w:lang w:val="en-ID"/>
        </w:rPr>
        <w:t xml:space="preserve"> and its virulence factors into the systemic circulation, leading to </w:t>
      </w:r>
      <w:proofErr w:type="spellStart"/>
      <w:r w:rsidRPr="00A20750">
        <w:rPr>
          <w:rFonts w:ascii="Times New Roman" w:eastAsiaTheme="minorHAnsi" w:hAnsi="Times New Roman" w:cs="Times New Roman"/>
          <w:iCs/>
          <w:kern w:val="2"/>
          <w:sz w:val="24"/>
          <w:szCs w:val="24"/>
          <w:lang w:val="en-ID"/>
        </w:rPr>
        <w:t>bacteremia</w:t>
      </w:r>
      <w:proofErr w:type="spellEnd"/>
      <w:r w:rsidRPr="00A20750">
        <w:rPr>
          <w:rFonts w:ascii="Times New Roman" w:eastAsiaTheme="minorHAnsi" w:hAnsi="Times New Roman" w:cs="Times New Roman"/>
          <w:iCs/>
          <w:kern w:val="2"/>
          <w:sz w:val="24"/>
          <w:szCs w:val="24"/>
          <w:lang w:val="en-ID"/>
        </w:rPr>
        <w:t>. Within the bloodstream, LPS binds to soluble CD14 molecules and activates endothelial cells and monocytes, while gingipain modulates complement activation and coagulation pathways. These interactions promote a persistent low-grade systemic inflammatory state that contributes to disruption of blood–brain barrier function [6,7].</w:t>
      </w:r>
    </w:p>
    <w:p w14:paraId="201E0700" w14:textId="77777777" w:rsidR="00740FEA" w:rsidRPr="00A20750" w:rsidRDefault="00740FEA" w:rsidP="00256FF2">
      <w:pPr>
        <w:spacing w:after="0" w:line="240" w:lineRule="auto"/>
        <w:jc w:val="both"/>
        <w:rPr>
          <w:rFonts w:ascii="Times New Roman" w:eastAsiaTheme="minorHAnsi" w:hAnsi="Times New Roman" w:cs="Times New Roman"/>
          <w:iCs/>
          <w:kern w:val="2"/>
          <w:sz w:val="24"/>
          <w:szCs w:val="24"/>
          <w:lang w:val="en-ID"/>
        </w:rPr>
      </w:pPr>
      <w:r w:rsidRPr="00A20750">
        <w:rPr>
          <w:rFonts w:ascii="Times New Roman" w:eastAsiaTheme="minorHAnsi" w:hAnsi="Times New Roman" w:cs="Times New Roman"/>
          <w:iCs/>
          <w:kern w:val="2"/>
          <w:sz w:val="24"/>
          <w:szCs w:val="24"/>
          <w:lang w:val="en-ID"/>
        </w:rPr>
        <w:t xml:space="preserve">Due to systemic inflammation and epithelial–endothelial barrier disruption induced by LPS and gingipain,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iCs/>
          <w:kern w:val="2"/>
          <w:sz w:val="24"/>
          <w:szCs w:val="24"/>
          <w:lang w:val="en-ID"/>
        </w:rPr>
        <w:t xml:space="preserve"> may access the central nervous system through several mechanisms. These include: (1) disruption of tight intercellular junctions that form critical components of the blood–brain barrier caused by gingipain-mediated proteolytic activity [8]; (2) transcellular transport of LPS mediated by Toll-like receptor-4 (TLR4) activation; and (3) retrograde migration through cranial nerves, particularly the trigeminal nerve [16]. These pathways enable bacterial components to reach brain tissue and trigger neuroinflammatory processes that may contribute to cognitive decline.</w:t>
      </w:r>
    </w:p>
    <w:p w14:paraId="3AFF5076" w14:textId="77777777" w:rsidR="00740FEA" w:rsidRPr="00A20750" w:rsidRDefault="00740FEA" w:rsidP="00256FF2">
      <w:pPr>
        <w:spacing w:after="0" w:line="240" w:lineRule="auto"/>
        <w:jc w:val="both"/>
        <w:rPr>
          <w:rFonts w:ascii="Times New Roman" w:eastAsiaTheme="minorHAnsi" w:hAnsi="Times New Roman" w:cs="Times New Roman"/>
          <w:iCs/>
          <w:kern w:val="2"/>
          <w:sz w:val="24"/>
          <w:szCs w:val="24"/>
          <w:lang w:val="en-ID"/>
        </w:rPr>
      </w:pPr>
      <w:r w:rsidRPr="00A20750">
        <w:rPr>
          <w:rFonts w:ascii="Times New Roman" w:eastAsiaTheme="minorHAnsi" w:hAnsi="Times New Roman" w:cs="Times New Roman"/>
          <w:iCs/>
          <w:kern w:val="2"/>
          <w:sz w:val="24"/>
          <w:szCs w:val="24"/>
          <w:lang w:val="en-ID"/>
        </w:rPr>
        <w:t xml:space="preserve">Neuroinflammatory responses induced by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iCs/>
          <w:kern w:val="2"/>
          <w:sz w:val="24"/>
          <w:szCs w:val="24"/>
          <w:lang w:val="en-ID"/>
        </w:rPr>
        <w:t xml:space="preserve"> infection involve activation of microglia, increased production of pro-inflammatory cytokines, and oxidative stress within neural tissue. These processes are associated with neuronal damage and impairment of synaptic function in brain regions responsible for learning and memory, particularly the hippocampus [26,27]. Persistent neuroinflammation has also been linked to the accumulation of amyloid-β and hyperphosphorylation of tau protein, which are key pathological features of Alzheimer’s disease [4].</w:t>
      </w:r>
    </w:p>
    <w:p w14:paraId="6FBE80F4" w14:textId="77777777" w:rsidR="00740FEA" w:rsidRPr="00A20750" w:rsidRDefault="00740FEA" w:rsidP="00256FF2">
      <w:pPr>
        <w:spacing w:after="0" w:line="240" w:lineRule="auto"/>
        <w:jc w:val="both"/>
        <w:rPr>
          <w:rFonts w:ascii="Times New Roman" w:eastAsiaTheme="minorHAnsi" w:hAnsi="Times New Roman" w:cs="Times New Roman"/>
          <w:iCs/>
          <w:kern w:val="2"/>
          <w:sz w:val="24"/>
          <w:szCs w:val="24"/>
          <w:lang w:val="en-ID"/>
        </w:rPr>
      </w:pPr>
      <w:r w:rsidRPr="00A20750">
        <w:rPr>
          <w:rFonts w:ascii="Times New Roman" w:eastAsiaTheme="minorHAnsi" w:hAnsi="Times New Roman" w:cs="Times New Roman"/>
          <w:iCs/>
          <w:kern w:val="2"/>
          <w:sz w:val="24"/>
          <w:szCs w:val="24"/>
          <w:lang w:val="en-ID"/>
        </w:rPr>
        <w:t>Hyperbaric Oxygen Therapy (HBOT) has emerged as a therapeutic approach capable of modulating tissue oxygenation and improving cellular metabolism. By delivering 100% oxygen under increased atmospheric pressure, HBOT enhances oxygen diffusion into tissues and may exert neuroprotective effects through reduction of inflammation, oxidative stress, and neuronal injury. Previous experimental studies have demonstrated that HBOT may improve neurological outcomes and cognitive function in animal models of brain injury and neurodegeneration [19–21].</w:t>
      </w:r>
    </w:p>
    <w:p w14:paraId="7A65F26B" w14:textId="77777777" w:rsidR="00740FEA" w:rsidRPr="00A20750" w:rsidRDefault="00740FEA" w:rsidP="00256FF2">
      <w:pPr>
        <w:spacing w:after="0" w:line="240" w:lineRule="auto"/>
        <w:jc w:val="both"/>
        <w:rPr>
          <w:rFonts w:ascii="Times New Roman" w:eastAsiaTheme="minorHAnsi" w:hAnsi="Times New Roman" w:cs="Times New Roman"/>
          <w:iCs/>
          <w:kern w:val="2"/>
          <w:sz w:val="24"/>
          <w:szCs w:val="24"/>
          <w:lang w:val="en-ID"/>
        </w:rPr>
      </w:pPr>
      <w:r w:rsidRPr="00A20750">
        <w:rPr>
          <w:rFonts w:ascii="Times New Roman" w:eastAsiaTheme="minorHAnsi" w:hAnsi="Times New Roman" w:cs="Times New Roman"/>
          <w:iCs/>
          <w:kern w:val="2"/>
          <w:sz w:val="24"/>
          <w:szCs w:val="24"/>
          <w:lang w:val="en-ID"/>
        </w:rPr>
        <w:t xml:space="preserve">Therefore, the present study aimed to evaluate the effect of Hyperbaric Oxygen Therapy on cognitive impairment induced by </w:t>
      </w:r>
      <w:r w:rsidRPr="00A20750">
        <w:rPr>
          <w:rFonts w:ascii="Times New Roman" w:eastAsiaTheme="minorHAnsi" w:hAnsi="Times New Roman" w:cs="Times New Roman"/>
          <w:i/>
          <w:iCs/>
          <w:kern w:val="2"/>
          <w:sz w:val="24"/>
          <w:szCs w:val="24"/>
          <w:lang w:val="en-ID"/>
        </w:rPr>
        <w:t>Porphyromonas gingivalis</w:t>
      </w:r>
      <w:r w:rsidRPr="00A20750">
        <w:rPr>
          <w:rFonts w:ascii="Times New Roman" w:eastAsiaTheme="minorHAnsi" w:hAnsi="Times New Roman" w:cs="Times New Roman"/>
          <w:iCs/>
          <w:kern w:val="2"/>
          <w:sz w:val="24"/>
          <w:szCs w:val="24"/>
          <w:lang w:val="en-ID"/>
        </w:rPr>
        <w:t>-associated periodontitis using a Sprague–Dawley rat model. Spatial working memory was assessed using the Y-maze spontaneous alternation test to determine whether HBOT could improve cognitive deficits associated with chronic periodontal infection.</w:t>
      </w:r>
    </w:p>
    <w:p w14:paraId="72BF4B4B" w14:textId="77777777" w:rsidR="000E6513" w:rsidRPr="00A20750" w:rsidRDefault="000E6513" w:rsidP="00256FF2">
      <w:pPr>
        <w:spacing w:after="0" w:line="240" w:lineRule="auto"/>
        <w:jc w:val="both"/>
        <w:rPr>
          <w:rFonts w:ascii="Times New Roman" w:eastAsiaTheme="minorHAnsi" w:hAnsi="Times New Roman" w:cs="Times New Roman"/>
          <w:iCs/>
          <w:kern w:val="2"/>
          <w:sz w:val="24"/>
          <w:szCs w:val="24"/>
          <w:lang w:val="en-ID"/>
        </w:rPr>
      </w:pPr>
    </w:p>
    <w:p w14:paraId="771818D4" w14:textId="77777777" w:rsidR="000E6513" w:rsidRPr="00A20750" w:rsidRDefault="000E6513" w:rsidP="00256FF2">
      <w:pPr>
        <w:spacing w:after="0" w:line="240" w:lineRule="auto"/>
        <w:jc w:val="both"/>
        <w:rPr>
          <w:rFonts w:ascii="Times New Roman" w:hAnsi="Times New Roman" w:cs="Times New Roman"/>
          <w:b/>
          <w:sz w:val="24"/>
          <w:szCs w:val="24"/>
        </w:rPr>
      </w:pPr>
    </w:p>
    <w:p w14:paraId="1C8F044E" w14:textId="77777777" w:rsidR="00794B7A" w:rsidRPr="00A20750" w:rsidRDefault="00794B7A" w:rsidP="00256FF2">
      <w:pPr>
        <w:tabs>
          <w:tab w:val="left" w:pos="3206"/>
        </w:tabs>
        <w:spacing w:after="0" w:line="240" w:lineRule="auto"/>
        <w:rPr>
          <w:rFonts w:ascii="Times New Roman" w:hAnsi="Times New Roman" w:cs="Times New Roman"/>
          <w:b/>
          <w:sz w:val="24"/>
          <w:szCs w:val="24"/>
        </w:rPr>
      </w:pPr>
    </w:p>
    <w:p w14:paraId="0FB31B57" w14:textId="77777777" w:rsidR="00794B7A" w:rsidRPr="00A20750" w:rsidRDefault="00794B7A" w:rsidP="00256FF2">
      <w:pPr>
        <w:tabs>
          <w:tab w:val="left" w:pos="3206"/>
        </w:tabs>
        <w:spacing w:after="0" w:line="240" w:lineRule="auto"/>
        <w:rPr>
          <w:rFonts w:ascii="Times New Roman" w:hAnsi="Times New Roman" w:cs="Times New Roman"/>
          <w:b/>
          <w:sz w:val="24"/>
          <w:szCs w:val="24"/>
        </w:rPr>
      </w:pPr>
    </w:p>
    <w:p w14:paraId="62A0DDB1" w14:textId="41A5E8F8" w:rsidR="002F7D66" w:rsidRPr="00A20750" w:rsidRDefault="00AF78BE" w:rsidP="00256FF2">
      <w:pPr>
        <w:tabs>
          <w:tab w:val="left" w:pos="3206"/>
        </w:tabs>
        <w:spacing w:after="0" w:line="240" w:lineRule="auto"/>
        <w:rPr>
          <w:rFonts w:ascii="Times New Roman" w:hAnsi="Times New Roman" w:cs="Times New Roman"/>
          <w:b/>
          <w:sz w:val="24"/>
          <w:szCs w:val="24"/>
        </w:rPr>
      </w:pPr>
      <w:r w:rsidRPr="00A20750">
        <w:rPr>
          <w:rFonts w:ascii="Times New Roman" w:hAnsi="Times New Roman" w:cs="Times New Roman"/>
          <w:b/>
          <w:sz w:val="24"/>
          <w:szCs w:val="24"/>
        </w:rPr>
        <w:lastRenderedPageBreak/>
        <w:t>Methods</w:t>
      </w:r>
    </w:p>
    <w:p w14:paraId="528D26D9" w14:textId="77777777" w:rsidR="000E6513" w:rsidRPr="00A20750" w:rsidRDefault="00884F27" w:rsidP="00256FF2">
      <w:pPr>
        <w:pStyle w:val="IOP-CS-SubsectionHeading"/>
        <w:numPr>
          <w:ilvl w:val="0"/>
          <w:numId w:val="2"/>
        </w:numPr>
        <w:spacing w:line="240" w:lineRule="auto"/>
        <w:ind w:left="284" w:hanging="284"/>
        <w:rPr>
          <w:rFonts w:ascii="Times New Roman" w:hAnsi="Times New Roman" w:cs="Times New Roman"/>
          <w:i w:val="0"/>
          <w:iCs w:val="0"/>
          <w:sz w:val="24"/>
          <w:szCs w:val="24"/>
        </w:rPr>
      </w:pPr>
      <w:r w:rsidRPr="00A20750">
        <w:rPr>
          <w:rFonts w:ascii="Times New Roman" w:hAnsi="Times New Roman" w:cs="Times New Roman"/>
          <w:i w:val="0"/>
          <w:iCs w:val="0"/>
          <w:sz w:val="24"/>
          <w:szCs w:val="24"/>
        </w:rPr>
        <w:t>Animal and experimental protocol</w:t>
      </w:r>
      <w:r w:rsidRPr="00A20750">
        <w:rPr>
          <w:rFonts w:ascii="Times New Roman" w:hAnsi="Times New Roman" w:cs="Times New Roman"/>
          <w:i w:val="0"/>
          <w:iCs w:val="0"/>
          <w:color w:val="FF0000"/>
          <w:sz w:val="24"/>
          <w:szCs w:val="24"/>
        </w:rPr>
        <w:t xml:space="preserve"> </w:t>
      </w:r>
    </w:p>
    <w:p w14:paraId="2C2BE65A" w14:textId="727D78B8" w:rsidR="000E6513" w:rsidRPr="00A20750" w:rsidRDefault="000E6513" w:rsidP="00256FF2">
      <w:pPr>
        <w:pStyle w:val="IOP-CS-SubsectionHeading"/>
        <w:spacing w:before="0" w:line="240" w:lineRule="auto"/>
        <w:jc w:val="both"/>
        <w:rPr>
          <w:rFonts w:ascii="Times New Roman" w:hAnsi="Times New Roman" w:cs="Times New Roman"/>
          <w:i w:val="0"/>
          <w:iCs w:val="0"/>
          <w:sz w:val="24"/>
          <w:szCs w:val="24"/>
        </w:rPr>
      </w:pPr>
      <w:r w:rsidRPr="00A20750">
        <w:rPr>
          <w:rFonts w:ascii="Times New Roman" w:hAnsi="Times New Roman" w:cs="Times New Roman"/>
          <w:i w:val="0"/>
          <w:iCs w:val="0"/>
          <w:sz w:val="24"/>
          <w:szCs w:val="24"/>
        </w:rPr>
        <w:t>The experimental animals were divided into two groups: a control group and a treatment group, each consisting of 11 male Sprague–Dawley rats aged 10 weeks and weighing 150–180 g. Prior to the experimental procedures, all animals were acclimatized for one week under controlled environmental conditions (temperature 18–26 °C, relative humidity 30–70%, and a 12-hour light–dark cycle). The rats were housed in standard laboratory cages and provided ad libitum access to pellet diet and drinking water.</w:t>
      </w:r>
    </w:p>
    <w:p w14:paraId="2B30DDB8" w14:textId="77777777" w:rsidR="000E6513" w:rsidRPr="00A20750" w:rsidRDefault="000E6513" w:rsidP="00256FF2">
      <w:pPr>
        <w:pStyle w:val="NormalWeb"/>
        <w:spacing w:before="0" w:beforeAutospacing="0" w:after="0" w:afterAutospacing="0"/>
        <w:jc w:val="both"/>
      </w:pPr>
      <w:r w:rsidRPr="00A20750">
        <w:t>The inclusion criteria included animals in healthy condition confirmed by veterinary examination and normal physiological characteristics, including smooth fur, pink eyes, normal activity, good appetite, firm feces, and normal social behavior. Animals presenting congenital abnormalities identified by the consulting veterinarian were excluded. Animals that died during the experimental period were considered dropouts and excluded from the final analysis.</w:t>
      </w:r>
    </w:p>
    <w:p w14:paraId="0CB69937" w14:textId="77777777" w:rsidR="000E6513" w:rsidRPr="00A20750" w:rsidRDefault="000E6513" w:rsidP="00256FF2">
      <w:pPr>
        <w:pStyle w:val="NormalWeb"/>
        <w:spacing w:before="0" w:beforeAutospacing="0" w:after="0" w:afterAutospacing="0"/>
        <w:jc w:val="both"/>
      </w:pPr>
      <w:r w:rsidRPr="00A20750">
        <w:t>All experimental procedures involving animals were conducted in accordance with institutional guidelines for laboratory animal care and were approved by the Institutional Animal Research Ethics Committee.</w:t>
      </w:r>
    </w:p>
    <w:p w14:paraId="735FFFB8" w14:textId="222EDB46" w:rsidR="00884F27" w:rsidRPr="00A20750" w:rsidRDefault="00884F27" w:rsidP="00256FF2">
      <w:pPr>
        <w:pStyle w:val="IOP-CS-SubsectionHeading"/>
        <w:numPr>
          <w:ilvl w:val="0"/>
          <w:numId w:val="2"/>
        </w:numPr>
        <w:spacing w:line="240" w:lineRule="auto"/>
        <w:ind w:left="284" w:hanging="284"/>
        <w:jc w:val="both"/>
        <w:rPr>
          <w:rFonts w:ascii="Times New Roman" w:hAnsi="Times New Roman" w:cs="Times New Roman"/>
          <w:i w:val="0"/>
          <w:iCs w:val="0"/>
          <w:noProof/>
          <w:sz w:val="24"/>
          <w:szCs w:val="24"/>
        </w:rPr>
      </w:pPr>
      <w:r w:rsidRPr="00A20750">
        <w:rPr>
          <w:rFonts w:ascii="Times New Roman" w:hAnsi="Times New Roman" w:cs="Times New Roman"/>
          <w:i w:val="0"/>
          <w:iCs w:val="0"/>
          <w:noProof/>
          <w:sz w:val="24"/>
          <w:szCs w:val="24"/>
        </w:rPr>
        <w:t>In</w:t>
      </w:r>
      <w:r w:rsidR="00E5236E" w:rsidRPr="00A20750">
        <w:rPr>
          <w:rFonts w:ascii="Times New Roman" w:hAnsi="Times New Roman" w:cs="Times New Roman"/>
          <w:i w:val="0"/>
          <w:iCs w:val="0"/>
          <w:noProof/>
          <w:sz w:val="24"/>
          <w:szCs w:val="24"/>
        </w:rPr>
        <w:t xml:space="preserve">duction of periodontitis by P.gingivalis injection into gingiva </w:t>
      </w:r>
    </w:p>
    <w:p w14:paraId="1EAE95C8" w14:textId="77777777" w:rsidR="000E6513" w:rsidRPr="00A20750" w:rsidRDefault="000E6513" w:rsidP="00256FF2">
      <w:pPr>
        <w:pStyle w:val="NormalWeb"/>
        <w:spacing w:before="0" w:beforeAutospacing="0" w:after="0" w:afterAutospacing="0"/>
        <w:jc w:val="both"/>
        <w:rPr>
          <w:lang w:val="en-ID" w:eastAsia="en-ID"/>
        </w:rPr>
      </w:pPr>
      <w:r w:rsidRPr="00A20750">
        <w:t xml:space="preserve">Following the acclimatization period, animals in the treatment group underwent induction of experimental periodontitis using </w:t>
      </w:r>
      <w:r w:rsidRPr="00A20750">
        <w:rPr>
          <w:rStyle w:val="Emphasis"/>
        </w:rPr>
        <w:t>Porphyromonas gingivalis</w:t>
      </w:r>
      <w:r w:rsidRPr="00A20750">
        <w:t xml:space="preserve"> (ATCC 33277 PK/5). Bacterial induction was performed using a dose of 3 </w:t>
      </w:r>
      <w:proofErr w:type="spellStart"/>
      <w:r w:rsidRPr="00A20750">
        <w:t>μL</w:t>
      </w:r>
      <w:proofErr w:type="spellEnd"/>
      <w:r w:rsidRPr="00A20750">
        <w:t xml:space="preserve"> (1 × 10⁹ CFU/mL) administered into the gingival tissue of the second molar region on both the right and left sides of the mandible using a 5 </w:t>
      </w:r>
      <w:proofErr w:type="spellStart"/>
      <w:r w:rsidRPr="00A20750">
        <w:t>μL</w:t>
      </w:r>
      <w:proofErr w:type="spellEnd"/>
      <w:r w:rsidRPr="00A20750">
        <w:t xml:space="preserve"> </w:t>
      </w:r>
      <w:proofErr w:type="spellStart"/>
      <w:r w:rsidRPr="00A20750">
        <w:t>microsyringe</w:t>
      </w:r>
      <w:proofErr w:type="spellEnd"/>
      <w:r w:rsidRPr="00A20750">
        <w:t xml:space="preserve"> (Hamilton, Switzerland).</w:t>
      </w:r>
    </w:p>
    <w:p w14:paraId="2AB4DDC5" w14:textId="77777777" w:rsidR="000E6513" w:rsidRPr="00A20750" w:rsidRDefault="000E6513" w:rsidP="00256FF2">
      <w:pPr>
        <w:pStyle w:val="NormalWeb"/>
        <w:spacing w:before="0" w:beforeAutospacing="0"/>
        <w:jc w:val="both"/>
      </w:pPr>
      <w:r w:rsidRPr="00A20750">
        <w:t>The injection procedure was repeated every two days for five consecutive weeks in order to establish chronic periodontal infection, based on a modified protocol described by Jin et al. (2023) [22].</w:t>
      </w:r>
    </w:p>
    <w:p w14:paraId="33409321" w14:textId="528CF5B1" w:rsidR="00884F27" w:rsidRPr="00A20750" w:rsidRDefault="00884F27" w:rsidP="00256FF2">
      <w:pPr>
        <w:pStyle w:val="IOP-CS-SubsectionHeading"/>
        <w:numPr>
          <w:ilvl w:val="0"/>
          <w:numId w:val="2"/>
        </w:numPr>
        <w:spacing w:line="240" w:lineRule="auto"/>
        <w:ind w:left="284" w:hanging="284"/>
        <w:jc w:val="both"/>
        <w:rPr>
          <w:rFonts w:ascii="Times New Roman" w:hAnsi="Times New Roman" w:cs="Times New Roman"/>
          <w:i w:val="0"/>
          <w:iCs w:val="0"/>
          <w:noProof/>
          <w:sz w:val="24"/>
          <w:szCs w:val="24"/>
        </w:rPr>
      </w:pPr>
      <w:r w:rsidRPr="00A20750">
        <w:rPr>
          <w:rFonts w:ascii="Times New Roman" w:hAnsi="Times New Roman" w:cs="Times New Roman"/>
          <w:i w:val="0"/>
          <w:iCs w:val="0"/>
          <w:noProof/>
          <w:sz w:val="24"/>
          <w:szCs w:val="24"/>
        </w:rPr>
        <w:t>Hyperbaric Oxygen Therapy (HBOT)</w:t>
      </w:r>
    </w:p>
    <w:p w14:paraId="74FBDC72" w14:textId="77777777" w:rsidR="000D44C9" w:rsidRPr="00A20750" w:rsidRDefault="000D44C9" w:rsidP="00256FF2">
      <w:pPr>
        <w:pStyle w:val="IOP-CS-SubsectionHeading"/>
        <w:spacing w:before="0" w:line="240" w:lineRule="auto"/>
        <w:jc w:val="both"/>
        <w:rPr>
          <w:rFonts w:ascii="Times New Roman" w:hAnsi="Times New Roman" w:cs="Times New Roman"/>
          <w:i w:val="0"/>
          <w:iCs w:val="0"/>
          <w:noProof/>
          <w:sz w:val="24"/>
          <w:szCs w:val="24"/>
          <w:lang w:val="en-ID"/>
        </w:rPr>
      </w:pPr>
      <w:r w:rsidRPr="00A20750">
        <w:rPr>
          <w:rFonts w:ascii="Times New Roman" w:hAnsi="Times New Roman" w:cs="Times New Roman"/>
          <w:i w:val="0"/>
          <w:iCs w:val="0"/>
          <w:noProof/>
          <w:sz w:val="24"/>
          <w:szCs w:val="24"/>
          <w:lang w:val="en-ID"/>
        </w:rPr>
        <w:t>After the induction phase, the Sprague–Dawley rats in the treatment group received Hyperbaric Oxygen Therapy (HBOT) in a hyperbaric chamber pressurized to 2.0 atmospheres absolute (ATA) using 100% medical oxygen.</w:t>
      </w:r>
    </w:p>
    <w:p w14:paraId="7D44FBB2" w14:textId="77777777" w:rsidR="000D44C9" w:rsidRPr="00A20750" w:rsidRDefault="000D44C9" w:rsidP="00256FF2">
      <w:pPr>
        <w:pStyle w:val="IOP-CS-SubsectionHeading"/>
        <w:spacing w:before="0" w:line="240" w:lineRule="auto"/>
        <w:jc w:val="both"/>
        <w:rPr>
          <w:rFonts w:ascii="Times New Roman" w:hAnsi="Times New Roman" w:cs="Times New Roman"/>
          <w:i w:val="0"/>
          <w:iCs w:val="0"/>
          <w:noProof/>
          <w:sz w:val="24"/>
          <w:szCs w:val="24"/>
          <w:lang w:val="en-ID"/>
        </w:rPr>
      </w:pPr>
      <w:r w:rsidRPr="00A20750">
        <w:rPr>
          <w:rFonts w:ascii="Times New Roman" w:hAnsi="Times New Roman" w:cs="Times New Roman"/>
          <w:i w:val="0"/>
          <w:iCs w:val="0"/>
          <w:noProof/>
          <w:sz w:val="24"/>
          <w:szCs w:val="24"/>
          <w:lang w:val="en-ID"/>
        </w:rPr>
        <w:t>The HBOT protocol consisted of three stages:</w:t>
      </w:r>
    </w:p>
    <w:p w14:paraId="5A78C649" w14:textId="77777777" w:rsidR="000D44C9" w:rsidRPr="00A20750" w:rsidRDefault="000D44C9" w:rsidP="00256FF2">
      <w:pPr>
        <w:pStyle w:val="IOP-CS-SubsectionHeading"/>
        <w:spacing w:before="0" w:line="240" w:lineRule="auto"/>
        <w:jc w:val="both"/>
        <w:rPr>
          <w:rFonts w:ascii="Times New Roman" w:hAnsi="Times New Roman" w:cs="Times New Roman"/>
          <w:i w:val="0"/>
          <w:iCs w:val="0"/>
          <w:noProof/>
          <w:sz w:val="24"/>
          <w:szCs w:val="24"/>
          <w:lang w:val="en-ID"/>
        </w:rPr>
      </w:pPr>
      <w:r w:rsidRPr="00A20750">
        <w:rPr>
          <w:rFonts w:ascii="Times New Roman" w:hAnsi="Times New Roman" w:cs="Times New Roman"/>
          <w:i w:val="0"/>
          <w:iCs w:val="0"/>
          <w:noProof/>
          <w:sz w:val="24"/>
          <w:szCs w:val="24"/>
          <w:lang w:val="en-ID"/>
        </w:rPr>
        <w:t>Gradual compression at a rate of 0.1 ATA/min</w:t>
      </w:r>
    </w:p>
    <w:p w14:paraId="665BCAA4" w14:textId="77777777" w:rsidR="000D44C9" w:rsidRPr="00A20750" w:rsidRDefault="000D44C9" w:rsidP="00256FF2">
      <w:pPr>
        <w:pStyle w:val="IOP-CS-SubsectionHeading"/>
        <w:spacing w:before="0" w:line="240" w:lineRule="auto"/>
        <w:jc w:val="both"/>
        <w:rPr>
          <w:rFonts w:ascii="Times New Roman" w:hAnsi="Times New Roman" w:cs="Times New Roman"/>
          <w:i w:val="0"/>
          <w:iCs w:val="0"/>
          <w:noProof/>
          <w:sz w:val="24"/>
          <w:szCs w:val="24"/>
          <w:lang w:val="en-ID"/>
        </w:rPr>
      </w:pPr>
      <w:r w:rsidRPr="00A20750">
        <w:rPr>
          <w:rFonts w:ascii="Times New Roman" w:hAnsi="Times New Roman" w:cs="Times New Roman"/>
          <w:i w:val="0"/>
          <w:iCs w:val="0"/>
          <w:noProof/>
          <w:sz w:val="24"/>
          <w:szCs w:val="24"/>
          <w:lang w:val="en-ID"/>
        </w:rPr>
        <w:t>Therapeutic exposure for 60 minutes, divided into two 30-minute sessions separated by a 5-minute interval at target pressure</w:t>
      </w:r>
    </w:p>
    <w:p w14:paraId="6A79D389" w14:textId="77777777" w:rsidR="000D44C9" w:rsidRPr="00A20750" w:rsidRDefault="000D44C9" w:rsidP="00256FF2">
      <w:pPr>
        <w:pStyle w:val="IOP-CS-SubsectionHeading"/>
        <w:spacing w:before="0" w:line="240" w:lineRule="auto"/>
        <w:jc w:val="both"/>
        <w:rPr>
          <w:rFonts w:ascii="Times New Roman" w:hAnsi="Times New Roman" w:cs="Times New Roman"/>
          <w:i w:val="0"/>
          <w:iCs w:val="0"/>
          <w:noProof/>
          <w:sz w:val="24"/>
          <w:szCs w:val="24"/>
          <w:lang w:val="en-ID"/>
        </w:rPr>
      </w:pPr>
      <w:r w:rsidRPr="00A20750">
        <w:rPr>
          <w:rFonts w:ascii="Times New Roman" w:hAnsi="Times New Roman" w:cs="Times New Roman"/>
          <w:i w:val="0"/>
          <w:iCs w:val="0"/>
          <w:noProof/>
          <w:sz w:val="24"/>
          <w:szCs w:val="24"/>
          <w:lang w:val="en-ID"/>
        </w:rPr>
        <w:t>Controlled decompression at a rate of 0.1 ATA/min to minimize the risk of barotrauma</w:t>
      </w:r>
    </w:p>
    <w:p w14:paraId="5EB5266E" w14:textId="77777777" w:rsidR="000D44C9" w:rsidRPr="00A20750" w:rsidRDefault="000D44C9" w:rsidP="00256FF2">
      <w:pPr>
        <w:pStyle w:val="IOP-CS-SubsectionHeading"/>
        <w:spacing w:before="0" w:line="240" w:lineRule="auto"/>
        <w:jc w:val="both"/>
        <w:rPr>
          <w:rFonts w:ascii="Times New Roman" w:hAnsi="Times New Roman" w:cs="Times New Roman"/>
          <w:i w:val="0"/>
          <w:iCs w:val="0"/>
          <w:noProof/>
          <w:sz w:val="24"/>
          <w:szCs w:val="24"/>
          <w:lang w:val="en-ID"/>
        </w:rPr>
      </w:pPr>
      <w:r w:rsidRPr="00A20750">
        <w:rPr>
          <w:rFonts w:ascii="Times New Roman" w:hAnsi="Times New Roman" w:cs="Times New Roman"/>
          <w:i w:val="0"/>
          <w:iCs w:val="0"/>
          <w:noProof/>
          <w:sz w:val="24"/>
          <w:szCs w:val="24"/>
          <w:lang w:val="en-ID"/>
        </w:rPr>
        <w:t>Prior to therapy, the animals were fasted for 4–6 hours and underwent a brief physical examination to ensure their suitability for the procedure. During HBOT exposure, animal activity was continuously monitored through the chamber window, and the session was terminated if signs of severe distress were observed.</w:t>
      </w:r>
    </w:p>
    <w:p w14:paraId="669026DF" w14:textId="77777777" w:rsidR="000D44C9" w:rsidRPr="00A20750" w:rsidRDefault="000D44C9" w:rsidP="00256FF2">
      <w:pPr>
        <w:pStyle w:val="IOP-CS-SubsectionHeading"/>
        <w:spacing w:before="0" w:line="240" w:lineRule="auto"/>
        <w:jc w:val="both"/>
        <w:rPr>
          <w:rFonts w:ascii="Times New Roman" w:hAnsi="Times New Roman" w:cs="Times New Roman"/>
          <w:i w:val="0"/>
          <w:iCs w:val="0"/>
          <w:noProof/>
          <w:sz w:val="24"/>
          <w:szCs w:val="24"/>
          <w:lang w:val="en-ID"/>
        </w:rPr>
      </w:pPr>
      <w:r w:rsidRPr="00A20750">
        <w:rPr>
          <w:rFonts w:ascii="Times New Roman" w:hAnsi="Times New Roman" w:cs="Times New Roman"/>
          <w:i w:val="0"/>
          <w:iCs w:val="0"/>
          <w:noProof/>
          <w:sz w:val="24"/>
          <w:szCs w:val="24"/>
          <w:lang w:val="en-ID"/>
        </w:rPr>
        <w:t>Following each therapy session, the animals were transferred to a recovery cage for approximately 30 minutes. HBOT was administered five times per week for four consecutive weeks. This therapeutic approach modifies oxygen availability in the tissue microenvironment and is therefore considered an environmental-based intervention [21].</w:t>
      </w:r>
    </w:p>
    <w:p w14:paraId="2FB7D304" w14:textId="5C6D732F" w:rsidR="00884F27" w:rsidRPr="00A20750" w:rsidRDefault="00884F27" w:rsidP="00256FF2">
      <w:pPr>
        <w:pStyle w:val="IOP-CS-SubsectionHeading"/>
        <w:numPr>
          <w:ilvl w:val="0"/>
          <w:numId w:val="2"/>
        </w:numPr>
        <w:spacing w:line="240" w:lineRule="auto"/>
        <w:ind w:left="426" w:hanging="426"/>
        <w:rPr>
          <w:rFonts w:ascii="Times New Roman" w:hAnsi="Times New Roman" w:cs="Times New Roman"/>
          <w:i w:val="0"/>
          <w:iCs w:val="0"/>
          <w:noProof/>
          <w:sz w:val="24"/>
          <w:szCs w:val="24"/>
        </w:rPr>
      </w:pPr>
      <w:r w:rsidRPr="00A20750">
        <w:rPr>
          <w:rFonts w:ascii="Times New Roman" w:hAnsi="Times New Roman" w:cs="Times New Roman"/>
          <w:i w:val="0"/>
          <w:iCs w:val="0"/>
          <w:noProof/>
          <w:sz w:val="24"/>
          <w:szCs w:val="24"/>
        </w:rPr>
        <w:t xml:space="preserve">Y-Maze </w:t>
      </w:r>
      <w:r w:rsidR="002F14CB" w:rsidRPr="00A20750">
        <w:rPr>
          <w:rFonts w:ascii="Times New Roman" w:hAnsi="Times New Roman" w:cs="Times New Roman"/>
          <w:i w:val="0"/>
          <w:iCs w:val="0"/>
          <w:noProof/>
          <w:sz w:val="24"/>
          <w:szCs w:val="24"/>
        </w:rPr>
        <w:t>spontaneous alternation test</w:t>
      </w:r>
    </w:p>
    <w:p w14:paraId="4616655F" w14:textId="77777777" w:rsidR="000D44C9" w:rsidRPr="00A20750" w:rsidRDefault="000D44C9" w:rsidP="00256FF2">
      <w:pPr>
        <w:pStyle w:val="NormalWeb"/>
        <w:spacing w:before="0" w:beforeAutospacing="0" w:after="0" w:afterAutospacing="0"/>
        <w:jc w:val="both"/>
        <w:rPr>
          <w:lang w:val="en-ID" w:eastAsia="en-ID"/>
        </w:rPr>
      </w:pPr>
      <w:r w:rsidRPr="00A20750">
        <w:lastRenderedPageBreak/>
        <w:t>Spatial working memory was evaluated using the Y-maze spontaneous alternation test. The Y-maze apparatus consisted of three identical arms (A, B, and C) positioned at an angle of 120° relative to each other, with each arm measuring approximately 30 cm × 8 cm × 15 cm.</w:t>
      </w:r>
    </w:p>
    <w:p w14:paraId="643BD7C2" w14:textId="77777777" w:rsidR="000D44C9" w:rsidRPr="00A20750" w:rsidRDefault="000D44C9" w:rsidP="00256FF2">
      <w:pPr>
        <w:pStyle w:val="NormalWeb"/>
        <w:spacing w:before="0" w:beforeAutospacing="0" w:after="0" w:afterAutospacing="0"/>
        <w:jc w:val="both"/>
      </w:pPr>
      <w:r w:rsidRPr="00A20750">
        <w:t>Prior to testing, the rats were acclimatized to the testing room for 10–15 minutes to minimize stress. Each animal was placed at the end of one arm and allowed to freely explore all three arms for 5–8 minutes. The movement of the animals was recorded using a video camera to document the sequence and number of arm entries.</w:t>
      </w:r>
    </w:p>
    <w:p w14:paraId="66D11D0B" w14:textId="77777777" w:rsidR="000D44C9" w:rsidRPr="00A20750" w:rsidRDefault="000D44C9" w:rsidP="00256FF2">
      <w:pPr>
        <w:pStyle w:val="NormalWeb"/>
        <w:spacing w:before="0" w:beforeAutospacing="0" w:after="0" w:afterAutospacing="0"/>
        <w:jc w:val="both"/>
      </w:pPr>
      <w:r w:rsidRPr="00A20750">
        <w:t>An arm entry was considered valid when the entire body of the rat, including the tail, had completely entered the arm. The total number of arm entries and spontaneous alternations (defined as consecutive entries into three different arms) were recorded.</w:t>
      </w:r>
    </w:p>
    <w:p w14:paraId="7F541A97" w14:textId="77777777" w:rsidR="000D44C9" w:rsidRPr="00A20750" w:rsidRDefault="000D44C9" w:rsidP="00256FF2">
      <w:pPr>
        <w:pStyle w:val="NormalWeb"/>
        <w:spacing w:before="0" w:beforeAutospacing="0" w:after="0" w:afterAutospacing="0"/>
        <w:jc w:val="both"/>
      </w:pPr>
      <w:r w:rsidRPr="00A20750">
        <w:t>The percentage of spontaneous alternation was calculated using the following formula:</w:t>
      </w:r>
    </w:p>
    <w:p w14:paraId="588D0CC3" w14:textId="77777777" w:rsidR="000D44C9" w:rsidRPr="00A20750" w:rsidRDefault="000D44C9" w:rsidP="00256FF2">
      <w:pPr>
        <w:pStyle w:val="NormalWeb"/>
        <w:spacing w:before="0" w:beforeAutospacing="0" w:after="0" w:afterAutospacing="0"/>
        <w:jc w:val="both"/>
      </w:pPr>
      <w:r w:rsidRPr="00A20750">
        <w:t>(spontaneous alternations / (total arm entries − 2)) × 100</w:t>
      </w:r>
    </w:p>
    <w:p w14:paraId="362F830F" w14:textId="66945B68" w:rsidR="000D44C9" w:rsidRPr="00A20750" w:rsidRDefault="000D44C9" w:rsidP="00256FF2">
      <w:pPr>
        <w:pStyle w:val="NormalWeb"/>
        <w:spacing w:before="0" w:beforeAutospacing="0" w:after="0" w:afterAutospacing="0"/>
        <w:jc w:val="both"/>
      </w:pPr>
      <w:r w:rsidRPr="00A20750">
        <w:t>The maze apparatus was cleaned with 70% alcohol between testing sessions to eliminate odor cues that could influence animal behavior. Behavioral assessments were conducted at three time points: baseline (pre-induction), week 5 (post-induction), and week 9 (post-HBOT) [9].</w:t>
      </w:r>
    </w:p>
    <w:p w14:paraId="0B5AD43C" w14:textId="64839240" w:rsidR="00884F27" w:rsidRPr="00A20750" w:rsidRDefault="000D44C9" w:rsidP="00256FF2">
      <w:pPr>
        <w:pStyle w:val="IOP-CS-BodyText"/>
        <w:spacing w:line="240" w:lineRule="auto"/>
        <w:jc w:val="center"/>
        <w:rPr>
          <w:rFonts w:ascii="Times New Roman" w:hAnsi="Times New Roman" w:cs="Times New Roman"/>
          <w:noProof/>
          <w:sz w:val="24"/>
          <w:szCs w:val="24"/>
          <w:lang w:val="pt-PT"/>
        </w:rPr>
      </w:pPr>
      <w:r w:rsidRPr="00A20750">
        <w:rPr>
          <w:rFonts w:ascii="Times New Roman" w:hAnsi="Times New Roman" w:cs="Times New Roman"/>
          <w:noProof/>
          <w:sz w:val="24"/>
          <w:szCs w:val="24"/>
          <w:lang w:val="pt-PT"/>
        </w:rPr>
        <w:drawing>
          <wp:anchor distT="0" distB="0" distL="114300" distR="114300" simplePos="0" relativeHeight="251660288" behindDoc="0" locked="0" layoutInCell="1" allowOverlap="1" wp14:anchorId="6400C324" wp14:editId="03CF6BB2">
            <wp:simplePos x="0" y="0"/>
            <wp:positionH relativeFrom="column">
              <wp:posOffset>2210435</wp:posOffset>
            </wp:positionH>
            <wp:positionV relativeFrom="paragraph">
              <wp:posOffset>222648</wp:posOffset>
            </wp:positionV>
            <wp:extent cx="1789408" cy="1457353"/>
            <wp:effectExtent l="0" t="0" r="0" b="0"/>
            <wp:wrapTopAndBottom/>
            <wp:docPr id="74791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17028" name=""/>
                    <pic:cNvPicPr/>
                  </pic:nvPicPr>
                  <pic:blipFill>
                    <a:blip r:embed="rId9">
                      <a:extLst>
                        <a:ext uri="{28A0092B-C50C-407E-A947-70E740481C1C}">
                          <a14:useLocalDpi xmlns:a14="http://schemas.microsoft.com/office/drawing/2010/main" val="0"/>
                        </a:ext>
                      </a:extLst>
                    </a:blip>
                    <a:stretch>
                      <a:fillRect/>
                    </a:stretch>
                  </pic:blipFill>
                  <pic:spPr>
                    <a:xfrm>
                      <a:off x="0" y="0"/>
                      <a:ext cx="1789408" cy="1457353"/>
                    </a:xfrm>
                    <a:prstGeom prst="rect">
                      <a:avLst/>
                    </a:prstGeom>
                  </pic:spPr>
                </pic:pic>
              </a:graphicData>
            </a:graphic>
            <wp14:sizeRelH relativeFrom="page">
              <wp14:pctWidth>0</wp14:pctWidth>
            </wp14:sizeRelH>
            <wp14:sizeRelV relativeFrom="page">
              <wp14:pctHeight>0</wp14:pctHeight>
            </wp14:sizeRelV>
          </wp:anchor>
        </w:drawing>
      </w:r>
    </w:p>
    <w:p w14:paraId="4AD0BF83" w14:textId="3022818A" w:rsidR="00F51CB4" w:rsidRPr="00A20750" w:rsidRDefault="000D44C9" w:rsidP="00256FF2">
      <w:pPr>
        <w:tabs>
          <w:tab w:val="left" w:pos="3206"/>
        </w:tabs>
        <w:spacing w:after="0" w:line="240" w:lineRule="auto"/>
        <w:jc w:val="both"/>
        <w:rPr>
          <w:rFonts w:ascii="Times New Roman" w:eastAsiaTheme="minorHAnsi" w:hAnsi="Times New Roman" w:cs="Times New Roman"/>
          <w:noProof/>
          <w:kern w:val="2"/>
          <w:sz w:val="24"/>
          <w:szCs w:val="24"/>
        </w:rPr>
      </w:pPr>
      <w:r w:rsidRPr="00A20750">
        <w:rPr>
          <w:rFonts w:ascii="Times New Roman" w:eastAsiaTheme="minorHAnsi" w:hAnsi="Times New Roman" w:cs="Times New Roman"/>
          <w:b/>
          <w:bCs/>
          <w:noProof/>
          <w:kern w:val="2"/>
          <w:sz w:val="24"/>
          <w:szCs w:val="24"/>
        </w:rPr>
        <w:t xml:space="preserve">Figure 1: </w:t>
      </w:r>
      <w:r w:rsidRPr="00A20750">
        <w:rPr>
          <w:rFonts w:ascii="Times New Roman" w:eastAsiaTheme="minorHAnsi" w:hAnsi="Times New Roman" w:cs="Times New Roman"/>
          <w:noProof/>
          <w:kern w:val="2"/>
          <w:sz w:val="24"/>
          <w:szCs w:val="24"/>
        </w:rPr>
        <w:t>Y-maze apparatus used to assess spatial working memory in Sprague–Dawley rats. The maze consists of three identical arms (30 cm × 8 cm × 15 cm) arranged at 120° angles and constructed from polyvinyl chloride (PVC).</w:t>
      </w:r>
    </w:p>
    <w:p w14:paraId="45579B4D" w14:textId="77777777" w:rsidR="000D44C9" w:rsidRPr="00A20750" w:rsidRDefault="000D44C9" w:rsidP="00256FF2">
      <w:pPr>
        <w:tabs>
          <w:tab w:val="left" w:pos="3206"/>
        </w:tabs>
        <w:spacing w:after="0" w:line="240" w:lineRule="auto"/>
        <w:jc w:val="both"/>
        <w:rPr>
          <w:rFonts w:ascii="Times New Roman" w:eastAsiaTheme="minorHAnsi" w:hAnsi="Times New Roman" w:cs="Times New Roman"/>
          <w:noProof/>
          <w:kern w:val="2"/>
          <w:sz w:val="24"/>
          <w:szCs w:val="24"/>
        </w:rPr>
      </w:pPr>
    </w:p>
    <w:p w14:paraId="5789D4DE" w14:textId="77777777" w:rsidR="000D44C9" w:rsidRPr="00A20750" w:rsidRDefault="000D44C9" w:rsidP="00256FF2">
      <w:pPr>
        <w:tabs>
          <w:tab w:val="left" w:pos="3206"/>
        </w:tabs>
        <w:spacing w:after="0" w:line="240" w:lineRule="auto"/>
        <w:jc w:val="both"/>
        <w:rPr>
          <w:rFonts w:ascii="Times New Roman" w:hAnsi="Times New Roman" w:cs="Times New Roman"/>
          <w:sz w:val="24"/>
          <w:szCs w:val="24"/>
        </w:rPr>
      </w:pPr>
    </w:p>
    <w:p w14:paraId="67414CFA" w14:textId="2AE6C7C3" w:rsidR="002F7D66" w:rsidRPr="00A20750" w:rsidRDefault="00AF78BE" w:rsidP="00256FF2">
      <w:pPr>
        <w:spacing w:line="240" w:lineRule="auto"/>
        <w:jc w:val="both"/>
        <w:rPr>
          <w:rFonts w:ascii="Times New Roman" w:hAnsi="Times New Roman" w:cs="Times New Roman"/>
          <w:b/>
          <w:bCs/>
          <w:sz w:val="24"/>
          <w:szCs w:val="24"/>
        </w:rPr>
      </w:pPr>
      <w:r w:rsidRPr="00A20750">
        <w:rPr>
          <w:rFonts w:ascii="Times New Roman" w:hAnsi="Times New Roman" w:cs="Times New Roman"/>
          <w:b/>
          <w:bCs/>
          <w:sz w:val="24"/>
          <w:szCs w:val="24"/>
        </w:rPr>
        <w:t xml:space="preserve">Results  </w:t>
      </w:r>
    </w:p>
    <w:p w14:paraId="26CFEE92" w14:textId="77777777" w:rsidR="00CF23DE" w:rsidRPr="00A20750" w:rsidRDefault="00CF23DE" w:rsidP="00256FF2">
      <w:pPr>
        <w:pStyle w:val="IOP-CS-BodyText"/>
        <w:spacing w:line="240" w:lineRule="auto"/>
        <w:rPr>
          <w:rFonts w:ascii="Times New Roman" w:hAnsi="Times New Roman" w:cs="Times New Roman"/>
          <w:noProof/>
          <w:sz w:val="24"/>
          <w:szCs w:val="24"/>
          <w:lang w:val="en-ID"/>
        </w:rPr>
      </w:pPr>
      <w:r w:rsidRPr="00A20750">
        <w:rPr>
          <w:rFonts w:ascii="Times New Roman" w:hAnsi="Times New Roman" w:cs="Times New Roman"/>
          <w:noProof/>
          <w:sz w:val="24"/>
          <w:szCs w:val="24"/>
          <w:lang w:val="en-ID"/>
        </w:rPr>
        <w:t xml:space="preserve">This study evaluated the effect of Hyperbaric Oxygen Therapy (HBOT) following </w:t>
      </w:r>
      <w:r w:rsidRPr="00A20750">
        <w:rPr>
          <w:rFonts w:ascii="Times New Roman" w:hAnsi="Times New Roman" w:cs="Times New Roman"/>
          <w:i/>
          <w:iCs/>
          <w:noProof/>
          <w:sz w:val="24"/>
          <w:szCs w:val="24"/>
          <w:lang w:val="en-ID"/>
        </w:rPr>
        <w:t>Porphyromonas gingivalis</w:t>
      </w:r>
      <w:r w:rsidRPr="00A20750">
        <w:rPr>
          <w:rFonts w:ascii="Times New Roman" w:hAnsi="Times New Roman" w:cs="Times New Roman"/>
          <w:noProof/>
          <w:sz w:val="24"/>
          <w:szCs w:val="24"/>
          <w:lang w:val="en-ID"/>
        </w:rPr>
        <w:t xml:space="preserve"> induction by assessing spatial working memory using the Y-maze spontaneous alternation test at three time points: baseline (pretest), week 5 (post-induction), and week 9 (post-HBOT treatment). Data were summarized descriptively and analyzed using inferential statistical tests at a 95% confidence level (p = 0.05) using IBM SPSS Statistics version 27.0.</w:t>
      </w:r>
    </w:p>
    <w:p w14:paraId="12001695" w14:textId="77777777" w:rsidR="00CF23DE" w:rsidRPr="00A20750" w:rsidRDefault="00CF23DE" w:rsidP="00256FF2">
      <w:pPr>
        <w:pStyle w:val="IOP-CS-BodyText"/>
        <w:spacing w:line="240" w:lineRule="auto"/>
        <w:rPr>
          <w:rFonts w:ascii="Times New Roman" w:hAnsi="Times New Roman" w:cs="Times New Roman"/>
          <w:noProof/>
          <w:sz w:val="24"/>
          <w:szCs w:val="24"/>
          <w:lang w:val="en-ID"/>
        </w:rPr>
      </w:pPr>
      <w:r w:rsidRPr="00A20750">
        <w:rPr>
          <w:rFonts w:ascii="Times New Roman" w:hAnsi="Times New Roman" w:cs="Times New Roman"/>
          <w:noProof/>
          <w:sz w:val="24"/>
          <w:szCs w:val="24"/>
          <w:lang w:val="en-ID"/>
        </w:rPr>
        <w:t xml:space="preserve">Descriptive statistics of spatial working memory scores in both the control and treatment groups are presented in Table 1. In the control group, the mean spatial working memory score at baseline was 70.85 ± 4.97. The score slightly decreased to 65.45 ± 9.60 at week 5 and increased to 68.00 ± 5.08 at week 9. In the treatment group, the baseline score was 68.02 ± 1.67, which markedly decreased to 32.01 ± 24.71 following </w:t>
      </w:r>
      <w:r w:rsidRPr="00A20750">
        <w:rPr>
          <w:rFonts w:ascii="Times New Roman" w:hAnsi="Times New Roman" w:cs="Times New Roman"/>
          <w:i/>
          <w:iCs/>
          <w:noProof/>
          <w:sz w:val="24"/>
          <w:szCs w:val="24"/>
          <w:lang w:val="en-ID"/>
        </w:rPr>
        <w:t>P. gingivalis</w:t>
      </w:r>
      <w:r w:rsidRPr="00A20750">
        <w:rPr>
          <w:rFonts w:ascii="Times New Roman" w:hAnsi="Times New Roman" w:cs="Times New Roman"/>
          <w:noProof/>
          <w:sz w:val="24"/>
          <w:szCs w:val="24"/>
          <w:lang w:val="en-ID"/>
        </w:rPr>
        <w:t xml:space="preserve"> induction at week 5. After HBOT administration, the score increased to 52.09 ± 14.03 at week 9.</w:t>
      </w:r>
    </w:p>
    <w:p w14:paraId="6B5CC88E" w14:textId="77777777" w:rsidR="00256FF2" w:rsidRPr="00A20750" w:rsidRDefault="00256FF2" w:rsidP="00256FF2">
      <w:pPr>
        <w:pStyle w:val="IOP-CS-BodyText"/>
        <w:spacing w:line="240" w:lineRule="auto"/>
        <w:rPr>
          <w:rFonts w:ascii="Times New Roman" w:hAnsi="Times New Roman" w:cs="Times New Roman"/>
          <w:noProof/>
          <w:sz w:val="24"/>
          <w:szCs w:val="24"/>
          <w:lang w:val="en-ID"/>
        </w:rPr>
      </w:pPr>
    </w:p>
    <w:p w14:paraId="0C00FFBA" w14:textId="77777777" w:rsidR="00256FF2" w:rsidRPr="00A20750" w:rsidRDefault="00256FF2" w:rsidP="00256FF2">
      <w:pPr>
        <w:pStyle w:val="IOP-CS-BodyText"/>
        <w:spacing w:line="240" w:lineRule="auto"/>
        <w:rPr>
          <w:rFonts w:ascii="Times New Roman" w:hAnsi="Times New Roman" w:cs="Times New Roman"/>
          <w:noProof/>
          <w:sz w:val="24"/>
          <w:szCs w:val="24"/>
          <w:lang w:val="en-ID"/>
        </w:rPr>
      </w:pPr>
    </w:p>
    <w:p w14:paraId="40F94070" w14:textId="77777777" w:rsidR="00DF5F1B" w:rsidRPr="00A20750" w:rsidRDefault="00DF5F1B" w:rsidP="00256FF2">
      <w:pPr>
        <w:pStyle w:val="IOP-CS-BodyText"/>
        <w:spacing w:line="240" w:lineRule="auto"/>
        <w:rPr>
          <w:rFonts w:ascii="Times New Roman" w:hAnsi="Times New Roman" w:cs="Times New Roman"/>
          <w:noProof/>
          <w:sz w:val="24"/>
          <w:szCs w:val="24"/>
          <w:lang w:val="en-ID"/>
        </w:rPr>
      </w:pPr>
    </w:p>
    <w:p w14:paraId="1DB4C426" w14:textId="65E443DA" w:rsidR="00DF5F1B" w:rsidRPr="00A20750" w:rsidRDefault="00DF5F1B" w:rsidP="00256FF2">
      <w:pPr>
        <w:pStyle w:val="IOP-CS-BodyText"/>
        <w:spacing w:line="240" w:lineRule="auto"/>
        <w:jc w:val="center"/>
        <w:rPr>
          <w:rFonts w:ascii="Times New Roman" w:hAnsi="Times New Roman" w:cs="Times New Roman"/>
          <w:noProof/>
          <w:sz w:val="24"/>
          <w:szCs w:val="24"/>
          <w:lang w:val="en-ID"/>
        </w:rPr>
      </w:pPr>
      <w:r w:rsidRPr="00A20750">
        <w:rPr>
          <w:rFonts w:ascii="Times New Roman" w:hAnsi="Times New Roman" w:cs="Times New Roman"/>
          <w:b/>
          <w:bCs/>
          <w:noProof/>
          <w:sz w:val="24"/>
          <w:szCs w:val="24"/>
          <w:lang w:val="en-US"/>
        </w:rPr>
        <w:lastRenderedPageBreak/>
        <w:t>Table 1.</w:t>
      </w:r>
      <w:r w:rsidRPr="00A20750">
        <w:rPr>
          <w:rFonts w:ascii="Times New Roman" w:hAnsi="Times New Roman" w:cs="Times New Roman"/>
          <w:noProof/>
          <w:sz w:val="24"/>
          <w:szCs w:val="24"/>
          <w:lang w:val="en-US"/>
        </w:rPr>
        <w:t xml:space="preserve"> Mean and Standard Deviation of Y-Maze Spontaneous Alternation Scores</w:t>
      </w:r>
    </w:p>
    <w:tbl>
      <w:tblPr>
        <w:tblStyle w:val="TableGrid"/>
        <w:tblW w:w="0" w:type="auto"/>
        <w:tblInd w:w="250" w:type="dxa"/>
        <w:tblLook w:val="04A0" w:firstRow="1" w:lastRow="0" w:firstColumn="1" w:lastColumn="0" w:noHBand="0" w:noVBand="1"/>
      </w:tblPr>
      <w:tblGrid>
        <w:gridCol w:w="1418"/>
        <w:gridCol w:w="3120"/>
        <w:gridCol w:w="2394"/>
        <w:gridCol w:w="2140"/>
      </w:tblGrid>
      <w:tr w:rsidR="00CF23DE" w:rsidRPr="00A20750" w14:paraId="081C679F" w14:textId="77777777" w:rsidTr="008C41DF">
        <w:tc>
          <w:tcPr>
            <w:tcW w:w="1418" w:type="dxa"/>
            <w:vAlign w:val="center"/>
          </w:tcPr>
          <w:p w14:paraId="3E44334E" w14:textId="3BE9457B"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b/>
                <w:bCs/>
                <w:sz w:val="24"/>
                <w:szCs w:val="24"/>
              </w:rPr>
              <w:t>Group</w:t>
            </w:r>
          </w:p>
        </w:tc>
        <w:tc>
          <w:tcPr>
            <w:tcW w:w="3120" w:type="dxa"/>
            <w:vAlign w:val="center"/>
          </w:tcPr>
          <w:p w14:paraId="597104A9" w14:textId="7F1B4D28"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b/>
                <w:bCs/>
                <w:sz w:val="24"/>
                <w:szCs w:val="24"/>
              </w:rPr>
              <w:t>Time Point</w:t>
            </w:r>
          </w:p>
        </w:tc>
        <w:tc>
          <w:tcPr>
            <w:tcW w:w="2394" w:type="dxa"/>
            <w:vAlign w:val="center"/>
          </w:tcPr>
          <w:p w14:paraId="5FCCB29E" w14:textId="556BF0B0"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b/>
                <w:bCs/>
                <w:sz w:val="24"/>
                <w:szCs w:val="24"/>
              </w:rPr>
              <w:t>n</w:t>
            </w:r>
          </w:p>
        </w:tc>
        <w:tc>
          <w:tcPr>
            <w:tcW w:w="2140" w:type="dxa"/>
            <w:vAlign w:val="center"/>
          </w:tcPr>
          <w:p w14:paraId="4AED2E77" w14:textId="28FD8534"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b/>
                <w:bCs/>
                <w:sz w:val="24"/>
                <w:szCs w:val="24"/>
              </w:rPr>
              <w:t>Mean ± SD</w:t>
            </w:r>
          </w:p>
        </w:tc>
      </w:tr>
      <w:tr w:rsidR="00CF23DE" w:rsidRPr="00A20750" w14:paraId="1BAFA17D" w14:textId="77777777" w:rsidTr="008C41DF">
        <w:tc>
          <w:tcPr>
            <w:tcW w:w="1418" w:type="dxa"/>
            <w:vAlign w:val="center"/>
          </w:tcPr>
          <w:p w14:paraId="44BFF0D0" w14:textId="20EBD9A2"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Control</w:t>
            </w:r>
          </w:p>
        </w:tc>
        <w:tc>
          <w:tcPr>
            <w:tcW w:w="3120" w:type="dxa"/>
            <w:vAlign w:val="center"/>
          </w:tcPr>
          <w:p w14:paraId="1286424B" w14:textId="1308E91B"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Baseline (Pretest)</w:t>
            </w:r>
          </w:p>
        </w:tc>
        <w:tc>
          <w:tcPr>
            <w:tcW w:w="2394" w:type="dxa"/>
            <w:vAlign w:val="center"/>
          </w:tcPr>
          <w:p w14:paraId="43A9EBD9" w14:textId="57E36EB3"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11</w:t>
            </w:r>
          </w:p>
        </w:tc>
        <w:tc>
          <w:tcPr>
            <w:tcW w:w="2140" w:type="dxa"/>
            <w:vAlign w:val="center"/>
          </w:tcPr>
          <w:p w14:paraId="68C9AAF0" w14:textId="4B1AA437"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70.85 ± 4.97</w:t>
            </w:r>
          </w:p>
        </w:tc>
      </w:tr>
      <w:tr w:rsidR="00CF23DE" w:rsidRPr="00A20750" w14:paraId="1113E7FF" w14:textId="77777777" w:rsidTr="008C41DF">
        <w:tc>
          <w:tcPr>
            <w:tcW w:w="1418" w:type="dxa"/>
            <w:vAlign w:val="center"/>
          </w:tcPr>
          <w:p w14:paraId="59D29D94" w14:textId="581AADFE"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Control</w:t>
            </w:r>
          </w:p>
        </w:tc>
        <w:tc>
          <w:tcPr>
            <w:tcW w:w="3120" w:type="dxa"/>
            <w:vAlign w:val="center"/>
          </w:tcPr>
          <w:p w14:paraId="7FF41133" w14:textId="1291C537"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Week 5 (</w:t>
            </w:r>
            <w:proofErr w:type="gramStart"/>
            <w:r w:rsidRPr="00A20750">
              <w:rPr>
                <w:rFonts w:ascii="Times New Roman" w:hAnsi="Times New Roman" w:cs="Times New Roman"/>
                <w:sz w:val="24"/>
                <w:szCs w:val="24"/>
              </w:rPr>
              <w:t>Post-Induction</w:t>
            </w:r>
            <w:proofErr w:type="gramEnd"/>
            <w:r w:rsidRPr="00A20750">
              <w:rPr>
                <w:rFonts w:ascii="Times New Roman" w:hAnsi="Times New Roman" w:cs="Times New Roman"/>
                <w:sz w:val="24"/>
                <w:szCs w:val="24"/>
              </w:rPr>
              <w:t>)</w:t>
            </w:r>
          </w:p>
        </w:tc>
        <w:tc>
          <w:tcPr>
            <w:tcW w:w="2394" w:type="dxa"/>
            <w:vAlign w:val="center"/>
          </w:tcPr>
          <w:p w14:paraId="5144DAF2" w14:textId="7D477D95"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11</w:t>
            </w:r>
          </w:p>
        </w:tc>
        <w:tc>
          <w:tcPr>
            <w:tcW w:w="2140" w:type="dxa"/>
            <w:vAlign w:val="center"/>
          </w:tcPr>
          <w:p w14:paraId="599054D9" w14:textId="3AA9BC95"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65.45 ± 9.60</w:t>
            </w:r>
          </w:p>
        </w:tc>
      </w:tr>
      <w:tr w:rsidR="00CF23DE" w:rsidRPr="00A20750" w14:paraId="0CAE4993" w14:textId="77777777" w:rsidTr="008C41DF">
        <w:tc>
          <w:tcPr>
            <w:tcW w:w="1418" w:type="dxa"/>
            <w:vAlign w:val="center"/>
          </w:tcPr>
          <w:p w14:paraId="18828C79" w14:textId="1CB478EC"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Control</w:t>
            </w:r>
          </w:p>
        </w:tc>
        <w:tc>
          <w:tcPr>
            <w:tcW w:w="3120" w:type="dxa"/>
            <w:vAlign w:val="center"/>
          </w:tcPr>
          <w:p w14:paraId="6353B6E7" w14:textId="528FB293"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Week 9 (Follow-up)</w:t>
            </w:r>
          </w:p>
        </w:tc>
        <w:tc>
          <w:tcPr>
            <w:tcW w:w="2394" w:type="dxa"/>
            <w:vAlign w:val="center"/>
          </w:tcPr>
          <w:p w14:paraId="1D9C978F" w14:textId="6DC29E1F"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11</w:t>
            </w:r>
          </w:p>
        </w:tc>
        <w:tc>
          <w:tcPr>
            <w:tcW w:w="2140" w:type="dxa"/>
            <w:vAlign w:val="center"/>
          </w:tcPr>
          <w:p w14:paraId="1B6F020C" w14:textId="5E38FA9B"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68.00 ± 5.08</w:t>
            </w:r>
          </w:p>
        </w:tc>
      </w:tr>
      <w:tr w:rsidR="00CF23DE" w:rsidRPr="00A20750" w14:paraId="0C898459" w14:textId="77777777" w:rsidTr="008C41DF">
        <w:tc>
          <w:tcPr>
            <w:tcW w:w="1418" w:type="dxa"/>
            <w:vAlign w:val="center"/>
          </w:tcPr>
          <w:p w14:paraId="29C8BE16" w14:textId="4AF2E326"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Treatment</w:t>
            </w:r>
          </w:p>
        </w:tc>
        <w:tc>
          <w:tcPr>
            <w:tcW w:w="3120" w:type="dxa"/>
            <w:vAlign w:val="center"/>
          </w:tcPr>
          <w:p w14:paraId="15311056" w14:textId="630116A6"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Baseline (Pretest)</w:t>
            </w:r>
          </w:p>
        </w:tc>
        <w:tc>
          <w:tcPr>
            <w:tcW w:w="2394" w:type="dxa"/>
            <w:vAlign w:val="center"/>
          </w:tcPr>
          <w:p w14:paraId="164C6B84" w14:textId="3BCEC315"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11</w:t>
            </w:r>
          </w:p>
        </w:tc>
        <w:tc>
          <w:tcPr>
            <w:tcW w:w="2140" w:type="dxa"/>
            <w:vAlign w:val="center"/>
          </w:tcPr>
          <w:p w14:paraId="0CC56A3E" w14:textId="061EE23C"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68.02 ± 1.67</w:t>
            </w:r>
          </w:p>
        </w:tc>
      </w:tr>
      <w:tr w:rsidR="00CF23DE" w:rsidRPr="00A20750" w14:paraId="39BAA76E" w14:textId="77777777" w:rsidTr="008C41DF">
        <w:tc>
          <w:tcPr>
            <w:tcW w:w="1418" w:type="dxa"/>
            <w:vAlign w:val="center"/>
          </w:tcPr>
          <w:p w14:paraId="3BD30C41" w14:textId="69D9D6F6"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Treatment</w:t>
            </w:r>
          </w:p>
        </w:tc>
        <w:tc>
          <w:tcPr>
            <w:tcW w:w="3120" w:type="dxa"/>
            <w:vAlign w:val="center"/>
          </w:tcPr>
          <w:p w14:paraId="2A89FD45" w14:textId="651879ED"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Week 5 (</w:t>
            </w:r>
            <w:proofErr w:type="gramStart"/>
            <w:r w:rsidRPr="00A20750">
              <w:rPr>
                <w:rFonts w:ascii="Times New Roman" w:hAnsi="Times New Roman" w:cs="Times New Roman"/>
                <w:sz w:val="24"/>
                <w:szCs w:val="24"/>
              </w:rPr>
              <w:t>Post-Induction</w:t>
            </w:r>
            <w:proofErr w:type="gramEnd"/>
            <w:r w:rsidRPr="00A20750">
              <w:rPr>
                <w:rFonts w:ascii="Times New Roman" w:hAnsi="Times New Roman" w:cs="Times New Roman"/>
                <w:sz w:val="24"/>
                <w:szCs w:val="24"/>
              </w:rPr>
              <w:t>)</w:t>
            </w:r>
          </w:p>
        </w:tc>
        <w:tc>
          <w:tcPr>
            <w:tcW w:w="2394" w:type="dxa"/>
            <w:vAlign w:val="center"/>
          </w:tcPr>
          <w:p w14:paraId="0AC609E0" w14:textId="770A5BC6"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11</w:t>
            </w:r>
          </w:p>
        </w:tc>
        <w:tc>
          <w:tcPr>
            <w:tcW w:w="2140" w:type="dxa"/>
            <w:vAlign w:val="center"/>
          </w:tcPr>
          <w:p w14:paraId="6A7586A0" w14:textId="636FC399"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32.01 ± 24.71</w:t>
            </w:r>
          </w:p>
        </w:tc>
      </w:tr>
      <w:tr w:rsidR="00CF23DE" w:rsidRPr="00A20750" w14:paraId="3B1457E5" w14:textId="77777777" w:rsidTr="008C41DF">
        <w:tc>
          <w:tcPr>
            <w:tcW w:w="1418" w:type="dxa"/>
            <w:vAlign w:val="center"/>
          </w:tcPr>
          <w:p w14:paraId="48B5F1BD" w14:textId="51AFAA69"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Treatment</w:t>
            </w:r>
          </w:p>
        </w:tc>
        <w:tc>
          <w:tcPr>
            <w:tcW w:w="3120" w:type="dxa"/>
            <w:vAlign w:val="center"/>
          </w:tcPr>
          <w:p w14:paraId="0707C425" w14:textId="5B295236"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Week 9 (</w:t>
            </w:r>
            <w:proofErr w:type="gramStart"/>
            <w:r w:rsidRPr="00A20750">
              <w:rPr>
                <w:rFonts w:ascii="Times New Roman" w:hAnsi="Times New Roman" w:cs="Times New Roman"/>
                <w:sz w:val="24"/>
                <w:szCs w:val="24"/>
              </w:rPr>
              <w:t>Post-HBOT</w:t>
            </w:r>
            <w:proofErr w:type="gramEnd"/>
            <w:r w:rsidRPr="00A20750">
              <w:rPr>
                <w:rFonts w:ascii="Times New Roman" w:hAnsi="Times New Roman" w:cs="Times New Roman"/>
                <w:sz w:val="24"/>
                <w:szCs w:val="24"/>
              </w:rPr>
              <w:t>)</w:t>
            </w:r>
          </w:p>
        </w:tc>
        <w:tc>
          <w:tcPr>
            <w:tcW w:w="2394" w:type="dxa"/>
            <w:vAlign w:val="center"/>
          </w:tcPr>
          <w:p w14:paraId="4FFC62CF" w14:textId="5B43DA2D"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11</w:t>
            </w:r>
          </w:p>
        </w:tc>
        <w:tc>
          <w:tcPr>
            <w:tcW w:w="2140" w:type="dxa"/>
            <w:vAlign w:val="center"/>
          </w:tcPr>
          <w:p w14:paraId="20676EDA" w14:textId="5515D427" w:rsidR="00CF23DE" w:rsidRPr="00A20750" w:rsidRDefault="00CF23DE"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52.09 ± 14.03</w:t>
            </w:r>
          </w:p>
        </w:tc>
      </w:tr>
    </w:tbl>
    <w:p w14:paraId="060EA627" w14:textId="2ADC0798" w:rsidR="0085225B" w:rsidRPr="00A20750" w:rsidRDefault="0085225B" w:rsidP="00256FF2">
      <w:pPr>
        <w:pStyle w:val="IOP-CS-BodyText"/>
        <w:spacing w:line="240" w:lineRule="auto"/>
        <w:ind w:firstLine="0"/>
        <w:rPr>
          <w:rFonts w:ascii="Times New Roman" w:hAnsi="Times New Roman" w:cs="Times New Roman"/>
          <w:noProof/>
          <w:sz w:val="24"/>
          <w:szCs w:val="24"/>
          <w:lang w:val="pt-PT"/>
        </w:rPr>
      </w:pPr>
    </w:p>
    <w:p w14:paraId="700F3835" w14:textId="617FE8CB" w:rsidR="008C41DF" w:rsidRPr="00A20750" w:rsidRDefault="008C41DF" w:rsidP="00256FF2">
      <w:pPr>
        <w:pStyle w:val="IOP-CS-BodyText"/>
        <w:spacing w:line="240" w:lineRule="auto"/>
        <w:ind w:firstLine="0"/>
        <w:rPr>
          <w:rFonts w:ascii="Times New Roman" w:hAnsi="Times New Roman" w:cs="Times New Roman"/>
          <w:noProof/>
          <w:sz w:val="24"/>
          <w:szCs w:val="24"/>
          <w:lang w:val="en-US"/>
        </w:rPr>
      </w:pPr>
      <w:r w:rsidRPr="00A20750">
        <w:rPr>
          <w:rFonts w:ascii="Times New Roman" w:hAnsi="Times New Roman" w:cs="Times New Roman"/>
          <w:noProof/>
          <w:sz w:val="24"/>
          <w:szCs w:val="24"/>
          <w:lang w:val="en-US"/>
        </w:rPr>
        <w:t xml:space="preserve">A graphical representation of the changes in spatial working memory scores across the observation periods is presented in Figure 2. The figure illustrates the relatively stable pattern of spatial working memory in the control group and the marked decrease in performance following </w:t>
      </w:r>
      <w:r w:rsidRPr="00A20750">
        <w:rPr>
          <w:rFonts w:ascii="Times New Roman" w:hAnsi="Times New Roman" w:cs="Times New Roman"/>
          <w:i/>
          <w:iCs/>
          <w:noProof/>
          <w:sz w:val="24"/>
          <w:szCs w:val="24"/>
          <w:lang w:val="en-US"/>
        </w:rPr>
        <w:t>P. gingivalis</w:t>
      </w:r>
      <w:r w:rsidRPr="00A20750">
        <w:rPr>
          <w:rFonts w:ascii="Times New Roman" w:hAnsi="Times New Roman" w:cs="Times New Roman"/>
          <w:noProof/>
          <w:sz w:val="24"/>
          <w:szCs w:val="24"/>
          <w:lang w:val="en-US"/>
        </w:rPr>
        <w:t xml:space="preserve"> induction in the treatment group, followed by improvement after HBOT administration.</w:t>
      </w:r>
    </w:p>
    <w:p w14:paraId="6E8434E0" w14:textId="7B7D9A04" w:rsidR="008C41DF" w:rsidRPr="00A20750" w:rsidRDefault="00DF5F1B" w:rsidP="00256FF2">
      <w:pPr>
        <w:pStyle w:val="IOP-CS-BodyText"/>
        <w:spacing w:line="240" w:lineRule="auto"/>
        <w:ind w:firstLine="0"/>
        <w:rPr>
          <w:rFonts w:ascii="Times New Roman" w:hAnsi="Times New Roman" w:cs="Times New Roman"/>
          <w:noProof/>
          <w:sz w:val="24"/>
          <w:szCs w:val="24"/>
          <w:lang w:val="en-US"/>
        </w:rPr>
      </w:pPr>
      <w:r w:rsidRPr="00A20750">
        <w:rPr>
          <w:rFonts w:ascii="Times New Roman" w:hAnsi="Times New Roman" w:cs="Times New Roman"/>
          <w:noProof/>
          <w:sz w:val="24"/>
          <w:szCs w:val="24"/>
          <w:lang w:val="en-US"/>
        </w:rPr>
        <w:drawing>
          <wp:inline distT="0" distB="0" distL="0" distR="0" wp14:anchorId="1C8A7CE6" wp14:editId="14E2E4CE">
            <wp:extent cx="5677469" cy="2073247"/>
            <wp:effectExtent l="0" t="0" r="0" b="0"/>
            <wp:docPr id="157188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80521" name=""/>
                    <pic:cNvPicPr/>
                  </pic:nvPicPr>
                  <pic:blipFill>
                    <a:blip r:embed="rId10"/>
                    <a:stretch>
                      <a:fillRect/>
                    </a:stretch>
                  </pic:blipFill>
                  <pic:spPr>
                    <a:xfrm>
                      <a:off x="0" y="0"/>
                      <a:ext cx="5696825" cy="2080315"/>
                    </a:xfrm>
                    <a:prstGeom prst="rect">
                      <a:avLst/>
                    </a:prstGeom>
                  </pic:spPr>
                </pic:pic>
              </a:graphicData>
            </a:graphic>
          </wp:inline>
        </w:drawing>
      </w:r>
    </w:p>
    <w:p w14:paraId="182D8906" w14:textId="77777777" w:rsidR="008C41DF" w:rsidRPr="00A20750" w:rsidRDefault="008C41DF" w:rsidP="00256FF2">
      <w:pPr>
        <w:pStyle w:val="IOP-CS-BodyText"/>
        <w:spacing w:line="240" w:lineRule="auto"/>
        <w:ind w:firstLine="0"/>
        <w:rPr>
          <w:rFonts w:ascii="Times New Roman" w:hAnsi="Times New Roman" w:cs="Times New Roman"/>
          <w:noProof/>
          <w:sz w:val="24"/>
          <w:szCs w:val="24"/>
          <w:lang w:val="en-ID"/>
        </w:rPr>
      </w:pPr>
      <w:r w:rsidRPr="00A20750">
        <w:rPr>
          <w:rFonts w:ascii="Times New Roman" w:hAnsi="Times New Roman" w:cs="Times New Roman"/>
          <w:b/>
          <w:bCs/>
          <w:noProof/>
          <w:sz w:val="24"/>
          <w:szCs w:val="24"/>
          <w:lang w:val="en-ID"/>
        </w:rPr>
        <w:t>Figure 2:</w:t>
      </w:r>
      <w:r w:rsidRPr="00A20750">
        <w:rPr>
          <w:rFonts w:ascii="Times New Roman" w:hAnsi="Times New Roman" w:cs="Times New Roman"/>
          <w:noProof/>
          <w:sz w:val="24"/>
          <w:szCs w:val="24"/>
          <w:lang w:val="en-ID"/>
        </w:rPr>
        <w:t xml:space="preserve"> Mean and standard deviation of Y-maze spontaneous alternation scores in the control and treatment groups at baseline (pretest), week 5 (post-induction), and week 9 (post-HBOT).</w:t>
      </w:r>
    </w:p>
    <w:p w14:paraId="477BFEC8" w14:textId="77777777" w:rsidR="00DF5F1B" w:rsidRPr="00A20750" w:rsidRDefault="00DF5F1B" w:rsidP="00256FF2">
      <w:pPr>
        <w:pStyle w:val="IOP-CS-BodyText"/>
        <w:spacing w:line="240" w:lineRule="auto"/>
        <w:ind w:firstLine="0"/>
        <w:rPr>
          <w:rFonts w:ascii="Times New Roman" w:hAnsi="Times New Roman" w:cs="Times New Roman"/>
          <w:noProof/>
          <w:sz w:val="24"/>
          <w:szCs w:val="24"/>
          <w:lang w:val="en-ID"/>
        </w:rPr>
      </w:pPr>
    </w:p>
    <w:p w14:paraId="25EE7BBB" w14:textId="77777777" w:rsidR="008C41DF" w:rsidRPr="00A20750" w:rsidRDefault="008C41DF" w:rsidP="00256FF2">
      <w:pPr>
        <w:pStyle w:val="IOP-CS-BodyText"/>
        <w:spacing w:line="240" w:lineRule="auto"/>
        <w:ind w:firstLine="0"/>
        <w:rPr>
          <w:rFonts w:ascii="Times New Roman" w:hAnsi="Times New Roman" w:cs="Times New Roman"/>
          <w:noProof/>
          <w:sz w:val="24"/>
          <w:szCs w:val="24"/>
          <w:lang w:val="en-ID"/>
        </w:rPr>
      </w:pPr>
      <w:r w:rsidRPr="00A20750">
        <w:rPr>
          <w:rFonts w:ascii="Times New Roman" w:hAnsi="Times New Roman" w:cs="Times New Roman"/>
          <w:noProof/>
          <w:sz w:val="24"/>
          <w:szCs w:val="24"/>
          <w:lang w:val="en-ID"/>
        </w:rPr>
        <w:t>Normality testing was performed using the Shapiro–Wilk test, while homogeneity of variance was evaluated using Levene’s test. The results indicated that the control group data were normally distributed and homogeneous (p &gt; 0.05). In contrast, the treatment group data were not normally distributed (p &lt; 0.05). Therefore, different statistical approaches were applied for each group.</w:t>
      </w:r>
    </w:p>
    <w:p w14:paraId="5AB67FE8" w14:textId="77777777" w:rsidR="00DF5F1B" w:rsidRPr="00A20750" w:rsidRDefault="00DF5F1B" w:rsidP="00256FF2">
      <w:pPr>
        <w:pStyle w:val="IOP-CS-BodyText"/>
        <w:spacing w:line="240" w:lineRule="auto"/>
        <w:ind w:firstLine="0"/>
        <w:rPr>
          <w:rFonts w:ascii="Times New Roman" w:hAnsi="Times New Roman" w:cs="Times New Roman"/>
          <w:noProof/>
          <w:sz w:val="24"/>
          <w:szCs w:val="24"/>
          <w:lang w:val="en-ID"/>
        </w:rPr>
      </w:pPr>
    </w:p>
    <w:p w14:paraId="490D7286" w14:textId="77777777" w:rsidR="008C41DF" w:rsidRPr="00A20750" w:rsidRDefault="008C41DF" w:rsidP="00256FF2">
      <w:pPr>
        <w:pStyle w:val="IOP-CS-BodyText"/>
        <w:spacing w:line="240" w:lineRule="auto"/>
        <w:ind w:firstLine="0"/>
        <w:rPr>
          <w:rFonts w:ascii="Times New Roman" w:hAnsi="Times New Roman" w:cs="Times New Roman"/>
          <w:noProof/>
          <w:sz w:val="24"/>
          <w:szCs w:val="24"/>
          <w:lang w:val="en-ID"/>
        </w:rPr>
      </w:pPr>
      <w:r w:rsidRPr="00A20750">
        <w:rPr>
          <w:rFonts w:ascii="Times New Roman" w:hAnsi="Times New Roman" w:cs="Times New Roman"/>
          <w:noProof/>
          <w:sz w:val="24"/>
          <w:szCs w:val="24"/>
          <w:lang w:val="en-ID"/>
        </w:rPr>
        <w:t>For the control group, repeated-measures ANOVA was used to compare spatial working memory across the three observation time points, followed by paired t-tests for pairwise comparisons. The paired t-test results are presented in Table 2.</w:t>
      </w:r>
    </w:p>
    <w:p w14:paraId="4C2ACCBE" w14:textId="77777777" w:rsidR="00DF5F1B" w:rsidRPr="00A20750" w:rsidRDefault="00DF5F1B" w:rsidP="00256FF2">
      <w:pPr>
        <w:pStyle w:val="IOP-CS-BodyText"/>
        <w:spacing w:line="240" w:lineRule="auto"/>
        <w:ind w:firstLine="0"/>
        <w:rPr>
          <w:rFonts w:ascii="Times New Roman" w:hAnsi="Times New Roman" w:cs="Times New Roman"/>
          <w:noProof/>
          <w:sz w:val="24"/>
          <w:szCs w:val="24"/>
          <w:lang w:val="en-ID"/>
        </w:rPr>
      </w:pPr>
    </w:p>
    <w:p w14:paraId="36F4760D" w14:textId="08D199F4" w:rsidR="00DF5F1B" w:rsidRPr="00A20750" w:rsidRDefault="00DF5F1B" w:rsidP="00256FF2">
      <w:pPr>
        <w:pStyle w:val="IOP-CS-BodyText"/>
        <w:spacing w:line="240" w:lineRule="auto"/>
        <w:ind w:firstLine="0"/>
        <w:jc w:val="center"/>
        <w:rPr>
          <w:rFonts w:ascii="Times New Roman" w:hAnsi="Times New Roman" w:cs="Times New Roman"/>
          <w:noProof/>
          <w:sz w:val="24"/>
          <w:szCs w:val="24"/>
          <w:lang w:val="en-ID"/>
        </w:rPr>
      </w:pPr>
      <w:r w:rsidRPr="00A20750">
        <w:rPr>
          <w:rFonts w:ascii="Times New Roman" w:hAnsi="Times New Roman" w:cs="Times New Roman"/>
          <w:b/>
          <w:bCs/>
          <w:noProof/>
          <w:sz w:val="24"/>
          <w:szCs w:val="24"/>
          <w:lang w:val="en-US"/>
        </w:rPr>
        <w:t xml:space="preserve">Table 2. </w:t>
      </w:r>
      <w:r w:rsidRPr="00A20750">
        <w:rPr>
          <w:rFonts w:ascii="Times New Roman" w:hAnsi="Times New Roman" w:cs="Times New Roman"/>
          <w:noProof/>
          <w:sz w:val="24"/>
          <w:szCs w:val="24"/>
          <w:lang w:val="en-US"/>
        </w:rPr>
        <w:t>Paired t-Test Results for Spatial Working Memory in the Control Group</w:t>
      </w:r>
    </w:p>
    <w:tbl>
      <w:tblPr>
        <w:tblStyle w:val="TableGrid"/>
        <w:tblW w:w="0" w:type="auto"/>
        <w:tblInd w:w="250" w:type="dxa"/>
        <w:tblLook w:val="04A0" w:firstRow="1" w:lastRow="0" w:firstColumn="1" w:lastColumn="0" w:noHBand="0" w:noVBand="1"/>
      </w:tblPr>
      <w:tblGrid>
        <w:gridCol w:w="4538"/>
        <w:gridCol w:w="4392"/>
      </w:tblGrid>
      <w:tr w:rsidR="00DF5F1B" w:rsidRPr="00A20750" w14:paraId="4AEA644F" w14:textId="77777777" w:rsidTr="00DF5F1B">
        <w:tc>
          <w:tcPr>
            <w:tcW w:w="4538" w:type="dxa"/>
            <w:vAlign w:val="center"/>
          </w:tcPr>
          <w:p w14:paraId="56F982C7" w14:textId="7EE3AE83" w:rsidR="00DF5F1B" w:rsidRPr="00A20750" w:rsidRDefault="00DF5F1B"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b/>
                <w:bCs/>
                <w:sz w:val="24"/>
                <w:szCs w:val="24"/>
              </w:rPr>
              <w:t>Comparison</w:t>
            </w:r>
          </w:p>
        </w:tc>
        <w:tc>
          <w:tcPr>
            <w:tcW w:w="4392" w:type="dxa"/>
            <w:vAlign w:val="center"/>
          </w:tcPr>
          <w:p w14:paraId="3D1ADF04" w14:textId="7FAAC402" w:rsidR="00DF5F1B" w:rsidRPr="00A20750" w:rsidRDefault="00DF5F1B"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b/>
                <w:bCs/>
                <w:sz w:val="24"/>
                <w:szCs w:val="24"/>
              </w:rPr>
              <w:t>p-value</w:t>
            </w:r>
          </w:p>
        </w:tc>
      </w:tr>
      <w:tr w:rsidR="00DF5F1B" w:rsidRPr="00A20750" w14:paraId="4A5A878D" w14:textId="77777777" w:rsidTr="00DF5F1B">
        <w:tc>
          <w:tcPr>
            <w:tcW w:w="4538" w:type="dxa"/>
            <w:vAlign w:val="center"/>
          </w:tcPr>
          <w:p w14:paraId="75FC7C96" w14:textId="552E7AA2" w:rsidR="00DF5F1B" w:rsidRPr="00A20750" w:rsidRDefault="00DF5F1B"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Pretest vs Week 5</w:t>
            </w:r>
          </w:p>
        </w:tc>
        <w:tc>
          <w:tcPr>
            <w:tcW w:w="4392" w:type="dxa"/>
            <w:vAlign w:val="center"/>
          </w:tcPr>
          <w:p w14:paraId="72448977" w14:textId="73238711" w:rsidR="00DF5F1B" w:rsidRPr="00A20750" w:rsidRDefault="00DF5F1B"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0.063</w:t>
            </w:r>
          </w:p>
        </w:tc>
      </w:tr>
      <w:tr w:rsidR="00DF5F1B" w:rsidRPr="00A20750" w14:paraId="4140A595" w14:textId="77777777" w:rsidTr="00DF5F1B">
        <w:tc>
          <w:tcPr>
            <w:tcW w:w="4538" w:type="dxa"/>
            <w:vAlign w:val="center"/>
          </w:tcPr>
          <w:p w14:paraId="3540451E" w14:textId="35019ECC" w:rsidR="00DF5F1B" w:rsidRPr="00A20750" w:rsidRDefault="00DF5F1B"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Pretest vs Week 9</w:t>
            </w:r>
          </w:p>
        </w:tc>
        <w:tc>
          <w:tcPr>
            <w:tcW w:w="4392" w:type="dxa"/>
            <w:vAlign w:val="center"/>
          </w:tcPr>
          <w:p w14:paraId="7DA86BE8" w14:textId="1A35C942" w:rsidR="00DF5F1B" w:rsidRPr="00A20750" w:rsidRDefault="00DF5F1B"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0.069</w:t>
            </w:r>
          </w:p>
        </w:tc>
      </w:tr>
      <w:tr w:rsidR="00DF5F1B" w:rsidRPr="00A20750" w14:paraId="25124C96" w14:textId="77777777" w:rsidTr="00DF5F1B">
        <w:tc>
          <w:tcPr>
            <w:tcW w:w="4538" w:type="dxa"/>
            <w:vAlign w:val="center"/>
          </w:tcPr>
          <w:p w14:paraId="3F3D6E90" w14:textId="1C76B7F4" w:rsidR="00DF5F1B" w:rsidRPr="00A20750" w:rsidRDefault="00DF5F1B"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Week 5 vs Week 9</w:t>
            </w:r>
          </w:p>
        </w:tc>
        <w:tc>
          <w:tcPr>
            <w:tcW w:w="4392" w:type="dxa"/>
            <w:vAlign w:val="center"/>
          </w:tcPr>
          <w:p w14:paraId="32C75B9C" w14:textId="117BD05A" w:rsidR="00DF5F1B" w:rsidRPr="00A20750" w:rsidRDefault="00DF5F1B" w:rsidP="00256FF2">
            <w:pPr>
              <w:pStyle w:val="IOP-CS-BodyText"/>
              <w:ind w:firstLine="0"/>
              <w:jc w:val="center"/>
              <w:rPr>
                <w:rFonts w:ascii="Times New Roman" w:hAnsi="Times New Roman" w:cs="Times New Roman"/>
                <w:noProof/>
                <w:sz w:val="24"/>
                <w:szCs w:val="24"/>
                <w:lang w:val="pt-PT"/>
              </w:rPr>
            </w:pPr>
            <w:r w:rsidRPr="00A20750">
              <w:rPr>
                <w:rFonts w:ascii="Times New Roman" w:hAnsi="Times New Roman" w:cs="Times New Roman"/>
                <w:sz w:val="24"/>
                <w:szCs w:val="24"/>
              </w:rPr>
              <w:t>0.231</w:t>
            </w:r>
          </w:p>
        </w:tc>
      </w:tr>
    </w:tbl>
    <w:p w14:paraId="10B90108" w14:textId="77777777" w:rsidR="008C41DF" w:rsidRPr="00A20750" w:rsidRDefault="008C41DF" w:rsidP="00256FF2">
      <w:pPr>
        <w:pStyle w:val="IOP-CS-BodyText"/>
        <w:spacing w:line="240" w:lineRule="auto"/>
        <w:ind w:firstLine="0"/>
        <w:rPr>
          <w:rFonts w:ascii="Times New Roman" w:hAnsi="Times New Roman" w:cs="Times New Roman"/>
          <w:noProof/>
          <w:sz w:val="24"/>
          <w:szCs w:val="24"/>
          <w:lang w:val="pt-PT"/>
        </w:rPr>
      </w:pPr>
    </w:p>
    <w:p w14:paraId="4BD45529" w14:textId="77777777" w:rsidR="00DF5F1B" w:rsidRPr="00A20750" w:rsidRDefault="00DF5F1B" w:rsidP="00256FF2">
      <w:pPr>
        <w:pStyle w:val="IOP-CS-BodyText"/>
        <w:spacing w:line="240" w:lineRule="auto"/>
        <w:ind w:firstLine="0"/>
        <w:rPr>
          <w:rFonts w:ascii="Times New Roman" w:hAnsi="Times New Roman" w:cs="Times New Roman"/>
          <w:noProof/>
          <w:sz w:val="24"/>
          <w:szCs w:val="24"/>
          <w:lang w:val="en-ID"/>
        </w:rPr>
      </w:pPr>
      <w:r w:rsidRPr="00A20750">
        <w:rPr>
          <w:rFonts w:ascii="Times New Roman" w:hAnsi="Times New Roman" w:cs="Times New Roman"/>
          <w:noProof/>
          <w:sz w:val="24"/>
          <w:szCs w:val="24"/>
          <w:lang w:val="en-ID"/>
        </w:rPr>
        <w:t>The results showed that all p-values were greater than 0.05, indicating that no statistically significant differences in spatial working memory were observed across the observation periods in the control group.</w:t>
      </w:r>
    </w:p>
    <w:p w14:paraId="2BD3D4F2" w14:textId="77777777" w:rsidR="00DF5F1B" w:rsidRPr="00A20750" w:rsidRDefault="00DF5F1B" w:rsidP="00256FF2">
      <w:pPr>
        <w:pStyle w:val="IOP-CS-BodyText"/>
        <w:spacing w:line="240" w:lineRule="auto"/>
        <w:ind w:firstLine="0"/>
        <w:rPr>
          <w:rFonts w:ascii="Times New Roman" w:hAnsi="Times New Roman" w:cs="Times New Roman"/>
          <w:noProof/>
          <w:sz w:val="24"/>
          <w:szCs w:val="24"/>
          <w:lang w:val="en-ID"/>
        </w:rPr>
      </w:pPr>
      <w:r w:rsidRPr="00A20750">
        <w:rPr>
          <w:rFonts w:ascii="Times New Roman" w:hAnsi="Times New Roman" w:cs="Times New Roman"/>
          <w:noProof/>
          <w:sz w:val="24"/>
          <w:szCs w:val="24"/>
          <w:lang w:val="en-ID"/>
        </w:rPr>
        <w:lastRenderedPageBreak/>
        <w:t>For the treatment group, non-parametric tests were applied due to the non-normal distribution of the data. The Friedman test was used to evaluate differences across the three observation time points, followed by Wilcoxon signed-rank tests for pairwise comparisons. The Wilcoxon test results are presented in Table 3.</w:t>
      </w:r>
    </w:p>
    <w:p w14:paraId="734A1F16" w14:textId="77777777" w:rsidR="00604DB0" w:rsidRPr="00A20750" w:rsidRDefault="00604DB0" w:rsidP="00256FF2">
      <w:pPr>
        <w:pStyle w:val="IOP-CS-BodyText"/>
        <w:spacing w:line="240" w:lineRule="auto"/>
        <w:ind w:firstLine="0"/>
        <w:rPr>
          <w:rFonts w:ascii="Times New Roman" w:hAnsi="Times New Roman" w:cs="Times New Roman"/>
          <w:noProof/>
          <w:sz w:val="24"/>
          <w:szCs w:val="24"/>
          <w:lang w:val="en-ID"/>
        </w:rPr>
      </w:pPr>
    </w:p>
    <w:p w14:paraId="0D6EF25D" w14:textId="6DC20231" w:rsidR="00DF5F1B" w:rsidRPr="00A20750" w:rsidRDefault="00DF5F1B" w:rsidP="00256FF2">
      <w:pPr>
        <w:pStyle w:val="IOP-CS-BodyText"/>
        <w:spacing w:line="240" w:lineRule="auto"/>
        <w:ind w:firstLine="0"/>
        <w:jc w:val="center"/>
        <w:rPr>
          <w:rFonts w:ascii="Times New Roman" w:hAnsi="Times New Roman" w:cs="Times New Roman"/>
          <w:noProof/>
          <w:sz w:val="24"/>
          <w:szCs w:val="24"/>
          <w:lang w:val="en-ID"/>
        </w:rPr>
      </w:pPr>
      <w:r w:rsidRPr="00A20750">
        <w:rPr>
          <w:rFonts w:ascii="Times New Roman" w:hAnsi="Times New Roman" w:cs="Times New Roman"/>
          <w:b/>
          <w:bCs/>
          <w:noProof/>
          <w:sz w:val="24"/>
          <w:szCs w:val="24"/>
          <w:lang w:val="en-US"/>
        </w:rPr>
        <w:t>Table 3.</w:t>
      </w:r>
      <w:r w:rsidRPr="00A20750">
        <w:rPr>
          <w:rFonts w:ascii="Times New Roman" w:hAnsi="Times New Roman" w:cs="Times New Roman"/>
          <w:noProof/>
          <w:sz w:val="24"/>
          <w:szCs w:val="24"/>
          <w:lang w:val="en-US"/>
        </w:rPr>
        <w:t xml:space="preserve"> Wilcoxon Signed-Rank Test Results for Spatial Working Memory in the Treatment Group</w:t>
      </w:r>
    </w:p>
    <w:tbl>
      <w:tblPr>
        <w:tblStyle w:val="TableGrid"/>
        <w:tblW w:w="0" w:type="auto"/>
        <w:jc w:val="center"/>
        <w:tblLook w:val="04A0" w:firstRow="1" w:lastRow="0" w:firstColumn="1" w:lastColumn="0" w:noHBand="0" w:noVBand="1"/>
      </w:tblPr>
      <w:tblGrid>
        <w:gridCol w:w="3120"/>
        <w:gridCol w:w="1699"/>
      </w:tblGrid>
      <w:tr w:rsidR="00DF5F1B" w:rsidRPr="00A20750" w14:paraId="3BE83FB8" w14:textId="77777777" w:rsidTr="00DF5F1B">
        <w:trPr>
          <w:jc w:val="center"/>
        </w:trPr>
        <w:tc>
          <w:tcPr>
            <w:tcW w:w="3120" w:type="dxa"/>
            <w:vAlign w:val="center"/>
          </w:tcPr>
          <w:p w14:paraId="11AD3010" w14:textId="61D9018E" w:rsidR="00DF5F1B" w:rsidRPr="00A20750" w:rsidRDefault="00DF5F1B" w:rsidP="00256FF2">
            <w:pPr>
              <w:pStyle w:val="IOP-CS-BodyText"/>
              <w:ind w:firstLine="0"/>
              <w:rPr>
                <w:rFonts w:ascii="Times New Roman" w:hAnsi="Times New Roman" w:cs="Times New Roman"/>
                <w:noProof/>
                <w:sz w:val="24"/>
                <w:szCs w:val="24"/>
                <w:lang w:val="en-ID"/>
              </w:rPr>
            </w:pPr>
            <w:r w:rsidRPr="00A20750">
              <w:rPr>
                <w:rFonts w:ascii="Times New Roman" w:hAnsi="Times New Roman" w:cs="Times New Roman"/>
                <w:b/>
                <w:bCs/>
                <w:sz w:val="24"/>
                <w:szCs w:val="24"/>
              </w:rPr>
              <w:t>Comparison</w:t>
            </w:r>
          </w:p>
        </w:tc>
        <w:tc>
          <w:tcPr>
            <w:tcW w:w="1699" w:type="dxa"/>
            <w:vAlign w:val="center"/>
          </w:tcPr>
          <w:p w14:paraId="3C19914E" w14:textId="5D1D9FC4" w:rsidR="00DF5F1B" w:rsidRPr="00A20750" w:rsidRDefault="00DF5F1B" w:rsidP="00256FF2">
            <w:pPr>
              <w:pStyle w:val="IOP-CS-BodyText"/>
              <w:ind w:firstLine="0"/>
              <w:rPr>
                <w:rFonts w:ascii="Times New Roman" w:hAnsi="Times New Roman" w:cs="Times New Roman"/>
                <w:noProof/>
                <w:sz w:val="24"/>
                <w:szCs w:val="24"/>
                <w:lang w:val="en-ID"/>
              </w:rPr>
            </w:pPr>
            <w:r w:rsidRPr="00A20750">
              <w:rPr>
                <w:rFonts w:ascii="Times New Roman" w:hAnsi="Times New Roman" w:cs="Times New Roman"/>
                <w:b/>
                <w:bCs/>
                <w:sz w:val="24"/>
                <w:szCs w:val="24"/>
              </w:rPr>
              <w:t>p-value</w:t>
            </w:r>
          </w:p>
        </w:tc>
      </w:tr>
      <w:tr w:rsidR="00DF5F1B" w:rsidRPr="00A20750" w14:paraId="3A567197" w14:textId="77777777" w:rsidTr="00DF5F1B">
        <w:trPr>
          <w:jc w:val="center"/>
        </w:trPr>
        <w:tc>
          <w:tcPr>
            <w:tcW w:w="3120" w:type="dxa"/>
            <w:vAlign w:val="center"/>
          </w:tcPr>
          <w:p w14:paraId="23704109" w14:textId="548713B8" w:rsidR="00DF5F1B" w:rsidRPr="00A20750" w:rsidRDefault="00DF5F1B" w:rsidP="00256FF2">
            <w:pPr>
              <w:pStyle w:val="IOP-CS-BodyText"/>
              <w:ind w:firstLine="0"/>
              <w:rPr>
                <w:rFonts w:ascii="Times New Roman" w:hAnsi="Times New Roman" w:cs="Times New Roman"/>
                <w:noProof/>
                <w:sz w:val="24"/>
                <w:szCs w:val="24"/>
                <w:lang w:val="en-ID"/>
              </w:rPr>
            </w:pPr>
            <w:r w:rsidRPr="00A20750">
              <w:rPr>
                <w:rFonts w:ascii="Times New Roman" w:hAnsi="Times New Roman" w:cs="Times New Roman"/>
                <w:sz w:val="24"/>
                <w:szCs w:val="24"/>
              </w:rPr>
              <w:t>Pretest vs Week 5</w:t>
            </w:r>
          </w:p>
        </w:tc>
        <w:tc>
          <w:tcPr>
            <w:tcW w:w="1699" w:type="dxa"/>
            <w:vAlign w:val="center"/>
          </w:tcPr>
          <w:p w14:paraId="247BBEE1" w14:textId="5D0C5ACD" w:rsidR="00DF5F1B" w:rsidRPr="00A20750" w:rsidRDefault="00DF5F1B" w:rsidP="00256FF2">
            <w:pPr>
              <w:pStyle w:val="IOP-CS-BodyText"/>
              <w:ind w:firstLine="0"/>
              <w:rPr>
                <w:rFonts w:ascii="Times New Roman" w:hAnsi="Times New Roman" w:cs="Times New Roman"/>
                <w:noProof/>
                <w:sz w:val="24"/>
                <w:szCs w:val="24"/>
                <w:lang w:val="en-ID"/>
              </w:rPr>
            </w:pPr>
            <w:r w:rsidRPr="00A20750">
              <w:rPr>
                <w:rFonts w:ascii="Times New Roman" w:hAnsi="Times New Roman" w:cs="Times New Roman"/>
                <w:sz w:val="24"/>
                <w:szCs w:val="24"/>
              </w:rPr>
              <w:t>&lt;0.005</w:t>
            </w:r>
          </w:p>
        </w:tc>
      </w:tr>
      <w:tr w:rsidR="00DF5F1B" w:rsidRPr="00A20750" w14:paraId="2EE87775" w14:textId="77777777" w:rsidTr="00DF5F1B">
        <w:trPr>
          <w:jc w:val="center"/>
        </w:trPr>
        <w:tc>
          <w:tcPr>
            <w:tcW w:w="3120" w:type="dxa"/>
            <w:vAlign w:val="center"/>
          </w:tcPr>
          <w:p w14:paraId="7722FAAF" w14:textId="3E0445F6" w:rsidR="00DF5F1B" w:rsidRPr="00A20750" w:rsidRDefault="00DF5F1B" w:rsidP="00256FF2">
            <w:pPr>
              <w:pStyle w:val="IOP-CS-BodyText"/>
              <w:ind w:firstLine="0"/>
              <w:rPr>
                <w:rFonts w:ascii="Times New Roman" w:hAnsi="Times New Roman" w:cs="Times New Roman"/>
                <w:noProof/>
                <w:sz w:val="24"/>
                <w:szCs w:val="24"/>
                <w:lang w:val="en-ID"/>
              </w:rPr>
            </w:pPr>
            <w:r w:rsidRPr="00A20750">
              <w:rPr>
                <w:rFonts w:ascii="Times New Roman" w:hAnsi="Times New Roman" w:cs="Times New Roman"/>
                <w:sz w:val="24"/>
                <w:szCs w:val="24"/>
              </w:rPr>
              <w:t>Pretest vs Week 9</w:t>
            </w:r>
          </w:p>
        </w:tc>
        <w:tc>
          <w:tcPr>
            <w:tcW w:w="1699" w:type="dxa"/>
            <w:vAlign w:val="center"/>
          </w:tcPr>
          <w:p w14:paraId="13F81273" w14:textId="44FCBFE4" w:rsidR="00DF5F1B" w:rsidRPr="00A20750" w:rsidRDefault="00DF5F1B" w:rsidP="00256FF2">
            <w:pPr>
              <w:pStyle w:val="IOP-CS-BodyText"/>
              <w:ind w:firstLine="0"/>
              <w:rPr>
                <w:rFonts w:ascii="Times New Roman" w:hAnsi="Times New Roman" w:cs="Times New Roman"/>
                <w:noProof/>
                <w:sz w:val="24"/>
                <w:szCs w:val="24"/>
                <w:lang w:val="en-ID"/>
              </w:rPr>
            </w:pPr>
            <w:r w:rsidRPr="00A20750">
              <w:rPr>
                <w:rFonts w:ascii="Times New Roman" w:hAnsi="Times New Roman" w:cs="Times New Roman"/>
                <w:sz w:val="24"/>
                <w:szCs w:val="24"/>
              </w:rPr>
              <w:t>&lt;0.010</w:t>
            </w:r>
          </w:p>
        </w:tc>
      </w:tr>
      <w:tr w:rsidR="00DF5F1B" w:rsidRPr="00A20750" w14:paraId="2537AC6E" w14:textId="77777777" w:rsidTr="00DF5F1B">
        <w:trPr>
          <w:jc w:val="center"/>
        </w:trPr>
        <w:tc>
          <w:tcPr>
            <w:tcW w:w="3120" w:type="dxa"/>
            <w:vAlign w:val="center"/>
          </w:tcPr>
          <w:p w14:paraId="0CDDDD02" w14:textId="2F5A5948" w:rsidR="00DF5F1B" w:rsidRPr="00A20750" w:rsidRDefault="00DF5F1B" w:rsidP="00256FF2">
            <w:pPr>
              <w:pStyle w:val="IOP-CS-BodyText"/>
              <w:ind w:firstLine="0"/>
              <w:rPr>
                <w:rFonts w:ascii="Times New Roman" w:hAnsi="Times New Roman" w:cs="Times New Roman"/>
                <w:noProof/>
                <w:sz w:val="24"/>
                <w:szCs w:val="24"/>
                <w:lang w:val="en-ID"/>
              </w:rPr>
            </w:pPr>
            <w:r w:rsidRPr="00A20750">
              <w:rPr>
                <w:rFonts w:ascii="Times New Roman" w:hAnsi="Times New Roman" w:cs="Times New Roman"/>
                <w:sz w:val="24"/>
                <w:szCs w:val="24"/>
              </w:rPr>
              <w:t>Week 5 vs Week 9</w:t>
            </w:r>
          </w:p>
        </w:tc>
        <w:tc>
          <w:tcPr>
            <w:tcW w:w="1699" w:type="dxa"/>
            <w:vAlign w:val="center"/>
          </w:tcPr>
          <w:p w14:paraId="367442E9" w14:textId="381FF5A0" w:rsidR="00DF5F1B" w:rsidRPr="00A20750" w:rsidRDefault="00DF5F1B" w:rsidP="00256FF2">
            <w:pPr>
              <w:pStyle w:val="IOP-CS-BodyText"/>
              <w:ind w:firstLine="0"/>
              <w:rPr>
                <w:rFonts w:ascii="Times New Roman" w:hAnsi="Times New Roman" w:cs="Times New Roman"/>
                <w:noProof/>
                <w:sz w:val="24"/>
                <w:szCs w:val="24"/>
                <w:lang w:val="en-ID"/>
              </w:rPr>
            </w:pPr>
            <w:r w:rsidRPr="00A20750">
              <w:rPr>
                <w:rFonts w:ascii="Times New Roman" w:hAnsi="Times New Roman" w:cs="Times New Roman"/>
                <w:sz w:val="24"/>
                <w:szCs w:val="24"/>
              </w:rPr>
              <w:t>&lt;0.041</w:t>
            </w:r>
          </w:p>
        </w:tc>
      </w:tr>
    </w:tbl>
    <w:p w14:paraId="2FEC757B" w14:textId="112A0342" w:rsidR="00DF5F1B" w:rsidRPr="00A20750" w:rsidRDefault="008606AC" w:rsidP="00256FF2">
      <w:pPr>
        <w:pStyle w:val="IOP-CS-BodyText"/>
        <w:spacing w:line="240" w:lineRule="auto"/>
        <w:ind w:firstLine="0"/>
        <w:rPr>
          <w:rFonts w:ascii="Times New Roman" w:hAnsi="Times New Roman" w:cs="Times New Roman"/>
          <w:noProof/>
          <w:sz w:val="24"/>
          <w:szCs w:val="24"/>
          <w:lang w:val="en-ID"/>
        </w:rPr>
      </w:pPr>
      <w:r w:rsidRPr="00A20750">
        <w:rPr>
          <w:rFonts w:ascii="Times New Roman" w:hAnsi="Times New Roman" w:cs="Times New Roman"/>
          <w:noProof/>
          <w:sz w:val="24"/>
          <w:szCs w:val="24"/>
          <w:lang w:val="en-US"/>
        </w:rPr>
        <w:t>The statistical analysis demonstrated significant differences in spatial working memory between the observation periods in the treatment group (p &lt; 0.05).</w:t>
      </w:r>
    </w:p>
    <w:p w14:paraId="24991E86" w14:textId="77777777" w:rsidR="00DF5F1B" w:rsidRPr="00A20750" w:rsidRDefault="00DF5F1B" w:rsidP="00256FF2">
      <w:pPr>
        <w:pStyle w:val="IOP-CS-BodyText"/>
        <w:spacing w:line="240" w:lineRule="auto"/>
        <w:ind w:firstLine="0"/>
        <w:rPr>
          <w:rFonts w:ascii="Times New Roman" w:hAnsi="Times New Roman" w:cs="Times New Roman"/>
          <w:noProof/>
          <w:sz w:val="24"/>
          <w:szCs w:val="24"/>
          <w:lang w:val="pt-PT"/>
        </w:rPr>
      </w:pPr>
    </w:p>
    <w:p w14:paraId="7B08D1D9" w14:textId="2E46FE59" w:rsidR="0085225B" w:rsidRPr="00A20750" w:rsidRDefault="00AF78BE" w:rsidP="00256FF2">
      <w:pPr>
        <w:pStyle w:val="IOP-CS-SectionHead"/>
        <w:spacing w:line="240" w:lineRule="auto"/>
        <w:rPr>
          <w:rFonts w:ascii="Times New Roman" w:hAnsi="Times New Roman" w:cs="Times New Roman"/>
          <w:sz w:val="24"/>
          <w:szCs w:val="24"/>
        </w:rPr>
      </w:pPr>
      <w:r w:rsidRPr="00A20750">
        <w:rPr>
          <w:rFonts w:ascii="Times New Roman" w:hAnsi="Times New Roman" w:cs="Times New Roman"/>
          <w:sz w:val="24"/>
          <w:szCs w:val="24"/>
        </w:rPr>
        <w:t xml:space="preserve">Discussion </w:t>
      </w:r>
    </w:p>
    <w:p w14:paraId="5D25FC7A" w14:textId="77777777" w:rsidR="00CF3BFB" w:rsidRPr="00A20750" w:rsidRDefault="00CF3BFB"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This study demonstrated that induction with </w:t>
      </w:r>
      <w:r w:rsidRPr="00A20750">
        <w:rPr>
          <w:rFonts w:ascii="Times New Roman" w:eastAsiaTheme="minorHAnsi" w:hAnsi="Times New Roman" w:cs="Times New Roman"/>
          <w:i/>
          <w:iCs/>
          <w:kern w:val="2"/>
          <w:sz w:val="24"/>
          <w:szCs w:val="24"/>
          <w:lang w:val="en-ID"/>
        </w:rPr>
        <w:t>Porphyromonas gingivalis</w:t>
      </w:r>
      <w:r w:rsidRPr="00A20750">
        <w:rPr>
          <w:rFonts w:ascii="Times New Roman" w:eastAsiaTheme="minorHAnsi" w:hAnsi="Times New Roman" w:cs="Times New Roman"/>
          <w:kern w:val="2"/>
          <w:sz w:val="24"/>
          <w:szCs w:val="24"/>
          <w:lang w:val="en-ID"/>
        </w:rPr>
        <w:t xml:space="preserve"> resulted in a decline in spatial working memory in Sprague–Dawley rats, as indicated by reduced spontaneous alternation </w:t>
      </w:r>
      <w:proofErr w:type="spellStart"/>
      <w:r w:rsidRPr="00A20750">
        <w:rPr>
          <w:rFonts w:ascii="Times New Roman" w:eastAsiaTheme="minorHAnsi" w:hAnsi="Times New Roman" w:cs="Times New Roman"/>
          <w:kern w:val="2"/>
          <w:sz w:val="24"/>
          <w:szCs w:val="24"/>
          <w:lang w:val="en-ID"/>
        </w:rPr>
        <w:t>behavior</w:t>
      </w:r>
      <w:proofErr w:type="spellEnd"/>
      <w:r w:rsidRPr="00A20750">
        <w:rPr>
          <w:rFonts w:ascii="Times New Roman" w:eastAsiaTheme="minorHAnsi" w:hAnsi="Times New Roman" w:cs="Times New Roman"/>
          <w:kern w:val="2"/>
          <w:sz w:val="24"/>
          <w:szCs w:val="24"/>
          <w:lang w:val="en-ID"/>
        </w:rPr>
        <w:t xml:space="preserve"> in the Y-maze test. Following the administration of Hyperbaric Oxygen Therapy (HBOT), an improvement in spatial working memory performance was observed. These findings suggest that chronic infection induced by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 xml:space="preserve"> may impair cognitive function, while HBOT may partially restore cognitive performance.</w:t>
      </w:r>
    </w:p>
    <w:p w14:paraId="1553B342" w14:textId="77777777" w:rsidR="00CF3BFB" w:rsidRPr="00A20750" w:rsidRDefault="00CF3BFB"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In the treatment group, spatial working memory decreased after intraoral induction of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 xml:space="preserve"> at week 5 compared with baseline. This finding is consistent with previous research reporting that exposure to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 xml:space="preserve"> lipopolysaccharide (Pg-LPS) significantly reduces spontaneous alternation </w:t>
      </w:r>
      <w:proofErr w:type="spellStart"/>
      <w:r w:rsidRPr="00A20750">
        <w:rPr>
          <w:rFonts w:ascii="Times New Roman" w:eastAsiaTheme="minorHAnsi" w:hAnsi="Times New Roman" w:cs="Times New Roman"/>
          <w:kern w:val="2"/>
          <w:sz w:val="24"/>
          <w:szCs w:val="24"/>
          <w:lang w:val="en-ID"/>
        </w:rPr>
        <w:t>behavior</w:t>
      </w:r>
      <w:proofErr w:type="spellEnd"/>
      <w:r w:rsidRPr="00A20750">
        <w:rPr>
          <w:rFonts w:ascii="Times New Roman" w:eastAsiaTheme="minorHAnsi" w:hAnsi="Times New Roman" w:cs="Times New Roman"/>
          <w:kern w:val="2"/>
          <w:sz w:val="24"/>
          <w:szCs w:val="24"/>
          <w:lang w:val="en-ID"/>
        </w:rPr>
        <w:t xml:space="preserve"> in the Y-maze test compared with control groups. The decline in spatial working memory indicates impairment of hippocampal-dependent cognitive function due to inflammatory stimulation triggered by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 xml:space="preserve"> infection [15,30].</w:t>
      </w:r>
    </w:p>
    <w:p w14:paraId="4710A3C6" w14:textId="77777777" w:rsidR="00CF3BFB" w:rsidRPr="00A20750" w:rsidRDefault="00CF3BFB"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Chronic infection by </w:t>
      </w:r>
      <w:r w:rsidRPr="00A20750">
        <w:rPr>
          <w:rFonts w:ascii="Times New Roman" w:eastAsiaTheme="minorHAnsi" w:hAnsi="Times New Roman" w:cs="Times New Roman"/>
          <w:i/>
          <w:iCs/>
          <w:kern w:val="2"/>
          <w:sz w:val="24"/>
          <w:szCs w:val="24"/>
          <w:lang w:val="en-ID"/>
        </w:rPr>
        <w:t>Porphyromonas gingivalis</w:t>
      </w:r>
      <w:r w:rsidRPr="00A20750">
        <w:rPr>
          <w:rFonts w:ascii="Times New Roman" w:eastAsiaTheme="minorHAnsi" w:hAnsi="Times New Roman" w:cs="Times New Roman"/>
          <w:kern w:val="2"/>
          <w:sz w:val="24"/>
          <w:szCs w:val="24"/>
          <w:lang w:val="en-ID"/>
        </w:rPr>
        <w:t xml:space="preserve">, a Gram-negative anaerobic bacterium and a major pathogen in periodontitis, begins with colonization in periodontal tissues within the oral cavity. This bacterium produces various virulence factors, including lipopolysaccharide (LPS), gingipain, fimbriae, and outer membrane vesicles (OMVs), which facilitate invasion into gingival tissues and penetration into the systemic circulation, resulting in </w:t>
      </w:r>
      <w:proofErr w:type="spellStart"/>
      <w:r w:rsidRPr="00A20750">
        <w:rPr>
          <w:rFonts w:ascii="Times New Roman" w:eastAsiaTheme="minorHAnsi" w:hAnsi="Times New Roman" w:cs="Times New Roman"/>
          <w:kern w:val="2"/>
          <w:sz w:val="24"/>
          <w:szCs w:val="24"/>
          <w:lang w:val="en-ID"/>
        </w:rPr>
        <w:t>bacteremia</w:t>
      </w:r>
      <w:proofErr w:type="spellEnd"/>
      <w:r w:rsidRPr="00A20750">
        <w:rPr>
          <w:rFonts w:ascii="Times New Roman" w:eastAsiaTheme="minorHAnsi" w:hAnsi="Times New Roman" w:cs="Times New Roman"/>
          <w:kern w:val="2"/>
          <w:sz w:val="24"/>
          <w:szCs w:val="24"/>
          <w:lang w:val="en-ID"/>
        </w:rPr>
        <w:t xml:space="preserve"> [31]. The condition is further exacerbated by epithelial tissue damage and periodontal pocket formation, which increase bacterial access to local blood vessels.</w:t>
      </w:r>
    </w:p>
    <w:p w14:paraId="6467B0A1" w14:textId="77777777" w:rsidR="00CF3BFB" w:rsidRPr="00A20750" w:rsidRDefault="00CF3BFB"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Once in the systemic circulation,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 xml:space="preserve"> and its virulence components can stimulate activation of the innate immune system. Interaction between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 xml:space="preserve"> LPS and immune receptors such as Toll-like receptor 2 (TLR2) and complement receptor C5aR1 activates intracellular </w:t>
      </w:r>
      <w:proofErr w:type="spellStart"/>
      <w:r w:rsidRPr="00A20750">
        <w:rPr>
          <w:rFonts w:ascii="Times New Roman" w:eastAsiaTheme="minorHAnsi" w:hAnsi="Times New Roman" w:cs="Times New Roman"/>
          <w:kern w:val="2"/>
          <w:sz w:val="24"/>
          <w:szCs w:val="24"/>
          <w:lang w:val="en-ID"/>
        </w:rPr>
        <w:t>signaling</w:t>
      </w:r>
      <w:proofErr w:type="spellEnd"/>
      <w:r w:rsidRPr="00A20750">
        <w:rPr>
          <w:rFonts w:ascii="Times New Roman" w:eastAsiaTheme="minorHAnsi" w:hAnsi="Times New Roman" w:cs="Times New Roman"/>
          <w:kern w:val="2"/>
          <w:sz w:val="24"/>
          <w:szCs w:val="24"/>
          <w:lang w:val="en-ID"/>
        </w:rPr>
        <w:t xml:space="preserve"> pathways including PI3K and NF-</w:t>
      </w:r>
      <w:proofErr w:type="spellStart"/>
      <w:r w:rsidRPr="00A20750">
        <w:rPr>
          <w:rFonts w:ascii="Times New Roman" w:eastAsiaTheme="minorHAnsi" w:hAnsi="Times New Roman" w:cs="Times New Roman"/>
          <w:kern w:val="2"/>
          <w:sz w:val="24"/>
          <w:szCs w:val="24"/>
          <w:lang w:val="en-ID"/>
        </w:rPr>
        <w:t>κB</w:t>
      </w:r>
      <w:proofErr w:type="spellEnd"/>
      <w:r w:rsidRPr="00A20750">
        <w:rPr>
          <w:rFonts w:ascii="Times New Roman" w:eastAsiaTheme="minorHAnsi" w:hAnsi="Times New Roman" w:cs="Times New Roman"/>
          <w:kern w:val="2"/>
          <w:sz w:val="24"/>
          <w:szCs w:val="24"/>
          <w:lang w:val="en-ID"/>
        </w:rPr>
        <w:t>, which subsequently induce the release of pro-inflammatory cytokines such as IL-1β, TNF-α, IL-6, and IL-8 [32,33]. These inflammatory mediators not only sustain local periodontal inflammation but also disseminate through the bloodstream to distant organs, including the brain, thereby contributing to systemic inflammatory responses.</w:t>
      </w:r>
    </w:p>
    <w:p w14:paraId="78EFF830" w14:textId="77777777" w:rsidR="00CF3BFB" w:rsidRPr="00A20750" w:rsidRDefault="00CF3BFB"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Systemic dissemination of pro-inflammatory cytokines, particularly TNF-α and IL-1β, plays an important role in disrupting the integrity of the blood–brain barrier (BBB). One of the underlying mechanisms involves downregulation of tight junction proteins such as </w:t>
      </w:r>
      <w:proofErr w:type="spellStart"/>
      <w:r w:rsidRPr="00A20750">
        <w:rPr>
          <w:rFonts w:ascii="Times New Roman" w:eastAsiaTheme="minorHAnsi" w:hAnsi="Times New Roman" w:cs="Times New Roman"/>
          <w:kern w:val="2"/>
          <w:sz w:val="24"/>
          <w:szCs w:val="24"/>
          <w:lang w:val="en-ID"/>
        </w:rPr>
        <w:t>occludin</w:t>
      </w:r>
      <w:proofErr w:type="spellEnd"/>
      <w:r w:rsidRPr="00A20750">
        <w:rPr>
          <w:rFonts w:ascii="Times New Roman" w:eastAsiaTheme="minorHAnsi" w:hAnsi="Times New Roman" w:cs="Times New Roman"/>
          <w:kern w:val="2"/>
          <w:sz w:val="24"/>
          <w:szCs w:val="24"/>
          <w:lang w:val="en-ID"/>
        </w:rPr>
        <w:t xml:space="preserve"> and claudin-5 in </w:t>
      </w:r>
      <w:r w:rsidRPr="00A20750">
        <w:rPr>
          <w:rFonts w:ascii="Times New Roman" w:eastAsiaTheme="minorHAnsi" w:hAnsi="Times New Roman" w:cs="Times New Roman"/>
          <w:kern w:val="2"/>
          <w:sz w:val="24"/>
          <w:szCs w:val="24"/>
          <w:lang w:val="en-ID"/>
        </w:rPr>
        <w:lastRenderedPageBreak/>
        <w:t>brain capillary endothelial cells. This alteration increases BBB permeability and allows toxins, inflammatory mediators, and microbial products to enter brain tissue, triggering microglial activation and neuroinflammatory responses [34,35].</w:t>
      </w:r>
    </w:p>
    <w:p w14:paraId="29113244" w14:textId="77777777" w:rsidR="00CF3BFB" w:rsidRPr="00A20750" w:rsidRDefault="00CF3BFB"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In addition to hematogenous dissemination, transmission of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 xml:space="preserve"> to the central nervous system may also occur through neural pathways, particularly the trigeminal nerve. Outer membrane vesicles released by this bacterium are capable of migrating retrogradely through sensory nerve branches toward the trigeminal nucleus and hippocampus. This mechanism forms part of the oral–brain axis and reinforces the association between chronic periodontal infection and neuroinflammatory pathology [36,37].</w:t>
      </w:r>
    </w:p>
    <w:p w14:paraId="13C212AD" w14:textId="77777777" w:rsidR="00CF3BFB" w:rsidRPr="00A20750" w:rsidRDefault="00CF3BFB"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The migration of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 xml:space="preserve"> and its virulence factors to the brain may occur either directly or indirectly. Directly,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 xml:space="preserve"> infection may increase BBB permeability through modulation of endothelial transport proteins. Reduced expression of Major Facilitator Superfamily Domain Containing 2a (Mfsd2a), a transporter responsible for maintaining BBB integrity by suppressing vesicular transcytosis, can increase the expression of Caveolin-1 (Cav-1). Activation of Cav-1 promotes caveolae formation and enhances transcytosis activity, facilitating the penetration of foreign molecules across the BBB [38]. Indirectly, OMVs containing LPS, gingipain, and fimbriae can cross the BBB and trigger neuroinflammatory responses even without direct bacterial invasion.</w:t>
      </w:r>
    </w:p>
    <w:p w14:paraId="175344A0" w14:textId="77777777" w:rsidR="00CF3BFB" w:rsidRPr="00A20750" w:rsidRDefault="00CF3BFB"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Once these virulence factors reach brain tissue, they stimulate the production of reactive oxygen species (ROS) through activation of NADPH oxidase 4 (NOX4) in microglial cells, accompanied by increased levels of inflammatory cytokines such as IL-6 and IL-8 [39]. Persistent neuroinflammation and oxidative stress can impair neuronal viability and promote pathological processes including tau protein hyperphosphorylation and synaptic dysfunction. These changes ultimately contribute to cognitive decline, particularly in hippocampal-dependent spatial working memory [40,41].</w:t>
      </w:r>
    </w:p>
    <w:p w14:paraId="707C766E" w14:textId="77777777" w:rsidR="00CF3BFB" w:rsidRPr="00A20750" w:rsidRDefault="00CF3BFB"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Another virulence factor of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 gingipain, also plays a critical role in neurodegenerative processes. Gingipain has been shown to cleave tau protein and contribute to the formation of neurofibrillary tangles, which represent a hallmark pathological feature of Alzheimer’s disease [4]. In addition, Dominy et al. (2019) identified gingipain and LPS in brain tissue samples from Alzheimer’s disease patients, suggesting a direct link between periodontal pathogens and neurodegenerative pathology through activation of microglial cells and increased production of amyloid-β peptides [4].</w:t>
      </w:r>
    </w:p>
    <w:p w14:paraId="71D83EA9" w14:textId="77777777" w:rsidR="00CF3BFB" w:rsidRPr="00A20750" w:rsidRDefault="00CF3BFB"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The findings of the present study demonstrated that HBOT administration resulted in improvement of spatial working memory in rats previously induced with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 These results are consistent with previous experimental studies reporting that HBOT can improve learning ability and spatial memory performance in animal models of neurological injury. For example, Liu et al. (2007) reported that HBOT administered after hypoxic–ischemic injury in neonatal rats improved learning ability and spatial memory in the Morris Water Maze test, accompanied by reduced histological damage in the hippocampus [35].</w:t>
      </w:r>
    </w:p>
    <w:p w14:paraId="0FE8DE65" w14:textId="77777777" w:rsidR="00CF3BFB" w:rsidRPr="00A20750" w:rsidRDefault="00CF3BFB"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The beneficial effects of HBOT are believed to be related to its ability to enhance oxygen delivery to tissues and modulate inflammatory responses. HBOT has been shown to reduce the expression of pro-inflammatory cytokines such as TNF-α and IL-1β while simultaneously increasing the expression of tight junction proteins including </w:t>
      </w:r>
      <w:proofErr w:type="spellStart"/>
      <w:r w:rsidRPr="00A20750">
        <w:rPr>
          <w:rFonts w:ascii="Times New Roman" w:eastAsiaTheme="minorHAnsi" w:hAnsi="Times New Roman" w:cs="Times New Roman"/>
          <w:kern w:val="2"/>
          <w:sz w:val="24"/>
          <w:szCs w:val="24"/>
          <w:lang w:val="en-ID"/>
        </w:rPr>
        <w:t>occludin</w:t>
      </w:r>
      <w:proofErr w:type="spellEnd"/>
      <w:r w:rsidRPr="00A20750">
        <w:rPr>
          <w:rFonts w:ascii="Times New Roman" w:eastAsiaTheme="minorHAnsi" w:hAnsi="Times New Roman" w:cs="Times New Roman"/>
          <w:kern w:val="2"/>
          <w:sz w:val="24"/>
          <w:szCs w:val="24"/>
          <w:lang w:val="en-ID"/>
        </w:rPr>
        <w:t xml:space="preserve"> and claudin-5, thereby improving BBB integrity [36]. In addition, HBOT has been reported to reduce amyloid-β accumulation and improve cerebral blood circulation in transgenic animal models of neurodegenerative disease [21].</w:t>
      </w:r>
    </w:p>
    <w:p w14:paraId="73A88C0D" w14:textId="77777777" w:rsidR="00CF3BFB" w:rsidRPr="00A20750" w:rsidRDefault="00CF3BFB"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HBOT may also induce adaptive antioxidant responses. Although increased oxygen availability during HBOT may initially stimulate the production of reactive oxygen species, this process </w:t>
      </w:r>
      <w:r w:rsidRPr="00A20750">
        <w:rPr>
          <w:rFonts w:ascii="Times New Roman" w:eastAsiaTheme="minorHAnsi" w:hAnsi="Times New Roman" w:cs="Times New Roman"/>
          <w:kern w:val="2"/>
          <w:sz w:val="24"/>
          <w:szCs w:val="24"/>
          <w:lang w:val="en-ID"/>
        </w:rPr>
        <w:lastRenderedPageBreak/>
        <w:t xml:space="preserve">subsequently activates endogenous antioxidant </w:t>
      </w:r>
      <w:proofErr w:type="spellStart"/>
      <w:r w:rsidRPr="00A20750">
        <w:rPr>
          <w:rFonts w:ascii="Times New Roman" w:eastAsiaTheme="minorHAnsi" w:hAnsi="Times New Roman" w:cs="Times New Roman"/>
          <w:kern w:val="2"/>
          <w:sz w:val="24"/>
          <w:szCs w:val="24"/>
          <w:lang w:val="en-ID"/>
        </w:rPr>
        <w:t>defense</w:t>
      </w:r>
      <w:proofErr w:type="spellEnd"/>
      <w:r w:rsidRPr="00A20750">
        <w:rPr>
          <w:rFonts w:ascii="Times New Roman" w:eastAsiaTheme="minorHAnsi" w:hAnsi="Times New Roman" w:cs="Times New Roman"/>
          <w:kern w:val="2"/>
          <w:sz w:val="24"/>
          <w:szCs w:val="24"/>
          <w:lang w:val="en-ID"/>
        </w:rPr>
        <w:t xml:space="preserve"> mechanisms such as superoxide dismutase (SOD), catalase, and glutathione peroxidase. These antioxidant systems help restore redox balance, reduce oxidative neuronal damage, and suppress inflammatory </w:t>
      </w:r>
      <w:proofErr w:type="spellStart"/>
      <w:r w:rsidRPr="00A20750">
        <w:rPr>
          <w:rFonts w:ascii="Times New Roman" w:eastAsiaTheme="minorHAnsi" w:hAnsi="Times New Roman" w:cs="Times New Roman"/>
          <w:kern w:val="2"/>
          <w:sz w:val="24"/>
          <w:szCs w:val="24"/>
          <w:lang w:val="en-ID"/>
        </w:rPr>
        <w:t>signaling</w:t>
      </w:r>
      <w:proofErr w:type="spellEnd"/>
      <w:r w:rsidRPr="00A20750">
        <w:rPr>
          <w:rFonts w:ascii="Times New Roman" w:eastAsiaTheme="minorHAnsi" w:hAnsi="Times New Roman" w:cs="Times New Roman"/>
          <w:kern w:val="2"/>
          <w:sz w:val="24"/>
          <w:szCs w:val="24"/>
          <w:lang w:val="en-ID"/>
        </w:rPr>
        <w:t xml:space="preserve"> pathways such as NLRP3 inflammasome activation [37].</w:t>
      </w:r>
    </w:p>
    <w:p w14:paraId="2411B3E1" w14:textId="77777777" w:rsidR="00CF3BFB" w:rsidRPr="00A20750" w:rsidRDefault="00CF3BFB"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Despite the observed improvement in spatial working memory following HBOT administration, the cognitive performance of the experimental animals did not fully return to baseline levels. This finding suggests that although HBOT can mitigate neuroinflammatory effects induced by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 it may not completely reverse structural neuronal damage caused by chronic infection.</w:t>
      </w:r>
    </w:p>
    <w:p w14:paraId="562E7A9B" w14:textId="77777777" w:rsidR="00CF3BFB" w:rsidRPr="00A20750" w:rsidRDefault="00CF3BFB"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Differences in outcomes between studies may also be influenced by variations in animal models, immune status, and age of experimental animals. For instance, Liu et al. (2013) reported significant recovery of spatial memory in a traumatic brain injury model following HBOT treatment, whereas the present study used a chronic infection model induced by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 xml:space="preserve"> [38]. Previous studies have also demonstrated that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 xml:space="preserve"> infection may induce chronic neuroinflammation, amyloid accumulation, and tau hyperphosphorylation similar to pathological processes observed in Alzheimer’s disease, which may lead to irreversible neuronal damage [39].</w:t>
      </w:r>
    </w:p>
    <w:p w14:paraId="50226B2B" w14:textId="77777777" w:rsidR="00CF3BFB" w:rsidRDefault="00CF3BFB"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Age-related immune changes may further influence the severity of neuroinflammatory responses. Ding et al. (2018) reported increased expression of pro-inflammatory cytokines in the brains of middle-aged mice compared with younger animals following inflammatory stimulation, suggesting that aging may amplify neuroinflammatory effects associated with infection [40]. These findings highlight the complex interactions between infection, immune response, and neurodegeneration in the development of cognitive impairment.</w:t>
      </w:r>
    </w:p>
    <w:p w14:paraId="4FA9315A" w14:textId="77777777" w:rsidR="00A20750" w:rsidRPr="00A20750" w:rsidRDefault="00A20750" w:rsidP="00256FF2">
      <w:pPr>
        <w:spacing w:after="0" w:line="240" w:lineRule="auto"/>
        <w:jc w:val="both"/>
        <w:rPr>
          <w:rFonts w:ascii="Times New Roman" w:eastAsiaTheme="minorHAnsi" w:hAnsi="Times New Roman" w:cs="Times New Roman"/>
          <w:kern w:val="2"/>
          <w:sz w:val="24"/>
          <w:szCs w:val="24"/>
          <w:lang w:val="en-ID"/>
        </w:rPr>
      </w:pPr>
    </w:p>
    <w:p w14:paraId="0E148E47" w14:textId="77777777" w:rsidR="0085225B" w:rsidRPr="00A20750" w:rsidRDefault="0085225B" w:rsidP="00256FF2">
      <w:pPr>
        <w:spacing w:after="0" w:line="240" w:lineRule="auto"/>
        <w:rPr>
          <w:rFonts w:ascii="Times New Roman" w:hAnsi="Times New Roman" w:cs="Times New Roman"/>
          <w:b/>
          <w:sz w:val="24"/>
          <w:szCs w:val="24"/>
        </w:rPr>
      </w:pPr>
    </w:p>
    <w:p w14:paraId="45A2F4D6" w14:textId="4B19D0A2" w:rsidR="0085225B" w:rsidRPr="00A20750" w:rsidRDefault="00AF78BE" w:rsidP="00256FF2">
      <w:pPr>
        <w:spacing w:after="0" w:line="240" w:lineRule="auto"/>
        <w:rPr>
          <w:rFonts w:ascii="Times New Roman" w:hAnsi="Times New Roman" w:cs="Times New Roman"/>
          <w:b/>
          <w:sz w:val="24"/>
          <w:szCs w:val="24"/>
        </w:rPr>
      </w:pPr>
      <w:r w:rsidRPr="00A20750">
        <w:rPr>
          <w:rFonts w:ascii="Times New Roman" w:hAnsi="Times New Roman" w:cs="Times New Roman"/>
          <w:b/>
          <w:sz w:val="24"/>
          <w:szCs w:val="24"/>
        </w:rPr>
        <w:t>Conclusion</w:t>
      </w:r>
    </w:p>
    <w:p w14:paraId="179794AE" w14:textId="77777777" w:rsidR="0085225B" w:rsidRPr="00A20750" w:rsidRDefault="0085225B" w:rsidP="00256FF2">
      <w:pPr>
        <w:spacing w:after="0" w:line="240" w:lineRule="auto"/>
        <w:jc w:val="both"/>
        <w:rPr>
          <w:rFonts w:ascii="Times New Roman" w:hAnsi="Times New Roman" w:cs="Times New Roman"/>
          <w:iCs/>
          <w:sz w:val="24"/>
          <w:szCs w:val="24"/>
          <w:shd w:val="clear" w:color="auto" w:fill="FFFFFF"/>
        </w:rPr>
      </w:pPr>
    </w:p>
    <w:p w14:paraId="20D9B8C6" w14:textId="77777777" w:rsidR="008606AC" w:rsidRPr="00A20750" w:rsidRDefault="008606AC"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This study demonstrated that </w:t>
      </w:r>
      <w:r w:rsidRPr="00A20750">
        <w:rPr>
          <w:rFonts w:ascii="Times New Roman" w:eastAsiaTheme="minorHAnsi" w:hAnsi="Times New Roman" w:cs="Times New Roman"/>
          <w:i/>
          <w:iCs/>
          <w:kern w:val="2"/>
          <w:sz w:val="24"/>
          <w:szCs w:val="24"/>
          <w:lang w:val="en-ID"/>
        </w:rPr>
        <w:t>Porphyromonas gingivalis</w:t>
      </w:r>
      <w:r w:rsidRPr="00A20750">
        <w:rPr>
          <w:rFonts w:ascii="Times New Roman" w:eastAsiaTheme="minorHAnsi" w:hAnsi="Times New Roman" w:cs="Times New Roman"/>
          <w:kern w:val="2"/>
          <w:sz w:val="24"/>
          <w:szCs w:val="24"/>
          <w:lang w:val="en-ID"/>
        </w:rPr>
        <w:t xml:space="preserve"> infection significantly impaired spatial working memory in Sprague–Dawley rats, as indicated by reduced performance in the Y-maze spontaneous alternation test. The impairment is likely associated with the ability of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 xml:space="preserve"> virulence factors, including lipopolysaccharide (LPS) and gingipain, to induce systemic inflammation, disrupt blood–brain barrier integrity, and trigger neuroinflammatory responses within the central nervous system.</w:t>
      </w:r>
    </w:p>
    <w:p w14:paraId="5B9259CC" w14:textId="77777777" w:rsidR="008606AC" w:rsidRPr="00A20750" w:rsidRDefault="008606AC"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Administration of Hyperbaric Oxygen Therapy (HBOT) at a pressure of 2.0 ATA for four weeks resulted in improvement of spatial working memory in rats previously exposed to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 Although cognitive performance did not fully return to baseline levels, the findings suggest that HBOT may contribute to the mitigation of neuroinflammatory effects associated with chronic periodontal infection.</w:t>
      </w:r>
    </w:p>
    <w:p w14:paraId="188BC718" w14:textId="77777777" w:rsidR="008606AC" w:rsidRDefault="008606AC" w:rsidP="00256FF2">
      <w:pPr>
        <w:spacing w:after="0"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Further studies are required to investigate the molecular mechanisms underlying the neuroprotective effects of HBOT and to determine the optimal treatment duration and therapeutic protocol for managing </w:t>
      </w:r>
      <w:r w:rsidRPr="00A20750">
        <w:rPr>
          <w:rFonts w:ascii="Times New Roman" w:eastAsiaTheme="minorHAnsi" w:hAnsi="Times New Roman" w:cs="Times New Roman"/>
          <w:i/>
          <w:iCs/>
          <w:kern w:val="2"/>
          <w:sz w:val="24"/>
          <w:szCs w:val="24"/>
          <w:lang w:val="en-ID"/>
        </w:rPr>
        <w:t>P. gingivalis</w:t>
      </w:r>
      <w:r w:rsidRPr="00A20750">
        <w:rPr>
          <w:rFonts w:ascii="Times New Roman" w:eastAsiaTheme="minorHAnsi" w:hAnsi="Times New Roman" w:cs="Times New Roman"/>
          <w:kern w:val="2"/>
          <w:sz w:val="24"/>
          <w:szCs w:val="24"/>
          <w:lang w:val="en-ID"/>
        </w:rPr>
        <w:t>-induced neuroinflammatory conditions.</w:t>
      </w:r>
    </w:p>
    <w:p w14:paraId="443D8CEF" w14:textId="77777777" w:rsidR="00AF78BE" w:rsidRDefault="00AF78BE" w:rsidP="00256FF2">
      <w:pPr>
        <w:spacing w:after="0" w:line="240" w:lineRule="auto"/>
        <w:jc w:val="both"/>
        <w:rPr>
          <w:rFonts w:ascii="Times New Roman" w:eastAsiaTheme="minorHAnsi" w:hAnsi="Times New Roman" w:cs="Times New Roman"/>
          <w:kern w:val="2"/>
          <w:sz w:val="24"/>
          <w:szCs w:val="24"/>
          <w:lang w:val="en-ID"/>
        </w:rPr>
      </w:pPr>
    </w:p>
    <w:p w14:paraId="69269D28" w14:textId="7A940A83" w:rsidR="00AF78BE" w:rsidRPr="00AF78BE" w:rsidRDefault="00AF78BE" w:rsidP="00AF78BE">
      <w:pPr>
        <w:spacing w:after="0" w:line="240" w:lineRule="auto"/>
        <w:jc w:val="both"/>
        <w:rPr>
          <w:rFonts w:ascii="Times New Roman" w:eastAsiaTheme="minorHAnsi" w:hAnsi="Times New Roman" w:cs="Times New Roman"/>
          <w:b/>
          <w:bCs/>
          <w:kern w:val="2"/>
          <w:sz w:val="24"/>
          <w:szCs w:val="24"/>
          <w:lang w:val="en-ID"/>
        </w:rPr>
      </w:pPr>
      <w:r w:rsidRPr="00AF78BE">
        <w:rPr>
          <w:rFonts w:ascii="Times New Roman" w:eastAsiaTheme="minorHAnsi" w:hAnsi="Times New Roman" w:cs="Times New Roman"/>
          <w:b/>
          <w:bCs/>
          <w:kern w:val="2"/>
          <w:sz w:val="24"/>
          <w:szCs w:val="24"/>
          <w:lang w:val="en-ID"/>
        </w:rPr>
        <w:t>Conflict of Interest</w:t>
      </w:r>
    </w:p>
    <w:p w14:paraId="2BF04541" w14:textId="096804D1" w:rsidR="00AF78BE" w:rsidRDefault="00AF78BE" w:rsidP="00AF78BE">
      <w:pPr>
        <w:spacing w:after="0" w:line="240" w:lineRule="auto"/>
        <w:jc w:val="both"/>
        <w:rPr>
          <w:rFonts w:ascii="Times New Roman" w:eastAsiaTheme="minorHAnsi" w:hAnsi="Times New Roman" w:cs="Times New Roman"/>
          <w:kern w:val="2"/>
          <w:sz w:val="24"/>
          <w:szCs w:val="24"/>
          <w:lang w:val="en-ID"/>
        </w:rPr>
      </w:pPr>
      <w:r w:rsidRPr="00AF78BE">
        <w:rPr>
          <w:rFonts w:ascii="Times New Roman" w:eastAsiaTheme="minorHAnsi" w:hAnsi="Times New Roman" w:cs="Times New Roman"/>
          <w:kern w:val="2"/>
          <w:sz w:val="24"/>
          <w:szCs w:val="24"/>
          <w:lang w:val="en-ID"/>
        </w:rPr>
        <w:t>The authors declare no conflict of interest.</w:t>
      </w:r>
    </w:p>
    <w:p w14:paraId="144B5409" w14:textId="77777777" w:rsidR="00AF78BE" w:rsidRDefault="00AF78BE" w:rsidP="00256FF2">
      <w:pPr>
        <w:spacing w:after="0" w:line="240" w:lineRule="auto"/>
        <w:jc w:val="both"/>
        <w:rPr>
          <w:rFonts w:ascii="Times New Roman" w:eastAsiaTheme="minorHAnsi" w:hAnsi="Times New Roman" w:cs="Times New Roman"/>
          <w:kern w:val="2"/>
          <w:sz w:val="24"/>
          <w:szCs w:val="24"/>
          <w:lang w:val="en-ID"/>
        </w:rPr>
      </w:pPr>
    </w:p>
    <w:p w14:paraId="5127EC68" w14:textId="2AC249C0" w:rsidR="00AF78BE" w:rsidRPr="00AF78BE" w:rsidRDefault="00AF78BE" w:rsidP="00AF78BE">
      <w:pPr>
        <w:spacing w:after="0" w:line="240" w:lineRule="auto"/>
        <w:jc w:val="both"/>
        <w:rPr>
          <w:rFonts w:ascii="Times New Roman" w:eastAsiaTheme="minorHAnsi" w:hAnsi="Times New Roman" w:cs="Times New Roman"/>
          <w:b/>
          <w:bCs/>
          <w:kern w:val="2"/>
          <w:sz w:val="24"/>
          <w:szCs w:val="24"/>
          <w:lang w:val="en-ID"/>
        </w:rPr>
      </w:pPr>
      <w:r w:rsidRPr="00AF78BE">
        <w:rPr>
          <w:rFonts w:ascii="Times New Roman" w:eastAsiaTheme="minorHAnsi" w:hAnsi="Times New Roman" w:cs="Times New Roman"/>
          <w:b/>
          <w:bCs/>
          <w:kern w:val="2"/>
          <w:sz w:val="24"/>
          <w:szCs w:val="24"/>
          <w:lang w:val="en-ID"/>
        </w:rPr>
        <w:t>Acknowledgements</w:t>
      </w:r>
    </w:p>
    <w:p w14:paraId="54DB3FBB" w14:textId="2207C597" w:rsidR="008F67E2" w:rsidRDefault="00AF78BE" w:rsidP="00C56D4C">
      <w:pPr>
        <w:spacing w:after="0" w:line="240" w:lineRule="auto"/>
        <w:jc w:val="both"/>
        <w:rPr>
          <w:rFonts w:ascii="Times New Roman" w:eastAsiaTheme="minorHAnsi" w:hAnsi="Times New Roman" w:cs="Times New Roman"/>
          <w:kern w:val="2"/>
          <w:sz w:val="24"/>
          <w:szCs w:val="24"/>
          <w:lang w:val="en-ID"/>
        </w:rPr>
      </w:pPr>
      <w:r w:rsidRPr="00AF78BE">
        <w:rPr>
          <w:rFonts w:ascii="Times New Roman" w:eastAsiaTheme="minorHAnsi" w:hAnsi="Times New Roman" w:cs="Times New Roman"/>
          <w:kern w:val="2"/>
          <w:sz w:val="24"/>
          <w:szCs w:val="24"/>
          <w:lang w:val="en-ID"/>
        </w:rPr>
        <w:t>The authors would like to thank the laboratory staff and supporting institutions involved in this study.</w:t>
      </w:r>
    </w:p>
    <w:p w14:paraId="03116BEF" w14:textId="77777777" w:rsidR="008F67E2" w:rsidRPr="008F67E2" w:rsidRDefault="008F67E2" w:rsidP="008F67E2">
      <w:pPr>
        <w:tabs>
          <w:tab w:val="left" w:pos="3206"/>
        </w:tabs>
        <w:spacing w:after="0" w:line="240" w:lineRule="auto"/>
        <w:jc w:val="both"/>
        <w:rPr>
          <w:rFonts w:ascii="Times New Roman" w:eastAsiaTheme="minorHAnsi" w:hAnsi="Times New Roman" w:cs="Times New Roman"/>
          <w:b/>
          <w:bCs/>
          <w:noProof/>
          <w:kern w:val="2"/>
          <w:sz w:val="24"/>
          <w:szCs w:val="24"/>
        </w:rPr>
      </w:pPr>
      <w:r w:rsidRPr="008F67E2">
        <w:rPr>
          <w:rFonts w:ascii="Times New Roman" w:eastAsiaTheme="minorHAnsi" w:hAnsi="Times New Roman" w:cs="Times New Roman"/>
          <w:b/>
          <w:bCs/>
          <w:noProof/>
          <w:kern w:val="2"/>
          <w:sz w:val="24"/>
          <w:szCs w:val="24"/>
        </w:rPr>
        <w:lastRenderedPageBreak/>
        <w:t>Ethical approval</w:t>
      </w:r>
    </w:p>
    <w:p w14:paraId="4E665F54" w14:textId="77777777" w:rsidR="008F67E2" w:rsidRPr="00A20750" w:rsidRDefault="008F67E2" w:rsidP="008F67E2">
      <w:pPr>
        <w:tabs>
          <w:tab w:val="left" w:pos="3206"/>
        </w:tabs>
        <w:spacing w:after="0" w:line="240" w:lineRule="auto"/>
        <w:jc w:val="both"/>
        <w:rPr>
          <w:rFonts w:ascii="Times New Roman" w:eastAsiaTheme="minorHAnsi" w:hAnsi="Times New Roman" w:cs="Times New Roman"/>
          <w:noProof/>
          <w:kern w:val="2"/>
          <w:sz w:val="24"/>
          <w:szCs w:val="24"/>
        </w:rPr>
      </w:pPr>
      <w:r w:rsidRPr="008F67E2">
        <w:rPr>
          <w:rFonts w:ascii="Times New Roman" w:eastAsiaTheme="minorHAnsi" w:hAnsi="Times New Roman" w:cs="Times New Roman"/>
          <w:noProof/>
          <w:kern w:val="2"/>
          <w:sz w:val="24"/>
          <w:szCs w:val="24"/>
        </w:rPr>
        <w:t>Ethical approval for this experimental animal study was obtained from the institutional research ethics committee (Approval No: EC/101/KEPK-FKGUHT/X/2024).</w:t>
      </w:r>
    </w:p>
    <w:p w14:paraId="0AE15F4B" w14:textId="77777777" w:rsidR="008F67E2" w:rsidRDefault="008F67E2" w:rsidP="00C56D4C">
      <w:pPr>
        <w:spacing w:after="0" w:line="240" w:lineRule="auto"/>
        <w:jc w:val="both"/>
        <w:rPr>
          <w:rFonts w:ascii="Times New Roman" w:eastAsiaTheme="minorHAnsi" w:hAnsi="Times New Roman" w:cs="Times New Roman"/>
          <w:kern w:val="2"/>
          <w:sz w:val="24"/>
          <w:szCs w:val="24"/>
          <w:lang w:val="en-ID"/>
        </w:rPr>
      </w:pPr>
    </w:p>
    <w:p w14:paraId="4E826B68" w14:textId="77777777" w:rsidR="00325CC3" w:rsidRDefault="00325CC3" w:rsidP="00C56D4C">
      <w:pPr>
        <w:spacing w:after="0" w:line="240" w:lineRule="auto"/>
        <w:jc w:val="both"/>
        <w:rPr>
          <w:rFonts w:ascii="Times New Roman" w:eastAsiaTheme="minorHAnsi" w:hAnsi="Times New Roman" w:cs="Times New Roman"/>
          <w:kern w:val="2"/>
          <w:sz w:val="24"/>
          <w:szCs w:val="24"/>
          <w:lang w:val="en-ID"/>
        </w:rPr>
      </w:pPr>
    </w:p>
    <w:p w14:paraId="6AD4E252" w14:textId="5D4663E2" w:rsidR="00325CC3" w:rsidRPr="00325CC3" w:rsidRDefault="00325CC3" w:rsidP="00325CC3">
      <w:pPr>
        <w:spacing w:after="0" w:line="240" w:lineRule="auto"/>
        <w:jc w:val="both"/>
        <w:rPr>
          <w:rFonts w:ascii="Times New Roman" w:eastAsiaTheme="minorHAnsi" w:hAnsi="Times New Roman" w:cs="Times New Roman"/>
          <w:b/>
          <w:bCs/>
          <w:kern w:val="2"/>
          <w:sz w:val="24"/>
          <w:szCs w:val="24"/>
          <w:lang w:val="en-ID"/>
        </w:rPr>
      </w:pPr>
      <w:r w:rsidRPr="00325CC3">
        <w:rPr>
          <w:rFonts w:ascii="Times New Roman" w:eastAsiaTheme="minorHAnsi" w:hAnsi="Times New Roman" w:cs="Times New Roman"/>
          <w:b/>
          <w:bCs/>
          <w:kern w:val="2"/>
          <w:sz w:val="24"/>
          <w:szCs w:val="24"/>
          <w:lang w:val="en-ID"/>
        </w:rPr>
        <w:t>Funding</w:t>
      </w:r>
    </w:p>
    <w:p w14:paraId="6E0A8A6F" w14:textId="03FB5DB4" w:rsidR="00325CC3" w:rsidRDefault="00325CC3" w:rsidP="00325CC3">
      <w:pPr>
        <w:spacing w:after="0" w:line="240" w:lineRule="auto"/>
        <w:jc w:val="both"/>
        <w:rPr>
          <w:rFonts w:ascii="Times New Roman" w:eastAsiaTheme="minorHAnsi" w:hAnsi="Times New Roman" w:cs="Times New Roman"/>
          <w:kern w:val="2"/>
          <w:sz w:val="24"/>
          <w:szCs w:val="24"/>
          <w:lang w:val="en-ID"/>
        </w:rPr>
      </w:pPr>
      <w:r w:rsidRPr="00325CC3">
        <w:rPr>
          <w:rFonts w:ascii="Times New Roman" w:eastAsiaTheme="minorHAnsi" w:hAnsi="Times New Roman" w:cs="Times New Roman"/>
          <w:kern w:val="2"/>
          <w:sz w:val="24"/>
          <w:szCs w:val="24"/>
          <w:lang w:val="en-ID"/>
        </w:rPr>
        <w:t>This research received no external funding.</w:t>
      </w:r>
    </w:p>
    <w:p w14:paraId="7BCAB86B" w14:textId="77777777" w:rsidR="00325CC3" w:rsidRDefault="00325CC3" w:rsidP="00325CC3">
      <w:pPr>
        <w:spacing w:after="0" w:line="240" w:lineRule="auto"/>
        <w:jc w:val="both"/>
        <w:rPr>
          <w:rFonts w:ascii="Times New Roman" w:eastAsiaTheme="minorHAnsi" w:hAnsi="Times New Roman" w:cs="Times New Roman"/>
          <w:kern w:val="2"/>
          <w:sz w:val="24"/>
          <w:szCs w:val="24"/>
          <w:lang w:val="en-ID"/>
        </w:rPr>
      </w:pPr>
    </w:p>
    <w:p w14:paraId="3C8F4754" w14:textId="05E4EF1D" w:rsidR="00325CC3" w:rsidRPr="00325CC3" w:rsidRDefault="00325CC3" w:rsidP="00325CC3">
      <w:pPr>
        <w:spacing w:after="0" w:line="240" w:lineRule="auto"/>
        <w:jc w:val="both"/>
        <w:rPr>
          <w:rFonts w:ascii="Times New Roman" w:eastAsiaTheme="minorHAnsi" w:hAnsi="Times New Roman" w:cs="Times New Roman"/>
          <w:b/>
          <w:bCs/>
          <w:kern w:val="2"/>
          <w:sz w:val="24"/>
          <w:szCs w:val="24"/>
          <w:lang w:val="en-ID"/>
        </w:rPr>
      </w:pPr>
      <w:r w:rsidRPr="00325CC3">
        <w:rPr>
          <w:rFonts w:ascii="Times New Roman" w:eastAsiaTheme="minorHAnsi" w:hAnsi="Times New Roman" w:cs="Times New Roman"/>
          <w:b/>
          <w:bCs/>
          <w:kern w:val="2"/>
          <w:sz w:val="24"/>
          <w:szCs w:val="24"/>
          <w:lang w:val="en-ID"/>
        </w:rPr>
        <w:t>Data Availability</w:t>
      </w:r>
    </w:p>
    <w:p w14:paraId="643FD253" w14:textId="5FB034C2" w:rsidR="00325CC3" w:rsidRPr="00A20750" w:rsidRDefault="00325CC3" w:rsidP="00325CC3">
      <w:pPr>
        <w:spacing w:after="0" w:line="240" w:lineRule="auto"/>
        <w:jc w:val="both"/>
        <w:rPr>
          <w:rFonts w:ascii="Times New Roman" w:eastAsiaTheme="minorHAnsi" w:hAnsi="Times New Roman" w:cs="Times New Roman"/>
          <w:kern w:val="2"/>
          <w:sz w:val="24"/>
          <w:szCs w:val="24"/>
          <w:lang w:val="en-ID"/>
        </w:rPr>
      </w:pPr>
      <w:r w:rsidRPr="00325CC3">
        <w:rPr>
          <w:rFonts w:ascii="Times New Roman" w:eastAsiaTheme="minorHAnsi" w:hAnsi="Times New Roman" w:cs="Times New Roman"/>
          <w:kern w:val="2"/>
          <w:sz w:val="24"/>
          <w:szCs w:val="24"/>
          <w:lang w:val="en-ID"/>
        </w:rPr>
        <w:t>The data used to support the findings of this study are available from the corresponding author upon reasonable request.</w:t>
      </w:r>
    </w:p>
    <w:p w14:paraId="2435284D" w14:textId="77777777" w:rsidR="0085225B" w:rsidRPr="00A20750" w:rsidRDefault="0085225B" w:rsidP="00256FF2">
      <w:pPr>
        <w:spacing w:after="0" w:line="240" w:lineRule="auto"/>
        <w:jc w:val="both"/>
        <w:rPr>
          <w:rFonts w:ascii="Times New Roman" w:eastAsia="Calibri" w:hAnsi="Times New Roman" w:cs="Times New Roman"/>
          <w:bCs/>
          <w:sz w:val="24"/>
          <w:szCs w:val="24"/>
          <w:lang w:val="en-GB"/>
        </w:rPr>
      </w:pPr>
    </w:p>
    <w:p w14:paraId="2657DE67" w14:textId="77777777" w:rsidR="0085225B" w:rsidRPr="00A20750" w:rsidRDefault="0085225B" w:rsidP="00256FF2">
      <w:pPr>
        <w:spacing w:after="0" w:line="240" w:lineRule="auto"/>
        <w:jc w:val="both"/>
        <w:rPr>
          <w:rFonts w:ascii="Times New Roman" w:eastAsia="Calibri" w:hAnsi="Times New Roman" w:cs="Times New Roman"/>
          <w:bCs/>
          <w:sz w:val="24"/>
          <w:szCs w:val="24"/>
          <w:lang w:val="en-GB"/>
        </w:rPr>
      </w:pPr>
    </w:p>
    <w:p w14:paraId="6BEDB665" w14:textId="77777777" w:rsidR="00256FF2" w:rsidRPr="00A20750" w:rsidRDefault="00256FF2" w:rsidP="00256FF2">
      <w:pPr>
        <w:tabs>
          <w:tab w:val="left" w:pos="3206"/>
        </w:tabs>
        <w:spacing w:after="0" w:line="240" w:lineRule="auto"/>
        <w:jc w:val="both"/>
        <w:rPr>
          <w:rFonts w:ascii="Times New Roman" w:hAnsi="Times New Roman" w:cs="Times New Roman"/>
          <w:b/>
          <w:sz w:val="24"/>
          <w:szCs w:val="24"/>
        </w:rPr>
      </w:pPr>
    </w:p>
    <w:p w14:paraId="13FBD363" w14:textId="13C8E056" w:rsidR="0085225B" w:rsidRPr="00A20750" w:rsidRDefault="0085225B" w:rsidP="00256FF2">
      <w:pPr>
        <w:tabs>
          <w:tab w:val="left" w:pos="3206"/>
        </w:tabs>
        <w:spacing w:after="0" w:line="240" w:lineRule="auto"/>
        <w:jc w:val="both"/>
        <w:rPr>
          <w:rFonts w:ascii="Times New Roman" w:hAnsi="Times New Roman" w:cs="Times New Roman"/>
          <w:b/>
          <w:sz w:val="24"/>
          <w:szCs w:val="24"/>
        </w:rPr>
      </w:pPr>
      <w:r w:rsidRPr="00A20750">
        <w:rPr>
          <w:rFonts w:ascii="Times New Roman" w:hAnsi="Times New Roman" w:cs="Times New Roman"/>
          <w:b/>
          <w:sz w:val="24"/>
          <w:szCs w:val="24"/>
        </w:rPr>
        <w:t>REFERENCES:</w:t>
      </w:r>
    </w:p>
    <w:p w14:paraId="3EE938C2" w14:textId="77777777" w:rsidR="0085225B" w:rsidRPr="00A20750" w:rsidRDefault="0085225B" w:rsidP="00256FF2">
      <w:pPr>
        <w:tabs>
          <w:tab w:val="left" w:pos="3206"/>
        </w:tabs>
        <w:spacing w:after="0" w:line="240" w:lineRule="auto"/>
        <w:jc w:val="both"/>
        <w:rPr>
          <w:rFonts w:ascii="Times New Roman" w:hAnsi="Times New Roman" w:cs="Times New Roman"/>
          <w:b/>
          <w:color w:val="FF0000"/>
          <w:sz w:val="24"/>
          <w:szCs w:val="24"/>
        </w:rPr>
      </w:pPr>
    </w:p>
    <w:p w14:paraId="11B10179" w14:textId="4C2F3081"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proofErr w:type="spellStart"/>
      <w:r w:rsidRPr="00A20750">
        <w:rPr>
          <w:rFonts w:ascii="Times New Roman" w:eastAsiaTheme="minorHAnsi" w:hAnsi="Times New Roman" w:cs="Times New Roman"/>
          <w:kern w:val="2"/>
          <w:sz w:val="24"/>
          <w:szCs w:val="24"/>
          <w:lang w:val="en-ID"/>
        </w:rPr>
        <w:t>Hajishengallis</w:t>
      </w:r>
      <w:proofErr w:type="spellEnd"/>
      <w:r w:rsidRPr="00A20750">
        <w:rPr>
          <w:rFonts w:ascii="Times New Roman" w:eastAsiaTheme="minorHAnsi" w:hAnsi="Times New Roman" w:cs="Times New Roman"/>
          <w:kern w:val="2"/>
          <w:sz w:val="24"/>
          <w:szCs w:val="24"/>
          <w:lang w:val="en-ID"/>
        </w:rPr>
        <w:t xml:space="preserve"> G. Periodontitis: from microbial immune subversion to systemic inflammation. Nat Rev Immunol. </w:t>
      </w:r>
      <w:proofErr w:type="gramStart"/>
      <w:r w:rsidRPr="00A20750">
        <w:rPr>
          <w:rFonts w:ascii="Times New Roman" w:eastAsiaTheme="minorHAnsi" w:hAnsi="Times New Roman" w:cs="Times New Roman"/>
          <w:kern w:val="2"/>
          <w:sz w:val="24"/>
          <w:szCs w:val="24"/>
          <w:lang w:val="en-ID"/>
        </w:rPr>
        <w:t>2015;15:30</w:t>
      </w:r>
      <w:proofErr w:type="gramEnd"/>
      <w:r w:rsidRPr="00A20750">
        <w:rPr>
          <w:rFonts w:ascii="Times New Roman" w:eastAsiaTheme="minorHAnsi" w:hAnsi="Times New Roman" w:cs="Times New Roman"/>
          <w:kern w:val="2"/>
          <w:sz w:val="24"/>
          <w:szCs w:val="24"/>
          <w:lang w:val="en-ID"/>
        </w:rPr>
        <w:t>–44.</w:t>
      </w:r>
    </w:p>
    <w:p w14:paraId="4E923BF3" w14:textId="72A27A64"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How KY, Song KP, Chan KG. Porphyromonas gingivalis: an overview of periodontopathic pathogen below the gum line. Front </w:t>
      </w:r>
      <w:proofErr w:type="spellStart"/>
      <w:r w:rsidRPr="00A20750">
        <w:rPr>
          <w:rFonts w:ascii="Times New Roman" w:eastAsiaTheme="minorHAnsi" w:hAnsi="Times New Roman" w:cs="Times New Roman"/>
          <w:kern w:val="2"/>
          <w:sz w:val="24"/>
          <w:szCs w:val="24"/>
          <w:lang w:val="en-ID"/>
        </w:rPr>
        <w:t>Microbiol</w:t>
      </w:r>
      <w:proofErr w:type="spellEnd"/>
      <w:r w:rsidRPr="00A20750">
        <w:rPr>
          <w:rFonts w:ascii="Times New Roman" w:eastAsiaTheme="minorHAnsi" w:hAnsi="Times New Roman" w:cs="Times New Roman"/>
          <w:kern w:val="2"/>
          <w:sz w:val="24"/>
          <w:szCs w:val="24"/>
          <w:lang w:val="en-ID"/>
        </w:rPr>
        <w:t xml:space="preserve">. </w:t>
      </w:r>
      <w:proofErr w:type="gramStart"/>
      <w:r w:rsidRPr="00A20750">
        <w:rPr>
          <w:rFonts w:ascii="Times New Roman" w:eastAsiaTheme="minorHAnsi" w:hAnsi="Times New Roman" w:cs="Times New Roman"/>
          <w:kern w:val="2"/>
          <w:sz w:val="24"/>
          <w:szCs w:val="24"/>
          <w:lang w:val="en-ID"/>
        </w:rPr>
        <w:t>2016;7:53</w:t>
      </w:r>
      <w:proofErr w:type="gramEnd"/>
      <w:r w:rsidRPr="00A20750">
        <w:rPr>
          <w:rFonts w:ascii="Times New Roman" w:eastAsiaTheme="minorHAnsi" w:hAnsi="Times New Roman" w:cs="Times New Roman"/>
          <w:kern w:val="2"/>
          <w:sz w:val="24"/>
          <w:szCs w:val="24"/>
          <w:lang w:val="en-ID"/>
        </w:rPr>
        <w:t>.</w:t>
      </w:r>
    </w:p>
    <w:p w14:paraId="5B12AD92" w14:textId="35FB2500"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Kassebaum NJ, Bernabé E, Dahiya M, Bhandari B, Murray CJ, </w:t>
      </w:r>
      <w:proofErr w:type="spellStart"/>
      <w:r w:rsidRPr="00A20750">
        <w:rPr>
          <w:rFonts w:ascii="Times New Roman" w:eastAsiaTheme="minorHAnsi" w:hAnsi="Times New Roman" w:cs="Times New Roman"/>
          <w:kern w:val="2"/>
          <w:sz w:val="24"/>
          <w:szCs w:val="24"/>
          <w:lang w:val="en-ID"/>
        </w:rPr>
        <w:t>Marcenes</w:t>
      </w:r>
      <w:proofErr w:type="spellEnd"/>
      <w:r w:rsidRPr="00A20750">
        <w:rPr>
          <w:rFonts w:ascii="Times New Roman" w:eastAsiaTheme="minorHAnsi" w:hAnsi="Times New Roman" w:cs="Times New Roman"/>
          <w:kern w:val="2"/>
          <w:sz w:val="24"/>
          <w:szCs w:val="24"/>
          <w:lang w:val="en-ID"/>
        </w:rPr>
        <w:t xml:space="preserve"> W. Global burden of severe periodontitis. J Dent Res. </w:t>
      </w:r>
      <w:proofErr w:type="gramStart"/>
      <w:r w:rsidRPr="00A20750">
        <w:rPr>
          <w:rFonts w:ascii="Times New Roman" w:eastAsiaTheme="minorHAnsi" w:hAnsi="Times New Roman" w:cs="Times New Roman"/>
          <w:kern w:val="2"/>
          <w:sz w:val="24"/>
          <w:szCs w:val="24"/>
          <w:lang w:val="en-ID"/>
        </w:rPr>
        <w:t>2014;93:1045</w:t>
      </w:r>
      <w:proofErr w:type="gramEnd"/>
      <w:r w:rsidRPr="00A20750">
        <w:rPr>
          <w:rFonts w:ascii="Times New Roman" w:eastAsiaTheme="minorHAnsi" w:hAnsi="Times New Roman" w:cs="Times New Roman"/>
          <w:kern w:val="2"/>
          <w:sz w:val="24"/>
          <w:szCs w:val="24"/>
          <w:lang w:val="en-ID"/>
        </w:rPr>
        <w:t>–53.</w:t>
      </w:r>
    </w:p>
    <w:p w14:paraId="7699A123" w14:textId="7FE8DF61"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Dominy SS, Lynch C, </w:t>
      </w:r>
      <w:proofErr w:type="spellStart"/>
      <w:r w:rsidRPr="00A20750">
        <w:rPr>
          <w:rFonts w:ascii="Times New Roman" w:eastAsiaTheme="minorHAnsi" w:hAnsi="Times New Roman" w:cs="Times New Roman"/>
          <w:kern w:val="2"/>
          <w:sz w:val="24"/>
          <w:szCs w:val="24"/>
          <w:lang w:val="en-ID"/>
        </w:rPr>
        <w:t>Ermini</w:t>
      </w:r>
      <w:proofErr w:type="spellEnd"/>
      <w:r w:rsidRPr="00A20750">
        <w:rPr>
          <w:rFonts w:ascii="Times New Roman" w:eastAsiaTheme="minorHAnsi" w:hAnsi="Times New Roman" w:cs="Times New Roman"/>
          <w:kern w:val="2"/>
          <w:sz w:val="24"/>
          <w:szCs w:val="24"/>
          <w:lang w:val="en-ID"/>
        </w:rPr>
        <w:t xml:space="preserve"> F, </w:t>
      </w:r>
      <w:proofErr w:type="spellStart"/>
      <w:r w:rsidRPr="00A20750">
        <w:rPr>
          <w:rFonts w:ascii="Times New Roman" w:eastAsiaTheme="minorHAnsi" w:hAnsi="Times New Roman" w:cs="Times New Roman"/>
          <w:kern w:val="2"/>
          <w:sz w:val="24"/>
          <w:szCs w:val="24"/>
          <w:lang w:val="en-ID"/>
        </w:rPr>
        <w:t>Benedyk</w:t>
      </w:r>
      <w:proofErr w:type="spellEnd"/>
      <w:r w:rsidRPr="00A20750">
        <w:rPr>
          <w:rFonts w:ascii="Times New Roman" w:eastAsiaTheme="minorHAnsi" w:hAnsi="Times New Roman" w:cs="Times New Roman"/>
          <w:kern w:val="2"/>
          <w:sz w:val="24"/>
          <w:szCs w:val="24"/>
          <w:lang w:val="en-ID"/>
        </w:rPr>
        <w:t xml:space="preserve"> M, Marczyk A, Konradi A, et al. Porphyromonas gingivalis in Alzheimer’s disease brains: evidence for disease causation and treatment with small-molecule inhibitors. Sci Adv. 2019;</w:t>
      </w:r>
      <w:proofErr w:type="gramStart"/>
      <w:r w:rsidRPr="00A20750">
        <w:rPr>
          <w:rFonts w:ascii="Times New Roman" w:eastAsiaTheme="minorHAnsi" w:hAnsi="Times New Roman" w:cs="Times New Roman"/>
          <w:kern w:val="2"/>
          <w:sz w:val="24"/>
          <w:szCs w:val="24"/>
          <w:lang w:val="en-ID"/>
        </w:rPr>
        <w:t>5:eaau</w:t>
      </w:r>
      <w:proofErr w:type="gramEnd"/>
      <w:r w:rsidRPr="00A20750">
        <w:rPr>
          <w:rFonts w:ascii="Times New Roman" w:eastAsiaTheme="minorHAnsi" w:hAnsi="Times New Roman" w:cs="Times New Roman"/>
          <w:kern w:val="2"/>
          <w:sz w:val="24"/>
          <w:szCs w:val="24"/>
          <w:lang w:val="en-ID"/>
        </w:rPr>
        <w:t>3333.</w:t>
      </w:r>
    </w:p>
    <w:p w14:paraId="7EC7B984" w14:textId="4801214A"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Livingston G, Huntley J, </w:t>
      </w:r>
      <w:proofErr w:type="spellStart"/>
      <w:r w:rsidRPr="00A20750">
        <w:rPr>
          <w:rFonts w:ascii="Times New Roman" w:eastAsiaTheme="minorHAnsi" w:hAnsi="Times New Roman" w:cs="Times New Roman"/>
          <w:kern w:val="2"/>
          <w:sz w:val="24"/>
          <w:szCs w:val="24"/>
          <w:lang w:val="en-ID"/>
        </w:rPr>
        <w:t>Sommerlad</w:t>
      </w:r>
      <w:proofErr w:type="spellEnd"/>
      <w:r w:rsidRPr="00A20750">
        <w:rPr>
          <w:rFonts w:ascii="Times New Roman" w:eastAsiaTheme="minorHAnsi" w:hAnsi="Times New Roman" w:cs="Times New Roman"/>
          <w:kern w:val="2"/>
          <w:sz w:val="24"/>
          <w:szCs w:val="24"/>
          <w:lang w:val="en-ID"/>
        </w:rPr>
        <w:t xml:space="preserve"> A, Ames D, Ballard C, Banerjee S, et al. Dementia prevention, intervention, and care. Lancet. </w:t>
      </w:r>
      <w:proofErr w:type="gramStart"/>
      <w:r w:rsidRPr="00A20750">
        <w:rPr>
          <w:rFonts w:ascii="Times New Roman" w:eastAsiaTheme="minorHAnsi" w:hAnsi="Times New Roman" w:cs="Times New Roman"/>
          <w:kern w:val="2"/>
          <w:sz w:val="24"/>
          <w:szCs w:val="24"/>
          <w:lang w:val="en-ID"/>
        </w:rPr>
        <w:t>2020;396:413</w:t>
      </w:r>
      <w:proofErr w:type="gramEnd"/>
      <w:r w:rsidRPr="00A20750">
        <w:rPr>
          <w:rFonts w:ascii="Times New Roman" w:eastAsiaTheme="minorHAnsi" w:hAnsi="Times New Roman" w:cs="Times New Roman"/>
          <w:kern w:val="2"/>
          <w:sz w:val="24"/>
          <w:szCs w:val="24"/>
          <w:lang w:val="en-ID"/>
        </w:rPr>
        <w:t>–46.</w:t>
      </w:r>
    </w:p>
    <w:p w14:paraId="4F24FC41" w14:textId="520642B3"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Kim J, Kang H, Lee YB, Lee B, Lee D. Inflammatory responses induced by Porphyromonas gingivalis and their systemic implications. Sci Rep. </w:t>
      </w:r>
      <w:proofErr w:type="gramStart"/>
      <w:r w:rsidRPr="00A20750">
        <w:rPr>
          <w:rFonts w:ascii="Times New Roman" w:eastAsiaTheme="minorHAnsi" w:hAnsi="Times New Roman" w:cs="Times New Roman"/>
          <w:kern w:val="2"/>
          <w:sz w:val="24"/>
          <w:szCs w:val="24"/>
          <w:lang w:val="en-ID"/>
        </w:rPr>
        <w:t>2023;13:14722</w:t>
      </w:r>
      <w:proofErr w:type="gramEnd"/>
      <w:r w:rsidRPr="00A20750">
        <w:rPr>
          <w:rFonts w:ascii="Times New Roman" w:eastAsiaTheme="minorHAnsi" w:hAnsi="Times New Roman" w:cs="Times New Roman"/>
          <w:kern w:val="2"/>
          <w:sz w:val="24"/>
          <w:szCs w:val="24"/>
          <w:lang w:val="en-ID"/>
        </w:rPr>
        <w:t>.</w:t>
      </w:r>
    </w:p>
    <w:p w14:paraId="58EE3AD4" w14:textId="22F020B7"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Jiang Y, et al. Porphyromonas gingivalis and systemic inflammatory responses in neurodegenerative diseases. Front Cell Infect </w:t>
      </w:r>
      <w:proofErr w:type="spellStart"/>
      <w:r w:rsidRPr="00A20750">
        <w:rPr>
          <w:rFonts w:ascii="Times New Roman" w:eastAsiaTheme="minorHAnsi" w:hAnsi="Times New Roman" w:cs="Times New Roman"/>
          <w:kern w:val="2"/>
          <w:sz w:val="24"/>
          <w:szCs w:val="24"/>
          <w:lang w:val="en-ID"/>
        </w:rPr>
        <w:t>Microbiol</w:t>
      </w:r>
      <w:proofErr w:type="spellEnd"/>
      <w:r w:rsidRPr="00A20750">
        <w:rPr>
          <w:rFonts w:ascii="Times New Roman" w:eastAsiaTheme="minorHAnsi" w:hAnsi="Times New Roman" w:cs="Times New Roman"/>
          <w:kern w:val="2"/>
          <w:sz w:val="24"/>
          <w:szCs w:val="24"/>
          <w:lang w:val="en-ID"/>
        </w:rPr>
        <w:t xml:space="preserve">. </w:t>
      </w:r>
      <w:proofErr w:type="gramStart"/>
      <w:r w:rsidRPr="00A20750">
        <w:rPr>
          <w:rFonts w:ascii="Times New Roman" w:eastAsiaTheme="minorHAnsi" w:hAnsi="Times New Roman" w:cs="Times New Roman"/>
          <w:kern w:val="2"/>
          <w:sz w:val="24"/>
          <w:szCs w:val="24"/>
          <w:lang w:val="en-ID"/>
        </w:rPr>
        <w:t>2025;15:1559182</w:t>
      </w:r>
      <w:proofErr w:type="gramEnd"/>
      <w:r w:rsidRPr="00A20750">
        <w:rPr>
          <w:rFonts w:ascii="Times New Roman" w:eastAsiaTheme="minorHAnsi" w:hAnsi="Times New Roman" w:cs="Times New Roman"/>
          <w:kern w:val="2"/>
          <w:sz w:val="24"/>
          <w:szCs w:val="24"/>
          <w:lang w:val="en-ID"/>
        </w:rPr>
        <w:t>.</w:t>
      </w:r>
    </w:p>
    <w:p w14:paraId="4653C276" w14:textId="76AA3830"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Cichońska D, </w:t>
      </w:r>
      <w:proofErr w:type="spellStart"/>
      <w:r w:rsidRPr="00A20750">
        <w:rPr>
          <w:rFonts w:ascii="Times New Roman" w:eastAsiaTheme="minorHAnsi" w:hAnsi="Times New Roman" w:cs="Times New Roman"/>
          <w:kern w:val="2"/>
          <w:sz w:val="24"/>
          <w:szCs w:val="24"/>
          <w:lang w:val="en-ID"/>
        </w:rPr>
        <w:t>Mazuś</w:t>
      </w:r>
      <w:proofErr w:type="spellEnd"/>
      <w:r w:rsidRPr="00A20750">
        <w:rPr>
          <w:rFonts w:ascii="Times New Roman" w:eastAsiaTheme="minorHAnsi" w:hAnsi="Times New Roman" w:cs="Times New Roman"/>
          <w:kern w:val="2"/>
          <w:sz w:val="24"/>
          <w:szCs w:val="24"/>
          <w:lang w:val="en-ID"/>
        </w:rPr>
        <w:t xml:space="preserve"> M, Kusiak A. Molecular mechanisms linking periodontal disease and neurodegeneration. Int J Mol Sci. </w:t>
      </w:r>
      <w:proofErr w:type="gramStart"/>
      <w:r w:rsidRPr="00A20750">
        <w:rPr>
          <w:rFonts w:ascii="Times New Roman" w:eastAsiaTheme="minorHAnsi" w:hAnsi="Times New Roman" w:cs="Times New Roman"/>
          <w:kern w:val="2"/>
          <w:sz w:val="24"/>
          <w:szCs w:val="24"/>
          <w:lang w:val="en-ID"/>
        </w:rPr>
        <w:t>2024;25:2612</w:t>
      </w:r>
      <w:proofErr w:type="gramEnd"/>
      <w:r w:rsidRPr="00A20750">
        <w:rPr>
          <w:rFonts w:ascii="Times New Roman" w:eastAsiaTheme="minorHAnsi" w:hAnsi="Times New Roman" w:cs="Times New Roman"/>
          <w:kern w:val="2"/>
          <w:sz w:val="24"/>
          <w:szCs w:val="24"/>
          <w:lang w:val="en-ID"/>
        </w:rPr>
        <w:t>.</w:t>
      </w:r>
    </w:p>
    <w:p w14:paraId="165814D7" w14:textId="72B70AE2"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Li F, et al. </w:t>
      </w:r>
      <w:proofErr w:type="spellStart"/>
      <w:r w:rsidRPr="00A20750">
        <w:rPr>
          <w:rFonts w:ascii="Times New Roman" w:eastAsiaTheme="minorHAnsi" w:hAnsi="Times New Roman" w:cs="Times New Roman"/>
          <w:kern w:val="2"/>
          <w:sz w:val="24"/>
          <w:szCs w:val="24"/>
          <w:lang w:val="en-ID"/>
        </w:rPr>
        <w:t>Behavioral</w:t>
      </w:r>
      <w:proofErr w:type="spellEnd"/>
      <w:r w:rsidRPr="00A20750">
        <w:rPr>
          <w:rFonts w:ascii="Times New Roman" w:eastAsiaTheme="minorHAnsi" w:hAnsi="Times New Roman" w:cs="Times New Roman"/>
          <w:kern w:val="2"/>
          <w:sz w:val="24"/>
          <w:szCs w:val="24"/>
          <w:lang w:val="en-ID"/>
        </w:rPr>
        <w:t xml:space="preserve"> assessment of spatial working memory using the Y-maze paradigm. J Clin Periodontol. </w:t>
      </w:r>
      <w:proofErr w:type="gramStart"/>
      <w:r w:rsidRPr="00A20750">
        <w:rPr>
          <w:rFonts w:ascii="Times New Roman" w:eastAsiaTheme="minorHAnsi" w:hAnsi="Times New Roman" w:cs="Times New Roman"/>
          <w:kern w:val="2"/>
          <w:sz w:val="24"/>
          <w:szCs w:val="24"/>
          <w:lang w:val="en-ID"/>
        </w:rPr>
        <w:t>2024;51:818</w:t>
      </w:r>
      <w:proofErr w:type="gramEnd"/>
      <w:r w:rsidRPr="00A20750">
        <w:rPr>
          <w:rFonts w:ascii="Times New Roman" w:eastAsiaTheme="minorHAnsi" w:hAnsi="Times New Roman" w:cs="Times New Roman"/>
          <w:kern w:val="2"/>
          <w:sz w:val="24"/>
          <w:szCs w:val="24"/>
          <w:lang w:val="en-ID"/>
        </w:rPr>
        <w:t>–39.</w:t>
      </w:r>
    </w:p>
    <w:p w14:paraId="4C244C21" w14:textId="601068AB"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Lei S, et al. Periodontal infection and systemic disease progression. Int J Oral Sci. </w:t>
      </w:r>
      <w:proofErr w:type="gramStart"/>
      <w:r w:rsidRPr="00A20750">
        <w:rPr>
          <w:rFonts w:ascii="Times New Roman" w:eastAsiaTheme="minorHAnsi" w:hAnsi="Times New Roman" w:cs="Times New Roman"/>
          <w:kern w:val="2"/>
          <w:sz w:val="24"/>
          <w:szCs w:val="24"/>
          <w:lang w:val="en-ID"/>
        </w:rPr>
        <w:t>2023;15:3</w:t>
      </w:r>
      <w:proofErr w:type="gramEnd"/>
      <w:r w:rsidRPr="00A20750">
        <w:rPr>
          <w:rFonts w:ascii="Times New Roman" w:eastAsiaTheme="minorHAnsi" w:hAnsi="Times New Roman" w:cs="Times New Roman"/>
          <w:kern w:val="2"/>
          <w:sz w:val="24"/>
          <w:szCs w:val="24"/>
          <w:lang w:val="en-ID"/>
        </w:rPr>
        <w:t>.</w:t>
      </w:r>
    </w:p>
    <w:p w14:paraId="27896788" w14:textId="4A1A6359"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Nonaka S, Kadowaki T, Nakanishi H. Neuroinflammatory mechanisms triggered by periodontal pathogens. </w:t>
      </w:r>
      <w:proofErr w:type="spellStart"/>
      <w:r w:rsidRPr="00A20750">
        <w:rPr>
          <w:rFonts w:ascii="Times New Roman" w:eastAsiaTheme="minorHAnsi" w:hAnsi="Times New Roman" w:cs="Times New Roman"/>
          <w:kern w:val="2"/>
          <w:sz w:val="24"/>
          <w:szCs w:val="24"/>
          <w:lang w:val="en-ID"/>
        </w:rPr>
        <w:t>Neurochem</w:t>
      </w:r>
      <w:proofErr w:type="spellEnd"/>
      <w:r w:rsidRPr="00A20750">
        <w:rPr>
          <w:rFonts w:ascii="Times New Roman" w:eastAsiaTheme="minorHAnsi" w:hAnsi="Times New Roman" w:cs="Times New Roman"/>
          <w:kern w:val="2"/>
          <w:sz w:val="24"/>
          <w:szCs w:val="24"/>
          <w:lang w:val="en-ID"/>
        </w:rPr>
        <w:t xml:space="preserve"> Int. </w:t>
      </w:r>
      <w:proofErr w:type="gramStart"/>
      <w:r w:rsidRPr="00A20750">
        <w:rPr>
          <w:rFonts w:ascii="Times New Roman" w:eastAsiaTheme="minorHAnsi" w:hAnsi="Times New Roman" w:cs="Times New Roman"/>
          <w:kern w:val="2"/>
          <w:sz w:val="24"/>
          <w:szCs w:val="24"/>
          <w:lang w:val="en-ID"/>
        </w:rPr>
        <w:t>2022;154:105282</w:t>
      </w:r>
      <w:proofErr w:type="gramEnd"/>
      <w:r w:rsidRPr="00A20750">
        <w:rPr>
          <w:rFonts w:ascii="Times New Roman" w:eastAsiaTheme="minorHAnsi" w:hAnsi="Times New Roman" w:cs="Times New Roman"/>
          <w:kern w:val="2"/>
          <w:sz w:val="24"/>
          <w:szCs w:val="24"/>
          <w:lang w:val="en-ID"/>
        </w:rPr>
        <w:t>.</w:t>
      </w:r>
    </w:p>
    <w:p w14:paraId="5D558234" w14:textId="61537344"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Aarabi G, Thomalla G, Walther C, Mayer C, </w:t>
      </w:r>
      <w:proofErr w:type="spellStart"/>
      <w:r w:rsidRPr="00A20750">
        <w:rPr>
          <w:rFonts w:ascii="Times New Roman" w:eastAsiaTheme="minorHAnsi" w:hAnsi="Times New Roman" w:cs="Times New Roman"/>
          <w:kern w:val="2"/>
          <w:sz w:val="24"/>
          <w:szCs w:val="24"/>
          <w:lang w:val="en-ID"/>
        </w:rPr>
        <w:t>Beikler</w:t>
      </w:r>
      <w:proofErr w:type="spellEnd"/>
      <w:r w:rsidRPr="00A20750">
        <w:rPr>
          <w:rFonts w:ascii="Times New Roman" w:eastAsiaTheme="minorHAnsi" w:hAnsi="Times New Roman" w:cs="Times New Roman"/>
          <w:kern w:val="2"/>
          <w:sz w:val="24"/>
          <w:szCs w:val="24"/>
          <w:lang w:val="en-ID"/>
        </w:rPr>
        <w:t xml:space="preserve"> T, </w:t>
      </w:r>
      <w:proofErr w:type="spellStart"/>
      <w:r w:rsidRPr="00A20750">
        <w:rPr>
          <w:rFonts w:ascii="Times New Roman" w:eastAsiaTheme="minorHAnsi" w:hAnsi="Times New Roman" w:cs="Times New Roman"/>
          <w:kern w:val="2"/>
          <w:sz w:val="24"/>
          <w:szCs w:val="24"/>
          <w:lang w:val="en-ID"/>
        </w:rPr>
        <w:t>Heydecke</w:t>
      </w:r>
      <w:proofErr w:type="spellEnd"/>
      <w:r w:rsidRPr="00A20750">
        <w:rPr>
          <w:rFonts w:ascii="Times New Roman" w:eastAsiaTheme="minorHAnsi" w:hAnsi="Times New Roman" w:cs="Times New Roman"/>
          <w:kern w:val="2"/>
          <w:sz w:val="24"/>
          <w:szCs w:val="24"/>
          <w:lang w:val="en-ID"/>
        </w:rPr>
        <w:t xml:space="preserve"> G, et al. Periodontal disease and neurological disorders: clinical evidence and mechanisms. </w:t>
      </w:r>
      <w:proofErr w:type="spellStart"/>
      <w:r w:rsidRPr="00A20750">
        <w:rPr>
          <w:rFonts w:ascii="Times New Roman" w:eastAsiaTheme="minorHAnsi" w:hAnsi="Times New Roman" w:cs="Times New Roman"/>
          <w:kern w:val="2"/>
          <w:sz w:val="24"/>
          <w:szCs w:val="24"/>
          <w:lang w:val="en-ID"/>
        </w:rPr>
        <w:t>Dtsch</w:t>
      </w:r>
      <w:proofErr w:type="spellEnd"/>
      <w:r w:rsidRPr="00A20750">
        <w:rPr>
          <w:rFonts w:ascii="Times New Roman" w:eastAsiaTheme="minorHAnsi" w:hAnsi="Times New Roman" w:cs="Times New Roman"/>
          <w:kern w:val="2"/>
          <w:sz w:val="24"/>
          <w:szCs w:val="24"/>
          <w:lang w:val="en-ID"/>
        </w:rPr>
        <w:t xml:space="preserve"> </w:t>
      </w:r>
      <w:proofErr w:type="spellStart"/>
      <w:r w:rsidRPr="00A20750">
        <w:rPr>
          <w:rFonts w:ascii="Times New Roman" w:eastAsiaTheme="minorHAnsi" w:hAnsi="Times New Roman" w:cs="Times New Roman"/>
          <w:kern w:val="2"/>
          <w:sz w:val="24"/>
          <w:szCs w:val="24"/>
          <w:lang w:val="en-ID"/>
        </w:rPr>
        <w:t>Zahnärztl</w:t>
      </w:r>
      <w:proofErr w:type="spellEnd"/>
      <w:r w:rsidRPr="00A20750">
        <w:rPr>
          <w:rFonts w:ascii="Times New Roman" w:eastAsiaTheme="minorHAnsi" w:hAnsi="Times New Roman" w:cs="Times New Roman"/>
          <w:kern w:val="2"/>
          <w:sz w:val="24"/>
          <w:szCs w:val="24"/>
          <w:lang w:val="en-ID"/>
        </w:rPr>
        <w:t xml:space="preserve"> Z Int. </w:t>
      </w:r>
      <w:proofErr w:type="gramStart"/>
      <w:r w:rsidRPr="00A20750">
        <w:rPr>
          <w:rFonts w:ascii="Times New Roman" w:eastAsiaTheme="minorHAnsi" w:hAnsi="Times New Roman" w:cs="Times New Roman"/>
          <w:kern w:val="2"/>
          <w:sz w:val="24"/>
          <w:szCs w:val="24"/>
          <w:lang w:val="en-ID"/>
        </w:rPr>
        <w:t>2021;3:121</w:t>
      </w:r>
      <w:proofErr w:type="gramEnd"/>
      <w:r w:rsidRPr="00A20750">
        <w:rPr>
          <w:rFonts w:ascii="Times New Roman" w:eastAsiaTheme="minorHAnsi" w:hAnsi="Times New Roman" w:cs="Times New Roman"/>
          <w:kern w:val="2"/>
          <w:sz w:val="24"/>
          <w:szCs w:val="24"/>
          <w:lang w:val="en-ID"/>
        </w:rPr>
        <w:t>–8.</w:t>
      </w:r>
    </w:p>
    <w:p w14:paraId="3470EEC4" w14:textId="37CE47E9"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proofErr w:type="spellStart"/>
      <w:r w:rsidRPr="00A20750">
        <w:rPr>
          <w:rFonts w:ascii="Times New Roman" w:eastAsiaTheme="minorHAnsi" w:hAnsi="Times New Roman" w:cs="Times New Roman"/>
          <w:kern w:val="2"/>
          <w:sz w:val="24"/>
          <w:szCs w:val="24"/>
          <w:lang w:val="en-ID"/>
        </w:rPr>
        <w:t>Vom</w:t>
      </w:r>
      <w:proofErr w:type="spellEnd"/>
      <w:r w:rsidRPr="00A20750">
        <w:rPr>
          <w:rFonts w:ascii="Times New Roman" w:eastAsiaTheme="minorHAnsi" w:hAnsi="Times New Roman" w:cs="Times New Roman"/>
          <w:kern w:val="2"/>
          <w:sz w:val="24"/>
          <w:szCs w:val="24"/>
          <w:lang w:val="en-ID"/>
        </w:rPr>
        <w:t xml:space="preserve"> Hofe I, Stricker BH, Ikram MK, Wolters FJ, Ikram MA. Association between periodontal disease and cognitive decline. J Am </w:t>
      </w:r>
      <w:proofErr w:type="spellStart"/>
      <w:r w:rsidRPr="00A20750">
        <w:rPr>
          <w:rFonts w:ascii="Times New Roman" w:eastAsiaTheme="minorHAnsi" w:hAnsi="Times New Roman" w:cs="Times New Roman"/>
          <w:kern w:val="2"/>
          <w:sz w:val="24"/>
          <w:szCs w:val="24"/>
          <w:lang w:val="en-ID"/>
        </w:rPr>
        <w:t>Geriatr</w:t>
      </w:r>
      <w:proofErr w:type="spellEnd"/>
      <w:r w:rsidRPr="00A20750">
        <w:rPr>
          <w:rFonts w:ascii="Times New Roman" w:eastAsiaTheme="minorHAnsi" w:hAnsi="Times New Roman" w:cs="Times New Roman"/>
          <w:kern w:val="2"/>
          <w:sz w:val="24"/>
          <w:szCs w:val="24"/>
          <w:lang w:val="en-ID"/>
        </w:rPr>
        <w:t xml:space="preserve"> Soc. </w:t>
      </w:r>
      <w:proofErr w:type="gramStart"/>
      <w:r w:rsidRPr="00A20750">
        <w:rPr>
          <w:rFonts w:ascii="Times New Roman" w:eastAsiaTheme="minorHAnsi" w:hAnsi="Times New Roman" w:cs="Times New Roman"/>
          <w:kern w:val="2"/>
          <w:sz w:val="24"/>
          <w:szCs w:val="24"/>
          <w:lang w:val="en-ID"/>
        </w:rPr>
        <w:t>2025;73:1484</w:t>
      </w:r>
      <w:proofErr w:type="gramEnd"/>
      <w:r w:rsidRPr="00A20750">
        <w:rPr>
          <w:rFonts w:ascii="Times New Roman" w:eastAsiaTheme="minorHAnsi" w:hAnsi="Times New Roman" w:cs="Times New Roman"/>
          <w:kern w:val="2"/>
          <w:sz w:val="24"/>
          <w:szCs w:val="24"/>
          <w:lang w:val="en-ID"/>
        </w:rPr>
        <w:t>–90.</w:t>
      </w:r>
    </w:p>
    <w:p w14:paraId="6B84A1ED" w14:textId="07D427DD"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Lawson TM, Amos N, Bulgen D, Williams BD. Cytokine-mediated inflammatory responses in chronic disease. Rheumatology (Oxford). </w:t>
      </w:r>
      <w:proofErr w:type="gramStart"/>
      <w:r w:rsidRPr="00A20750">
        <w:rPr>
          <w:rFonts w:ascii="Times New Roman" w:eastAsiaTheme="minorHAnsi" w:hAnsi="Times New Roman" w:cs="Times New Roman"/>
          <w:kern w:val="2"/>
          <w:sz w:val="24"/>
          <w:szCs w:val="24"/>
          <w:lang w:val="en-ID"/>
        </w:rPr>
        <w:t>2001;40:329</w:t>
      </w:r>
      <w:proofErr w:type="gramEnd"/>
      <w:r w:rsidRPr="00A20750">
        <w:rPr>
          <w:rFonts w:ascii="Times New Roman" w:eastAsiaTheme="minorHAnsi" w:hAnsi="Times New Roman" w:cs="Times New Roman"/>
          <w:kern w:val="2"/>
          <w:sz w:val="24"/>
          <w:szCs w:val="24"/>
          <w:lang w:val="en-ID"/>
        </w:rPr>
        <w:t>–35.</w:t>
      </w:r>
    </w:p>
    <w:p w14:paraId="5A45014C" w14:textId="6868B85C"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lastRenderedPageBreak/>
        <w:t xml:space="preserve">Plane JM, Shen Y, Pleasure DE, Deng W. Neuroinflammation and cognitive impairment associated with bacterial infection. Arch Neurol. </w:t>
      </w:r>
      <w:proofErr w:type="gramStart"/>
      <w:r w:rsidRPr="00A20750">
        <w:rPr>
          <w:rFonts w:ascii="Times New Roman" w:eastAsiaTheme="minorHAnsi" w:hAnsi="Times New Roman" w:cs="Times New Roman"/>
          <w:kern w:val="2"/>
          <w:sz w:val="24"/>
          <w:szCs w:val="24"/>
          <w:lang w:val="en-ID"/>
        </w:rPr>
        <w:t>2010;67:1442</w:t>
      </w:r>
      <w:proofErr w:type="gramEnd"/>
      <w:r w:rsidRPr="00A20750">
        <w:rPr>
          <w:rFonts w:ascii="Times New Roman" w:eastAsiaTheme="minorHAnsi" w:hAnsi="Times New Roman" w:cs="Times New Roman"/>
          <w:kern w:val="2"/>
          <w:sz w:val="24"/>
          <w:szCs w:val="24"/>
          <w:lang w:val="en-ID"/>
        </w:rPr>
        <w:t>–8.</w:t>
      </w:r>
    </w:p>
    <w:p w14:paraId="244FB8B9" w14:textId="3C91DF6F"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Schreiner TG, </w:t>
      </w:r>
      <w:proofErr w:type="spellStart"/>
      <w:r w:rsidRPr="00A20750">
        <w:rPr>
          <w:rFonts w:ascii="Times New Roman" w:eastAsiaTheme="minorHAnsi" w:hAnsi="Times New Roman" w:cs="Times New Roman"/>
          <w:kern w:val="2"/>
          <w:sz w:val="24"/>
          <w:szCs w:val="24"/>
          <w:lang w:val="en-ID"/>
        </w:rPr>
        <w:t>Maresz</w:t>
      </w:r>
      <w:proofErr w:type="spellEnd"/>
      <w:r w:rsidRPr="00A20750">
        <w:rPr>
          <w:rFonts w:ascii="Times New Roman" w:eastAsiaTheme="minorHAnsi" w:hAnsi="Times New Roman" w:cs="Times New Roman"/>
          <w:kern w:val="2"/>
          <w:sz w:val="24"/>
          <w:szCs w:val="24"/>
          <w:lang w:val="en-ID"/>
        </w:rPr>
        <w:t xml:space="preserve"> K, Majchrzak M, </w:t>
      </w:r>
      <w:proofErr w:type="spellStart"/>
      <w:r w:rsidRPr="00A20750">
        <w:rPr>
          <w:rFonts w:ascii="Times New Roman" w:eastAsiaTheme="minorHAnsi" w:hAnsi="Times New Roman" w:cs="Times New Roman"/>
          <w:kern w:val="2"/>
          <w:sz w:val="24"/>
          <w:szCs w:val="24"/>
          <w:lang w:val="en-ID"/>
        </w:rPr>
        <w:t>Biały</w:t>
      </w:r>
      <w:proofErr w:type="spellEnd"/>
      <w:r w:rsidRPr="00A20750">
        <w:rPr>
          <w:rFonts w:ascii="Times New Roman" w:eastAsiaTheme="minorHAnsi" w:hAnsi="Times New Roman" w:cs="Times New Roman"/>
          <w:kern w:val="2"/>
          <w:sz w:val="24"/>
          <w:szCs w:val="24"/>
          <w:lang w:val="en-ID"/>
        </w:rPr>
        <w:t xml:space="preserve"> D, </w:t>
      </w:r>
      <w:proofErr w:type="spellStart"/>
      <w:r w:rsidRPr="00A20750">
        <w:rPr>
          <w:rFonts w:ascii="Times New Roman" w:eastAsiaTheme="minorHAnsi" w:hAnsi="Times New Roman" w:cs="Times New Roman"/>
          <w:kern w:val="2"/>
          <w:sz w:val="24"/>
          <w:szCs w:val="24"/>
          <w:lang w:val="en-ID"/>
        </w:rPr>
        <w:t>Wiciński</w:t>
      </w:r>
      <w:proofErr w:type="spellEnd"/>
      <w:r w:rsidRPr="00A20750">
        <w:rPr>
          <w:rFonts w:ascii="Times New Roman" w:eastAsiaTheme="minorHAnsi" w:hAnsi="Times New Roman" w:cs="Times New Roman"/>
          <w:kern w:val="2"/>
          <w:sz w:val="24"/>
          <w:szCs w:val="24"/>
          <w:lang w:val="en-ID"/>
        </w:rPr>
        <w:t xml:space="preserve"> M, </w:t>
      </w:r>
      <w:proofErr w:type="spellStart"/>
      <w:r w:rsidRPr="00A20750">
        <w:rPr>
          <w:rFonts w:ascii="Times New Roman" w:eastAsiaTheme="minorHAnsi" w:hAnsi="Times New Roman" w:cs="Times New Roman"/>
          <w:kern w:val="2"/>
          <w:sz w:val="24"/>
          <w:szCs w:val="24"/>
          <w:lang w:val="en-ID"/>
        </w:rPr>
        <w:t>Wróbel</w:t>
      </w:r>
      <w:proofErr w:type="spellEnd"/>
      <w:r w:rsidRPr="00A20750">
        <w:rPr>
          <w:rFonts w:ascii="Times New Roman" w:eastAsiaTheme="minorHAnsi" w:hAnsi="Times New Roman" w:cs="Times New Roman"/>
          <w:kern w:val="2"/>
          <w:sz w:val="24"/>
          <w:szCs w:val="24"/>
          <w:lang w:val="en-ID"/>
        </w:rPr>
        <w:t xml:space="preserve"> A. The oral–brain axis: role of periodontal pathogens in neurodegenerative disease. Biomedicines. </w:t>
      </w:r>
      <w:proofErr w:type="gramStart"/>
      <w:r w:rsidRPr="00A20750">
        <w:rPr>
          <w:rFonts w:ascii="Times New Roman" w:eastAsiaTheme="minorHAnsi" w:hAnsi="Times New Roman" w:cs="Times New Roman"/>
          <w:kern w:val="2"/>
          <w:sz w:val="24"/>
          <w:szCs w:val="24"/>
          <w:lang w:val="en-ID"/>
        </w:rPr>
        <w:t>2024;12:1096</w:t>
      </w:r>
      <w:proofErr w:type="gramEnd"/>
      <w:r w:rsidRPr="00A20750">
        <w:rPr>
          <w:rFonts w:ascii="Times New Roman" w:eastAsiaTheme="minorHAnsi" w:hAnsi="Times New Roman" w:cs="Times New Roman"/>
          <w:kern w:val="2"/>
          <w:sz w:val="24"/>
          <w:szCs w:val="24"/>
          <w:lang w:val="en-ID"/>
        </w:rPr>
        <w:t>.</w:t>
      </w:r>
    </w:p>
    <w:p w14:paraId="216E4B34" w14:textId="53B7007F"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Chen TL, Xu B, Liu JC, et al. Experimental periodontitis models and systemic inflammatory responses. J Indian Soc </w:t>
      </w:r>
      <w:proofErr w:type="spellStart"/>
      <w:r w:rsidRPr="00A20750">
        <w:rPr>
          <w:rFonts w:ascii="Times New Roman" w:eastAsiaTheme="minorHAnsi" w:hAnsi="Times New Roman" w:cs="Times New Roman"/>
          <w:kern w:val="2"/>
          <w:sz w:val="24"/>
          <w:szCs w:val="24"/>
          <w:lang w:val="en-ID"/>
        </w:rPr>
        <w:t>Periodontol</w:t>
      </w:r>
      <w:proofErr w:type="spellEnd"/>
      <w:r w:rsidRPr="00A20750">
        <w:rPr>
          <w:rFonts w:ascii="Times New Roman" w:eastAsiaTheme="minorHAnsi" w:hAnsi="Times New Roman" w:cs="Times New Roman"/>
          <w:kern w:val="2"/>
          <w:sz w:val="24"/>
          <w:szCs w:val="24"/>
          <w:lang w:val="en-ID"/>
        </w:rPr>
        <w:t xml:space="preserve">. </w:t>
      </w:r>
      <w:proofErr w:type="gramStart"/>
      <w:r w:rsidRPr="00A20750">
        <w:rPr>
          <w:rFonts w:ascii="Times New Roman" w:eastAsiaTheme="minorHAnsi" w:hAnsi="Times New Roman" w:cs="Times New Roman"/>
          <w:kern w:val="2"/>
          <w:sz w:val="24"/>
          <w:szCs w:val="24"/>
          <w:lang w:val="en-ID"/>
        </w:rPr>
        <w:t>2012;16:492</w:t>
      </w:r>
      <w:proofErr w:type="gramEnd"/>
      <w:r w:rsidRPr="00A20750">
        <w:rPr>
          <w:rFonts w:ascii="Times New Roman" w:eastAsiaTheme="minorHAnsi" w:hAnsi="Times New Roman" w:cs="Times New Roman"/>
          <w:kern w:val="2"/>
          <w:sz w:val="24"/>
          <w:szCs w:val="24"/>
          <w:lang w:val="en-ID"/>
        </w:rPr>
        <w:t>–7.</w:t>
      </w:r>
    </w:p>
    <w:p w14:paraId="1F47D3FF" w14:textId="7182C067"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Burcea A, Mihai LL, Bechir A, </w:t>
      </w:r>
      <w:proofErr w:type="spellStart"/>
      <w:r w:rsidRPr="00A20750">
        <w:rPr>
          <w:rFonts w:ascii="Times New Roman" w:eastAsiaTheme="minorHAnsi" w:hAnsi="Times New Roman" w:cs="Times New Roman"/>
          <w:kern w:val="2"/>
          <w:sz w:val="24"/>
          <w:szCs w:val="24"/>
          <w:lang w:val="en-ID"/>
        </w:rPr>
        <w:t>Filipescu</w:t>
      </w:r>
      <w:proofErr w:type="spellEnd"/>
      <w:r w:rsidRPr="00A20750">
        <w:rPr>
          <w:rFonts w:ascii="Times New Roman" w:eastAsiaTheme="minorHAnsi" w:hAnsi="Times New Roman" w:cs="Times New Roman"/>
          <w:kern w:val="2"/>
          <w:sz w:val="24"/>
          <w:szCs w:val="24"/>
          <w:lang w:val="en-ID"/>
        </w:rPr>
        <w:t xml:space="preserve"> A, </w:t>
      </w:r>
      <w:proofErr w:type="spellStart"/>
      <w:r w:rsidRPr="00A20750">
        <w:rPr>
          <w:rFonts w:ascii="Times New Roman" w:eastAsiaTheme="minorHAnsi" w:hAnsi="Times New Roman" w:cs="Times New Roman"/>
          <w:kern w:val="2"/>
          <w:sz w:val="24"/>
          <w:szCs w:val="24"/>
          <w:lang w:val="en-ID"/>
        </w:rPr>
        <w:t>Sfredel</w:t>
      </w:r>
      <w:proofErr w:type="spellEnd"/>
      <w:r w:rsidRPr="00A20750">
        <w:rPr>
          <w:rFonts w:ascii="Times New Roman" w:eastAsiaTheme="minorHAnsi" w:hAnsi="Times New Roman" w:cs="Times New Roman"/>
          <w:kern w:val="2"/>
          <w:sz w:val="24"/>
          <w:szCs w:val="24"/>
          <w:lang w:val="en-ID"/>
        </w:rPr>
        <w:t xml:space="preserve"> V, </w:t>
      </w:r>
      <w:proofErr w:type="spellStart"/>
      <w:r w:rsidRPr="00A20750">
        <w:rPr>
          <w:rFonts w:ascii="Times New Roman" w:eastAsiaTheme="minorHAnsi" w:hAnsi="Times New Roman" w:cs="Times New Roman"/>
          <w:kern w:val="2"/>
          <w:sz w:val="24"/>
          <w:szCs w:val="24"/>
          <w:lang w:val="en-ID"/>
        </w:rPr>
        <w:t>Berceanu</w:t>
      </w:r>
      <w:proofErr w:type="spellEnd"/>
      <w:r w:rsidRPr="00A20750">
        <w:rPr>
          <w:rFonts w:ascii="Times New Roman" w:eastAsiaTheme="minorHAnsi" w:hAnsi="Times New Roman" w:cs="Times New Roman"/>
          <w:kern w:val="2"/>
          <w:sz w:val="24"/>
          <w:szCs w:val="24"/>
          <w:lang w:val="en-ID"/>
        </w:rPr>
        <w:t xml:space="preserve"> D, et al. Mechanisms linking periodontal disease and neurological pathology. Medicina (Kaunas). </w:t>
      </w:r>
      <w:proofErr w:type="gramStart"/>
      <w:r w:rsidRPr="00A20750">
        <w:rPr>
          <w:rFonts w:ascii="Times New Roman" w:eastAsiaTheme="minorHAnsi" w:hAnsi="Times New Roman" w:cs="Times New Roman"/>
          <w:kern w:val="2"/>
          <w:sz w:val="24"/>
          <w:szCs w:val="24"/>
          <w:lang w:val="en-ID"/>
        </w:rPr>
        <w:t>2022;58:234</w:t>
      </w:r>
      <w:proofErr w:type="gramEnd"/>
      <w:r w:rsidRPr="00A20750">
        <w:rPr>
          <w:rFonts w:ascii="Times New Roman" w:eastAsiaTheme="minorHAnsi" w:hAnsi="Times New Roman" w:cs="Times New Roman"/>
          <w:kern w:val="2"/>
          <w:sz w:val="24"/>
          <w:szCs w:val="24"/>
          <w:lang w:val="en-ID"/>
        </w:rPr>
        <w:t>.</w:t>
      </w:r>
    </w:p>
    <w:p w14:paraId="219CA9C4" w14:textId="00CADB54"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Harch PG, </w:t>
      </w:r>
      <w:proofErr w:type="spellStart"/>
      <w:r w:rsidRPr="00A20750">
        <w:rPr>
          <w:rFonts w:ascii="Times New Roman" w:eastAsiaTheme="minorHAnsi" w:hAnsi="Times New Roman" w:cs="Times New Roman"/>
          <w:kern w:val="2"/>
          <w:sz w:val="24"/>
          <w:szCs w:val="24"/>
          <w:lang w:val="en-ID"/>
        </w:rPr>
        <w:t>Kriedt</w:t>
      </w:r>
      <w:proofErr w:type="spellEnd"/>
      <w:r w:rsidRPr="00A20750">
        <w:rPr>
          <w:rFonts w:ascii="Times New Roman" w:eastAsiaTheme="minorHAnsi" w:hAnsi="Times New Roman" w:cs="Times New Roman"/>
          <w:kern w:val="2"/>
          <w:sz w:val="24"/>
          <w:szCs w:val="24"/>
          <w:lang w:val="en-ID"/>
        </w:rPr>
        <w:t xml:space="preserve"> CL, Van Meter KW, Sutherland RJ. Hyperbaric oxygen therapy improves neurological recovery in experimental models. Brain Res. </w:t>
      </w:r>
      <w:proofErr w:type="gramStart"/>
      <w:r w:rsidRPr="00A20750">
        <w:rPr>
          <w:rFonts w:ascii="Times New Roman" w:eastAsiaTheme="minorHAnsi" w:hAnsi="Times New Roman" w:cs="Times New Roman"/>
          <w:kern w:val="2"/>
          <w:sz w:val="24"/>
          <w:szCs w:val="24"/>
          <w:lang w:val="en-ID"/>
        </w:rPr>
        <w:t>2007;1174:120</w:t>
      </w:r>
      <w:proofErr w:type="gramEnd"/>
      <w:r w:rsidRPr="00A20750">
        <w:rPr>
          <w:rFonts w:ascii="Times New Roman" w:eastAsiaTheme="minorHAnsi" w:hAnsi="Times New Roman" w:cs="Times New Roman"/>
          <w:kern w:val="2"/>
          <w:sz w:val="24"/>
          <w:szCs w:val="24"/>
          <w:lang w:val="en-ID"/>
        </w:rPr>
        <w:t>–9.</w:t>
      </w:r>
    </w:p>
    <w:p w14:paraId="12298CA9" w14:textId="74897AAA"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Zhao B, Wang Y, Tan X, Liu B, Li H, Liu Z, et al. Effects of hyperbaric oxygen therapy on neuroinflammation and cognitive function. Yonsei Med J. </w:t>
      </w:r>
      <w:proofErr w:type="gramStart"/>
      <w:r w:rsidRPr="00A20750">
        <w:rPr>
          <w:rFonts w:ascii="Times New Roman" w:eastAsiaTheme="minorHAnsi" w:hAnsi="Times New Roman" w:cs="Times New Roman"/>
          <w:kern w:val="2"/>
          <w:sz w:val="24"/>
          <w:szCs w:val="24"/>
          <w:lang w:val="en-ID"/>
        </w:rPr>
        <w:t>2017;58:131</w:t>
      </w:r>
      <w:proofErr w:type="gramEnd"/>
      <w:r w:rsidRPr="00A20750">
        <w:rPr>
          <w:rFonts w:ascii="Times New Roman" w:eastAsiaTheme="minorHAnsi" w:hAnsi="Times New Roman" w:cs="Times New Roman"/>
          <w:kern w:val="2"/>
          <w:sz w:val="24"/>
          <w:szCs w:val="24"/>
          <w:lang w:val="en-ID"/>
        </w:rPr>
        <w:t>–8.</w:t>
      </w:r>
    </w:p>
    <w:p w14:paraId="5F05FBAC" w14:textId="25145244"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Shapira R, </w:t>
      </w:r>
      <w:proofErr w:type="spellStart"/>
      <w:r w:rsidRPr="00A20750">
        <w:rPr>
          <w:rFonts w:ascii="Times New Roman" w:eastAsiaTheme="minorHAnsi" w:hAnsi="Times New Roman" w:cs="Times New Roman"/>
          <w:kern w:val="2"/>
          <w:sz w:val="24"/>
          <w:szCs w:val="24"/>
          <w:lang w:val="en-ID"/>
        </w:rPr>
        <w:t>Gdalyahu</w:t>
      </w:r>
      <w:proofErr w:type="spellEnd"/>
      <w:r w:rsidRPr="00A20750">
        <w:rPr>
          <w:rFonts w:ascii="Times New Roman" w:eastAsiaTheme="minorHAnsi" w:hAnsi="Times New Roman" w:cs="Times New Roman"/>
          <w:kern w:val="2"/>
          <w:sz w:val="24"/>
          <w:szCs w:val="24"/>
          <w:lang w:val="en-ID"/>
        </w:rPr>
        <w:t xml:space="preserve"> A, Gottfried I, Sasson E, </w:t>
      </w:r>
      <w:proofErr w:type="spellStart"/>
      <w:r w:rsidRPr="00A20750">
        <w:rPr>
          <w:rFonts w:ascii="Times New Roman" w:eastAsiaTheme="minorHAnsi" w:hAnsi="Times New Roman" w:cs="Times New Roman"/>
          <w:kern w:val="2"/>
          <w:sz w:val="24"/>
          <w:szCs w:val="24"/>
          <w:lang w:val="en-ID"/>
        </w:rPr>
        <w:t>Hadanny</w:t>
      </w:r>
      <w:proofErr w:type="spellEnd"/>
      <w:r w:rsidRPr="00A20750">
        <w:rPr>
          <w:rFonts w:ascii="Times New Roman" w:eastAsiaTheme="minorHAnsi" w:hAnsi="Times New Roman" w:cs="Times New Roman"/>
          <w:kern w:val="2"/>
          <w:sz w:val="24"/>
          <w:szCs w:val="24"/>
          <w:lang w:val="en-ID"/>
        </w:rPr>
        <w:t xml:space="preserve"> A, Efrati S, et al. Hyperbaric oxygen therapy promotes neuroplasticity and cognitive improvement. Aging (Albany NY). </w:t>
      </w:r>
      <w:proofErr w:type="gramStart"/>
      <w:r w:rsidRPr="00A20750">
        <w:rPr>
          <w:rFonts w:ascii="Times New Roman" w:eastAsiaTheme="minorHAnsi" w:hAnsi="Times New Roman" w:cs="Times New Roman"/>
          <w:kern w:val="2"/>
          <w:sz w:val="24"/>
          <w:szCs w:val="24"/>
          <w:lang w:val="en-ID"/>
        </w:rPr>
        <w:t>2021;13:20935</w:t>
      </w:r>
      <w:proofErr w:type="gramEnd"/>
      <w:r w:rsidRPr="00A20750">
        <w:rPr>
          <w:rFonts w:ascii="Times New Roman" w:eastAsiaTheme="minorHAnsi" w:hAnsi="Times New Roman" w:cs="Times New Roman"/>
          <w:kern w:val="2"/>
          <w:sz w:val="24"/>
          <w:szCs w:val="24"/>
          <w:lang w:val="en-ID"/>
        </w:rPr>
        <w:t>–61.</w:t>
      </w:r>
    </w:p>
    <w:p w14:paraId="0394CBE1" w14:textId="6DEF2712"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Jin R, Ning X, Liu X, Zhao Y, Ye G. Experimental models of Porphyromonas gingivalis-induced periodontal disease. Front Cell </w:t>
      </w:r>
      <w:proofErr w:type="spellStart"/>
      <w:r w:rsidRPr="00A20750">
        <w:rPr>
          <w:rFonts w:ascii="Times New Roman" w:eastAsiaTheme="minorHAnsi" w:hAnsi="Times New Roman" w:cs="Times New Roman"/>
          <w:kern w:val="2"/>
          <w:sz w:val="24"/>
          <w:szCs w:val="24"/>
          <w:lang w:val="en-ID"/>
        </w:rPr>
        <w:t>Neurosci</w:t>
      </w:r>
      <w:proofErr w:type="spellEnd"/>
      <w:r w:rsidRPr="00A20750">
        <w:rPr>
          <w:rFonts w:ascii="Times New Roman" w:eastAsiaTheme="minorHAnsi" w:hAnsi="Times New Roman" w:cs="Times New Roman"/>
          <w:kern w:val="2"/>
          <w:sz w:val="24"/>
          <w:szCs w:val="24"/>
          <w:lang w:val="en-ID"/>
        </w:rPr>
        <w:t xml:space="preserve">. </w:t>
      </w:r>
      <w:proofErr w:type="gramStart"/>
      <w:r w:rsidRPr="00A20750">
        <w:rPr>
          <w:rFonts w:ascii="Times New Roman" w:eastAsiaTheme="minorHAnsi" w:hAnsi="Times New Roman" w:cs="Times New Roman"/>
          <w:kern w:val="2"/>
          <w:sz w:val="24"/>
          <w:szCs w:val="24"/>
          <w:lang w:val="en-ID"/>
        </w:rPr>
        <w:t>2023;17:1141339</w:t>
      </w:r>
      <w:proofErr w:type="gramEnd"/>
      <w:r w:rsidRPr="00A20750">
        <w:rPr>
          <w:rFonts w:ascii="Times New Roman" w:eastAsiaTheme="minorHAnsi" w:hAnsi="Times New Roman" w:cs="Times New Roman"/>
          <w:kern w:val="2"/>
          <w:sz w:val="24"/>
          <w:szCs w:val="24"/>
          <w:lang w:val="en-ID"/>
        </w:rPr>
        <w:t>.</w:t>
      </w:r>
    </w:p>
    <w:p w14:paraId="7E5E3AC5" w14:textId="54158412"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Rahman M, Hashioka S, Azis IA, Jaya MA, Jerin SJF, Kimura-Kataoka K, et al. Neuroinflammation associated with bacterial infection. J </w:t>
      </w:r>
      <w:proofErr w:type="spellStart"/>
      <w:r w:rsidRPr="00A20750">
        <w:rPr>
          <w:rFonts w:ascii="Times New Roman" w:eastAsiaTheme="minorHAnsi" w:hAnsi="Times New Roman" w:cs="Times New Roman"/>
          <w:kern w:val="2"/>
          <w:sz w:val="24"/>
          <w:szCs w:val="24"/>
          <w:lang w:val="en-ID"/>
        </w:rPr>
        <w:t>Integr</w:t>
      </w:r>
      <w:proofErr w:type="spellEnd"/>
      <w:r w:rsidRPr="00A20750">
        <w:rPr>
          <w:rFonts w:ascii="Times New Roman" w:eastAsiaTheme="minorHAnsi" w:hAnsi="Times New Roman" w:cs="Times New Roman"/>
          <w:kern w:val="2"/>
          <w:sz w:val="24"/>
          <w:szCs w:val="24"/>
          <w:lang w:val="en-ID"/>
        </w:rPr>
        <w:t xml:space="preserve"> </w:t>
      </w:r>
      <w:proofErr w:type="spellStart"/>
      <w:r w:rsidRPr="00A20750">
        <w:rPr>
          <w:rFonts w:ascii="Times New Roman" w:eastAsiaTheme="minorHAnsi" w:hAnsi="Times New Roman" w:cs="Times New Roman"/>
          <w:kern w:val="2"/>
          <w:sz w:val="24"/>
          <w:szCs w:val="24"/>
          <w:lang w:val="en-ID"/>
        </w:rPr>
        <w:t>Neurosci</w:t>
      </w:r>
      <w:proofErr w:type="spellEnd"/>
      <w:r w:rsidRPr="00A20750">
        <w:rPr>
          <w:rFonts w:ascii="Times New Roman" w:eastAsiaTheme="minorHAnsi" w:hAnsi="Times New Roman" w:cs="Times New Roman"/>
          <w:kern w:val="2"/>
          <w:sz w:val="24"/>
          <w:szCs w:val="24"/>
          <w:lang w:val="en-ID"/>
        </w:rPr>
        <w:t xml:space="preserve">. </w:t>
      </w:r>
      <w:proofErr w:type="gramStart"/>
      <w:r w:rsidRPr="00A20750">
        <w:rPr>
          <w:rFonts w:ascii="Times New Roman" w:eastAsiaTheme="minorHAnsi" w:hAnsi="Times New Roman" w:cs="Times New Roman"/>
          <w:kern w:val="2"/>
          <w:sz w:val="24"/>
          <w:szCs w:val="24"/>
          <w:lang w:val="en-ID"/>
        </w:rPr>
        <w:t>2023;22:120</w:t>
      </w:r>
      <w:proofErr w:type="gramEnd"/>
      <w:r w:rsidRPr="00A20750">
        <w:rPr>
          <w:rFonts w:ascii="Times New Roman" w:eastAsiaTheme="minorHAnsi" w:hAnsi="Times New Roman" w:cs="Times New Roman"/>
          <w:kern w:val="2"/>
          <w:sz w:val="24"/>
          <w:szCs w:val="24"/>
          <w:lang w:val="en-ID"/>
        </w:rPr>
        <w:t>.</w:t>
      </w:r>
    </w:p>
    <w:p w14:paraId="00019513" w14:textId="03B2756E"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Zhang Z, Liu D, Liu S, Zhang S, Pan Y. Porphyromonas gingivalis and neuroinflammation. Front Cell Infect </w:t>
      </w:r>
      <w:proofErr w:type="spellStart"/>
      <w:r w:rsidRPr="00A20750">
        <w:rPr>
          <w:rFonts w:ascii="Times New Roman" w:eastAsiaTheme="minorHAnsi" w:hAnsi="Times New Roman" w:cs="Times New Roman"/>
          <w:kern w:val="2"/>
          <w:sz w:val="24"/>
          <w:szCs w:val="24"/>
          <w:lang w:val="en-ID"/>
        </w:rPr>
        <w:t>Microbiol</w:t>
      </w:r>
      <w:proofErr w:type="spellEnd"/>
      <w:r w:rsidRPr="00A20750">
        <w:rPr>
          <w:rFonts w:ascii="Times New Roman" w:eastAsiaTheme="minorHAnsi" w:hAnsi="Times New Roman" w:cs="Times New Roman"/>
          <w:kern w:val="2"/>
          <w:sz w:val="24"/>
          <w:szCs w:val="24"/>
          <w:lang w:val="en-ID"/>
        </w:rPr>
        <w:t xml:space="preserve">. </w:t>
      </w:r>
      <w:proofErr w:type="gramStart"/>
      <w:r w:rsidRPr="00A20750">
        <w:rPr>
          <w:rFonts w:ascii="Times New Roman" w:eastAsiaTheme="minorHAnsi" w:hAnsi="Times New Roman" w:cs="Times New Roman"/>
          <w:kern w:val="2"/>
          <w:sz w:val="24"/>
          <w:szCs w:val="24"/>
          <w:lang w:val="en-ID"/>
        </w:rPr>
        <w:t>2021;10:585917</w:t>
      </w:r>
      <w:proofErr w:type="gramEnd"/>
      <w:r w:rsidRPr="00A20750">
        <w:rPr>
          <w:rFonts w:ascii="Times New Roman" w:eastAsiaTheme="minorHAnsi" w:hAnsi="Times New Roman" w:cs="Times New Roman"/>
          <w:kern w:val="2"/>
          <w:sz w:val="24"/>
          <w:szCs w:val="24"/>
          <w:lang w:val="en-ID"/>
        </w:rPr>
        <w:t>.</w:t>
      </w:r>
    </w:p>
    <w:p w14:paraId="57C0B6F8" w14:textId="6D8339C7"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Abdulkareem AA, Al-Taweel FB, Al-Sharqi AJB, Gul SS, Sha A, Chapple ILC. Periodontal infection and systemic inflammation. J Oral </w:t>
      </w:r>
      <w:proofErr w:type="spellStart"/>
      <w:r w:rsidRPr="00A20750">
        <w:rPr>
          <w:rFonts w:ascii="Times New Roman" w:eastAsiaTheme="minorHAnsi" w:hAnsi="Times New Roman" w:cs="Times New Roman"/>
          <w:kern w:val="2"/>
          <w:sz w:val="24"/>
          <w:szCs w:val="24"/>
          <w:lang w:val="en-ID"/>
        </w:rPr>
        <w:t>Microbiol</w:t>
      </w:r>
      <w:proofErr w:type="spellEnd"/>
      <w:r w:rsidRPr="00A20750">
        <w:rPr>
          <w:rFonts w:ascii="Times New Roman" w:eastAsiaTheme="minorHAnsi" w:hAnsi="Times New Roman" w:cs="Times New Roman"/>
          <w:kern w:val="2"/>
          <w:sz w:val="24"/>
          <w:szCs w:val="24"/>
          <w:lang w:val="en-ID"/>
        </w:rPr>
        <w:t xml:space="preserve">. </w:t>
      </w:r>
      <w:proofErr w:type="gramStart"/>
      <w:r w:rsidRPr="00A20750">
        <w:rPr>
          <w:rFonts w:ascii="Times New Roman" w:eastAsiaTheme="minorHAnsi" w:hAnsi="Times New Roman" w:cs="Times New Roman"/>
          <w:kern w:val="2"/>
          <w:sz w:val="24"/>
          <w:szCs w:val="24"/>
          <w:lang w:val="en-ID"/>
        </w:rPr>
        <w:t>2023;15:2197779</w:t>
      </w:r>
      <w:proofErr w:type="gramEnd"/>
      <w:r w:rsidRPr="00A20750">
        <w:rPr>
          <w:rFonts w:ascii="Times New Roman" w:eastAsiaTheme="minorHAnsi" w:hAnsi="Times New Roman" w:cs="Times New Roman"/>
          <w:kern w:val="2"/>
          <w:sz w:val="24"/>
          <w:szCs w:val="24"/>
          <w:lang w:val="en-ID"/>
        </w:rPr>
        <w:t>.</w:t>
      </w:r>
    </w:p>
    <w:p w14:paraId="1738235C" w14:textId="419229C0"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Zhang J, Yu C, Zhang X, et al. Inflammatory </w:t>
      </w:r>
      <w:proofErr w:type="spellStart"/>
      <w:r w:rsidRPr="00A20750">
        <w:rPr>
          <w:rFonts w:ascii="Times New Roman" w:eastAsiaTheme="minorHAnsi" w:hAnsi="Times New Roman" w:cs="Times New Roman"/>
          <w:kern w:val="2"/>
          <w:sz w:val="24"/>
          <w:szCs w:val="24"/>
          <w:lang w:val="en-ID"/>
        </w:rPr>
        <w:t>signaling</w:t>
      </w:r>
      <w:proofErr w:type="spellEnd"/>
      <w:r w:rsidRPr="00A20750">
        <w:rPr>
          <w:rFonts w:ascii="Times New Roman" w:eastAsiaTheme="minorHAnsi" w:hAnsi="Times New Roman" w:cs="Times New Roman"/>
          <w:kern w:val="2"/>
          <w:sz w:val="24"/>
          <w:szCs w:val="24"/>
          <w:lang w:val="en-ID"/>
        </w:rPr>
        <w:t xml:space="preserve"> pathways in neurodegeneration. J Neuroinflammation. </w:t>
      </w:r>
      <w:proofErr w:type="gramStart"/>
      <w:r w:rsidRPr="00A20750">
        <w:rPr>
          <w:rFonts w:ascii="Times New Roman" w:eastAsiaTheme="minorHAnsi" w:hAnsi="Times New Roman" w:cs="Times New Roman"/>
          <w:kern w:val="2"/>
          <w:sz w:val="24"/>
          <w:szCs w:val="24"/>
          <w:lang w:val="en-ID"/>
        </w:rPr>
        <w:t>2018;15:37</w:t>
      </w:r>
      <w:proofErr w:type="gramEnd"/>
      <w:r w:rsidRPr="00A20750">
        <w:rPr>
          <w:rFonts w:ascii="Times New Roman" w:eastAsiaTheme="minorHAnsi" w:hAnsi="Times New Roman" w:cs="Times New Roman"/>
          <w:kern w:val="2"/>
          <w:sz w:val="24"/>
          <w:szCs w:val="24"/>
          <w:lang w:val="en-ID"/>
        </w:rPr>
        <w:t>.</w:t>
      </w:r>
    </w:p>
    <w:p w14:paraId="5FB14AE6" w14:textId="5B2A3A2B"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Versele R, Sevin E, </w:t>
      </w:r>
      <w:proofErr w:type="spellStart"/>
      <w:r w:rsidRPr="00A20750">
        <w:rPr>
          <w:rFonts w:ascii="Times New Roman" w:eastAsiaTheme="minorHAnsi" w:hAnsi="Times New Roman" w:cs="Times New Roman"/>
          <w:kern w:val="2"/>
          <w:sz w:val="24"/>
          <w:szCs w:val="24"/>
          <w:lang w:val="en-ID"/>
        </w:rPr>
        <w:t>Gosselet</w:t>
      </w:r>
      <w:proofErr w:type="spellEnd"/>
      <w:r w:rsidRPr="00A20750">
        <w:rPr>
          <w:rFonts w:ascii="Times New Roman" w:eastAsiaTheme="minorHAnsi" w:hAnsi="Times New Roman" w:cs="Times New Roman"/>
          <w:kern w:val="2"/>
          <w:sz w:val="24"/>
          <w:szCs w:val="24"/>
          <w:lang w:val="en-ID"/>
        </w:rPr>
        <w:t xml:space="preserve"> F, </w:t>
      </w:r>
      <w:proofErr w:type="spellStart"/>
      <w:r w:rsidRPr="00A20750">
        <w:rPr>
          <w:rFonts w:ascii="Times New Roman" w:eastAsiaTheme="minorHAnsi" w:hAnsi="Times New Roman" w:cs="Times New Roman"/>
          <w:kern w:val="2"/>
          <w:sz w:val="24"/>
          <w:szCs w:val="24"/>
          <w:lang w:val="en-ID"/>
        </w:rPr>
        <w:t>Fenart</w:t>
      </w:r>
      <w:proofErr w:type="spellEnd"/>
      <w:r w:rsidRPr="00A20750">
        <w:rPr>
          <w:rFonts w:ascii="Times New Roman" w:eastAsiaTheme="minorHAnsi" w:hAnsi="Times New Roman" w:cs="Times New Roman"/>
          <w:kern w:val="2"/>
          <w:sz w:val="24"/>
          <w:szCs w:val="24"/>
          <w:lang w:val="en-ID"/>
        </w:rPr>
        <w:t xml:space="preserve"> L, Candela P. Blood–brain barrier dysfunction in neuroinflammatory diseases. Int J Mol Sci. </w:t>
      </w:r>
      <w:proofErr w:type="gramStart"/>
      <w:r w:rsidRPr="00A20750">
        <w:rPr>
          <w:rFonts w:ascii="Times New Roman" w:eastAsiaTheme="minorHAnsi" w:hAnsi="Times New Roman" w:cs="Times New Roman"/>
          <w:kern w:val="2"/>
          <w:sz w:val="24"/>
          <w:szCs w:val="24"/>
          <w:lang w:val="en-ID"/>
        </w:rPr>
        <w:t>2022;23:10235</w:t>
      </w:r>
      <w:proofErr w:type="gramEnd"/>
      <w:r w:rsidRPr="00A20750">
        <w:rPr>
          <w:rFonts w:ascii="Times New Roman" w:eastAsiaTheme="minorHAnsi" w:hAnsi="Times New Roman" w:cs="Times New Roman"/>
          <w:kern w:val="2"/>
          <w:sz w:val="24"/>
          <w:szCs w:val="24"/>
          <w:lang w:val="en-ID"/>
        </w:rPr>
        <w:t>.</w:t>
      </w:r>
    </w:p>
    <w:p w14:paraId="2F934886" w14:textId="48ED31E2"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Takata F, Nakagawa S, Matsumoto J, Dohgu S. Blood–brain barrier dysfunction in neurodegenerative disease. Front Cell </w:t>
      </w:r>
      <w:proofErr w:type="spellStart"/>
      <w:r w:rsidRPr="00A20750">
        <w:rPr>
          <w:rFonts w:ascii="Times New Roman" w:eastAsiaTheme="minorHAnsi" w:hAnsi="Times New Roman" w:cs="Times New Roman"/>
          <w:kern w:val="2"/>
          <w:sz w:val="24"/>
          <w:szCs w:val="24"/>
          <w:lang w:val="en-ID"/>
        </w:rPr>
        <w:t>Neurosci</w:t>
      </w:r>
      <w:proofErr w:type="spellEnd"/>
      <w:r w:rsidRPr="00A20750">
        <w:rPr>
          <w:rFonts w:ascii="Times New Roman" w:eastAsiaTheme="minorHAnsi" w:hAnsi="Times New Roman" w:cs="Times New Roman"/>
          <w:kern w:val="2"/>
          <w:sz w:val="24"/>
          <w:szCs w:val="24"/>
          <w:lang w:val="en-ID"/>
        </w:rPr>
        <w:t xml:space="preserve">. </w:t>
      </w:r>
      <w:proofErr w:type="gramStart"/>
      <w:r w:rsidRPr="00A20750">
        <w:rPr>
          <w:rFonts w:ascii="Times New Roman" w:eastAsiaTheme="minorHAnsi" w:hAnsi="Times New Roman" w:cs="Times New Roman"/>
          <w:kern w:val="2"/>
          <w:sz w:val="24"/>
          <w:szCs w:val="24"/>
          <w:lang w:val="en-ID"/>
        </w:rPr>
        <w:t>2021;15:661838</w:t>
      </w:r>
      <w:proofErr w:type="gramEnd"/>
      <w:r w:rsidRPr="00A20750">
        <w:rPr>
          <w:rFonts w:ascii="Times New Roman" w:eastAsiaTheme="minorHAnsi" w:hAnsi="Times New Roman" w:cs="Times New Roman"/>
          <w:kern w:val="2"/>
          <w:sz w:val="24"/>
          <w:szCs w:val="24"/>
          <w:lang w:val="en-ID"/>
        </w:rPr>
        <w:t>.</w:t>
      </w:r>
    </w:p>
    <w:p w14:paraId="405216E5" w14:textId="72DDD894"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Ma X, Shin YJ, Yoo JW, Park HS, Kim DH. Neural pathways involved in infection-induced neuroinflammation. J Adv Res. </w:t>
      </w:r>
      <w:proofErr w:type="gramStart"/>
      <w:r w:rsidRPr="00A20750">
        <w:rPr>
          <w:rFonts w:ascii="Times New Roman" w:eastAsiaTheme="minorHAnsi" w:hAnsi="Times New Roman" w:cs="Times New Roman"/>
          <w:kern w:val="2"/>
          <w:sz w:val="24"/>
          <w:szCs w:val="24"/>
          <w:lang w:val="en-ID"/>
        </w:rPr>
        <w:t>2023;54:293</w:t>
      </w:r>
      <w:proofErr w:type="gramEnd"/>
      <w:r w:rsidRPr="00A20750">
        <w:rPr>
          <w:rFonts w:ascii="Times New Roman" w:eastAsiaTheme="minorHAnsi" w:hAnsi="Times New Roman" w:cs="Times New Roman"/>
          <w:kern w:val="2"/>
          <w:sz w:val="24"/>
          <w:szCs w:val="24"/>
          <w:lang w:val="en-ID"/>
        </w:rPr>
        <w:t>–303.</w:t>
      </w:r>
    </w:p>
    <w:p w14:paraId="28451D58" w14:textId="029D94AD"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Li R, Wang J, Xiong W, Luo Y, Feng H, Zhou H, et al. Porphyromonas gingivalis and cognitive impairment. Front </w:t>
      </w:r>
      <w:proofErr w:type="spellStart"/>
      <w:r w:rsidRPr="00A20750">
        <w:rPr>
          <w:rFonts w:ascii="Times New Roman" w:eastAsiaTheme="minorHAnsi" w:hAnsi="Times New Roman" w:cs="Times New Roman"/>
          <w:kern w:val="2"/>
          <w:sz w:val="24"/>
          <w:szCs w:val="24"/>
          <w:lang w:val="en-ID"/>
        </w:rPr>
        <w:t>Microbiol</w:t>
      </w:r>
      <w:proofErr w:type="spellEnd"/>
      <w:r w:rsidRPr="00A20750">
        <w:rPr>
          <w:rFonts w:ascii="Times New Roman" w:eastAsiaTheme="minorHAnsi" w:hAnsi="Times New Roman" w:cs="Times New Roman"/>
          <w:kern w:val="2"/>
          <w:sz w:val="24"/>
          <w:szCs w:val="24"/>
          <w:lang w:val="en-ID"/>
        </w:rPr>
        <w:t xml:space="preserve">. </w:t>
      </w:r>
      <w:proofErr w:type="gramStart"/>
      <w:r w:rsidRPr="00A20750">
        <w:rPr>
          <w:rFonts w:ascii="Times New Roman" w:eastAsiaTheme="minorHAnsi" w:hAnsi="Times New Roman" w:cs="Times New Roman"/>
          <w:kern w:val="2"/>
          <w:sz w:val="24"/>
          <w:szCs w:val="24"/>
          <w:lang w:val="en-ID"/>
        </w:rPr>
        <w:t>2024;15:1358179</w:t>
      </w:r>
      <w:proofErr w:type="gramEnd"/>
      <w:r w:rsidRPr="00A20750">
        <w:rPr>
          <w:rFonts w:ascii="Times New Roman" w:eastAsiaTheme="minorHAnsi" w:hAnsi="Times New Roman" w:cs="Times New Roman"/>
          <w:kern w:val="2"/>
          <w:sz w:val="24"/>
          <w:szCs w:val="24"/>
          <w:lang w:val="en-ID"/>
        </w:rPr>
        <w:t>.</w:t>
      </w:r>
    </w:p>
    <w:p w14:paraId="7E837DC0" w14:textId="3C13130F"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Jung S, Park H. Periodontal pathogens and systemic inflammatory diseases. Oral </w:t>
      </w:r>
      <w:proofErr w:type="spellStart"/>
      <w:r w:rsidRPr="00A20750">
        <w:rPr>
          <w:rFonts w:ascii="Times New Roman" w:eastAsiaTheme="minorHAnsi" w:hAnsi="Times New Roman" w:cs="Times New Roman"/>
          <w:kern w:val="2"/>
          <w:sz w:val="24"/>
          <w:szCs w:val="24"/>
          <w:lang w:val="en-ID"/>
        </w:rPr>
        <w:t>Biol</w:t>
      </w:r>
      <w:proofErr w:type="spellEnd"/>
      <w:r w:rsidRPr="00A20750">
        <w:rPr>
          <w:rFonts w:ascii="Times New Roman" w:eastAsiaTheme="minorHAnsi" w:hAnsi="Times New Roman" w:cs="Times New Roman"/>
          <w:kern w:val="2"/>
          <w:sz w:val="24"/>
          <w:szCs w:val="24"/>
          <w:lang w:val="en-ID"/>
        </w:rPr>
        <w:t xml:space="preserve"> Res. </w:t>
      </w:r>
      <w:proofErr w:type="gramStart"/>
      <w:r w:rsidRPr="00A20750">
        <w:rPr>
          <w:rFonts w:ascii="Times New Roman" w:eastAsiaTheme="minorHAnsi" w:hAnsi="Times New Roman" w:cs="Times New Roman"/>
          <w:kern w:val="2"/>
          <w:sz w:val="24"/>
          <w:szCs w:val="24"/>
          <w:lang w:val="en-ID"/>
        </w:rPr>
        <w:t>2025;49:2</w:t>
      </w:r>
      <w:proofErr w:type="gramEnd"/>
      <w:r w:rsidRPr="00A20750">
        <w:rPr>
          <w:rFonts w:ascii="Times New Roman" w:eastAsiaTheme="minorHAnsi" w:hAnsi="Times New Roman" w:cs="Times New Roman"/>
          <w:kern w:val="2"/>
          <w:sz w:val="24"/>
          <w:szCs w:val="24"/>
          <w:lang w:val="en-ID"/>
        </w:rPr>
        <w:t>.</w:t>
      </w:r>
    </w:p>
    <w:p w14:paraId="157C2537" w14:textId="7F6E665E"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Magnusson A, Wu R, Demirel I. Bacterial infection and immune activation pathways. Front Cell Infect </w:t>
      </w:r>
      <w:proofErr w:type="spellStart"/>
      <w:r w:rsidRPr="00A20750">
        <w:rPr>
          <w:rFonts w:ascii="Times New Roman" w:eastAsiaTheme="minorHAnsi" w:hAnsi="Times New Roman" w:cs="Times New Roman"/>
          <w:kern w:val="2"/>
          <w:sz w:val="24"/>
          <w:szCs w:val="24"/>
          <w:lang w:val="en-ID"/>
        </w:rPr>
        <w:t>Microbiol</w:t>
      </w:r>
      <w:proofErr w:type="spellEnd"/>
      <w:r w:rsidRPr="00A20750">
        <w:rPr>
          <w:rFonts w:ascii="Times New Roman" w:eastAsiaTheme="minorHAnsi" w:hAnsi="Times New Roman" w:cs="Times New Roman"/>
          <w:kern w:val="2"/>
          <w:sz w:val="24"/>
          <w:szCs w:val="24"/>
          <w:lang w:val="en-ID"/>
        </w:rPr>
        <w:t xml:space="preserve">. </w:t>
      </w:r>
      <w:proofErr w:type="gramStart"/>
      <w:r w:rsidRPr="00A20750">
        <w:rPr>
          <w:rFonts w:ascii="Times New Roman" w:eastAsiaTheme="minorHAnsi" w:hAnsi="Times New Roman" w:cs="Times New Roman"/>
          <w:kern w:val="2"/>
          <w:sz w:val="24"/>
          <w:szCs w:val="24"/>
          <w:lang w:val="en-ID"/>
        </w:rPr>
        <w:t>2024;14:1451683</w:t>
      </w:r>
      <w:proofErr w:type="gramEnd"/>
      <w:r w:rsidRPr="00A20750">
        <w:rPr>
          <w:rFonts w:ascii="Times New Roman" w:eastAsiaTheme="minorHAnsi" w:hAnsi="Times New Roman" w:cs="Times New Roman"/>
          <w:kern w:val="2"/>
          <w:sz w:val="24"/>
          <w:szCs w:val="24"/>
          <w:lang w:val="en-ID"/>
        </w:rPr>
        <w:t>.</w:t>
      </w:r>
    </w:p>
    <w:p w14:paraId="56AC6933" w14:textId="47083E5D"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Mayer MG, Fischer T. Microglial activation and neurodegeneration. Front Cell </w:t>
      </w:r>
      <w:proofErr w:type="spellStart"/>
      <w:r w:rsidRPr="00A20750">
        <w:rPr>
          <w:rFonts w:ascii="Times New Roman" w:eastAsiaTheme="minorHAnsi" w:hAnsi="Times New Roman" w:cs="Times New Roman"/>
          <w:kern w:val="2"/>
          <w:sz w:val="24"/>
          <w:szCs w:val="24"/>
          <w:lang w:val="en-ID"/>
        </w:rPr>
        <w:t>Neurosci</w:t>
      </w:r>
      <w:proofErr w:type="spellEnd"/>
      <w:r w:rsidRPr="00A20750">
        <w:rPr>
          <w:rFonts w:ascii="Times New Roman" w:eastAsiaTheme="minorHAnsi" w:hAnsi="Times New Roman" w:cs="Times New Roman"/>
          <w:kern w:val="2"/>
          <w:sz w:val="24"/>
          <w:szCs w:val="24"/>
          <w:lang w:val="en-ID"/>
        </w:rPr>
        <w:t xml:space="preserve">. </w:t>
      </w:r>
      <w:proofErr w:type="gramStart"/>
      <w:r w:rsidRPr="00A20750">
        <w:rPr>
          <w:rFonts w:ascii="Times New Roman" w:eastAsiaTheme="minorHAnsi" w:hAnsi="Times New Roman" w:cs="Times New Roman"/>
          <w:kern w:val="2"/>
          <w:sz w:val="24"/>
          <w:szCs w:val="24"/>
          <w:lang w:val="en-ID"/>
        </w:rPr>
        <w:t>2024;18:1360195</w:t>
      </w:r>
      <w:proofErr w:type="gramEnd"/>
      <w:r w:rsidRPr="00A20750">
        <w:rPr>
          <w:rFonts w:ascii="Times New Roman" w:eastAsiaTheme="minorHAnsi" w:hAnsi="Times New Roman" w:cs="Times New Roman"/>
          <w:kern w:val="2"/>
          <w:sz w:val="24"/>
          <w:szCs w:val="24"/>
          <w:lang w:val="en-ID"/>
        </w:rPr>
        <w:t>.</w:t>
      </w:r>
    </w:p>
    <w:p w14:paraId="2F4CA88A" w14:textId="3539085D"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Tan S, Chen W, Kong G, Wei L, Xie Y. Neuroinflammation and cognitive decline. Front Aging </w:t>
      </w:r>
      <w:proofErr w:type="spellStart"/>
      <w:r w:rsidRPr="00A20750">
        <w:rPr>
          <w:rFonts w:ascii="Times New Roman" w:eastAsiaTheme="minorHAnsi" w:hAnsi="Times New Roman" w:cs="Times New Roman"/>
          <w:kern w:val="2"/>
          <w:sz w:val="24"/>
          <w:szCs w:val="24"/>
          <w:lang w:val="en-ID"/>
        </w:rPr>
        <w:t>Neurosci</w:t>
      </w:r>
      <w:proofErr w:type="spellEnd"/>
      <w:r w:rsidRPr="00A20750">
        <w:rPr>
          <w:rFonts w:ascii="Times New Roman" w:eastAsiaTheme="minorHAnsi" w:hAnsi="Times New Roman" w:cs="Times New Roman"/>
          <w:kern w:val="2"/>
          <w:sz w:val="24"/>
          <w:szCs w:val="24"/>
          <w:lang w:val="en-ID"/>
        </w:rPr>
        <w:t xml:space="preserve">. </w:t>
      </w:r>
      <w:proofErr w:type="gramStart"/>
      <w:r w:rsidRPr="00A20750">
        <w:rPr>
          <w:rFonts w:ascii="Times New Roman" w:eastAsiaTheme="minorHAnsi" w:hAnsi="Times New Roman" w:cs="Times New Roman"/>
          <w:kern w:val="2"/>
          <w:sz w:val="24"/>
          <w:szCs w:val="24"/>
          <w:lang w:val="en-ID"/>
        </w:rPr>
        <w:t>2023;15:1305790</w:t>
      </w:r>
      <w:proofErr w:type="gramEnd"/>
      <w:r w:rsidRPr="00A20750">
        <w:rPr>
          <w:rFonts w:ascii="Times New Roman" w:eastAsiaTheme="minorHAnsi" w:hAnsi="Times New Roman" w:cs="Times New Roman"/>
          <w:kern w:val="2"/>
          <w:sz w:val="24"/>
          <w:szCs w:val="24"/>
          <w:lang w:val="en-ID"/>
        </w:rPr>
        <w:t>.</w:t>
      </w:r>
    </w:p>
    <w:p w14:paraId="2AEA75E6" w14:textId="28D4B795"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Liu XH, Zhao YL, Ma QM, Zhou XH, Wang Y. Hyperbaric oxygen therapy and cognitive recovery. Sichuan Da Xue </w:t>
      </w:r>
      <w:proofErr w:type="spellStart"/>
      <w:r w:rsidRPr="00A20750">
        <w:rPr>
          <w:rFonts w:ascii="Times New Roman" w:eastAsiaTheme="minorHAnsi" w:hAnsi="Times New Roman" w:cs="Times New Roman"/>
          <w:kern w:val="2"/>
          <w:sz w:val="24"/>
          <w:szCs w:val="24"/>
          <w:lang w:val="en-ID"/>
        </w:rPr>
        <w:t>Xue</w:t>
      </w:r>
      <w:proofErr w:type="spellEnd"/>
      <w:r w:rsidRPr="00A20750">
        <w:rPr>
          <w:rFonts w:ascii="Times New Roman" w:eastAsiaTheme="minorHAnsi" w:hAnsi="Times New Roman" w:cs="Times New Roman"/>
          <w:kern w:val="2"/>
          <w:sz w:val="24"/>
          <w:szCs w:val="24"/>
          <w:lang w:val="en-ID"/>
        </w:rPr>
        <w:t xml:space="preserve"> Bao Yi Xue Ban. </w:t>
      </w:r>
      <w:proofErr w:type="gramStart"/>
      <w:r w:rsidRPr="00A20750">
        <w:rPr>
          <w:rFonts w:ascii="Times New Roman" w:eastAsiaTheme="minorHAnsi" w:hAnsi="Times New Roman" w:cs="Times New Roman"/>
          <w:kern w:val="2"/>
          <w:sz w:val="24"/>
          <w:szCs w:val="24"/>
          <w:lang w:val="en-ID"/>
        </w:rPr>
        <w:t>2007;38:73</w:t>
      </w:r>
      <w:proofErr w:type="gramEnd"/>
      <w:r w:rsidRPr="00A20750">
        <w:rPr>
          <w:rFonts w:ascii="Times New Roman" w:eastAsiaTheme="minorHAnsi" w:hAnsi="Times New Roman" w:cs="Times New Roman"/>
          <w:kern w:val="2"/>
          <w:sz w:val="24"/>
          <w:szCs w:val="24"/>
          <w:lang w:val="en-ID"/>
        </w:rPr>
        <w:t>–7.</w:t>
      </w:r>
    </w:p>
    <w:p w14:paraId="7FB9C221" w14:textId="25AA06B3"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Bosco G, </w:t>
      </w:r>
      <w:proofErr w:type="spellStart"/>
      <w:r w:rsidRPr="00A20750">
        <w:rPr>
          <w:rFonts w:ascii="Times New Roman" w:eastAsiaTheme="minorHAnsi" w:hAnsi="Times New Roman" w:cs="Times New Roman"/>
          <w:kern w:val="2"/>
          <w:sz w:val="24"/>
          <w:szCs w:val="24"/>
          <w:lang w:val="en-ID"/>
        </w:rPr>
        <w:t>Brizzolari</w:t>
      </w:r>
      <w:proofErr w:type="spellEnd"/>
      <w:r w:rsidRPr="00A20750">
        <w:rPr>
          <w:rFonts w:ascii="Times New Roman" w:eastAsiaTheme="minorHAnsi" w:hAnsi="Times New Roman" w:cs="Times New Roman"/>
          <w:kern w:val="2"/>
          <w:sz w:val="24"/>
          <w:szCs w:val="24"/>
          <w:lang w:val="en-ID"/>
        </w:rPr>
        <w:t xml:space="preserve"> A, Paganini M, </w:t>
      </w:r>
      <w:proofErr w:type="spellStart"/>
      <w:r w:rsidRPr="00A20750">
        <w:rPr>
          <w:rFonts w:ascii="Times New Roman" w:eastAsiaTheme="minorHAnsi" w:hAnsi="Times New Roman" w:cs="Times New Roman"/>
          <w:kern w:val="2"/>
          <w:sz w:val="24"/>
          <w:szCs w:val="24"/>
          <w:lang w:val="en-ID"/>
        </w:rPr>
        <w:t>Camporesi</w:t>
      </w:r>
      <w:proofErr w:type="spellEnd"/>
      <w:r w:rsidRPr="00A20750">
        <w:rPr>
          <w:rFonts w:ascii="Times New Roman" w:eastAsiaTheme="minorHAnsi" w:hAnsi="Times New Roman" w:cs="Times New Roman"/>
          <w:kern w:val="2"/>
          <w:sz w:val="24"/>
          <w:szCs w:val="24"/>
          <w:lang w:val="en-ID"/>
        </w:rPr>
        <w:t xml:space="preserve"> E, Vezzoli A, </w:t>
      </w:r>
      <w:proofErr w:type="spellStart"/>
      <w:r w:rsidRPr="00A20750">
        <w:rPr>
          <w:rFonts w:ascii="Times New Roman" w:eastAsiaTheme="minorHAnsi" w:hAnsi="Times New Roman" w:cs="Times New Roman"/>
          <w:kern w:val="2"/>
          <w:sz w:val="24"/>
          <w:szCs w:val="24"/>
          <w:lang w:val="en-ID"/>
        </w:rPr>
        <w:t>Mrakic</w:t>
      </w:r>
      <w:proofErr w:type="spellEnd"/>
      <w:r w:rsidRPr="00A20750">
        <w:rPr>
          <w:rFonts w:ascii="Times New Roman" w:eastAsiaTheme="minorHAnsi" w:hAnsi="Times New Roman" w:cs="Times New Roman"/>
          <w:kern w:val="2"/>
          <w:sz w:val="24"/>
          <w:szCs w:val="24"/>
          <w:lang w:val="en-ID"/>
        </w:rPr>
        <w:t xml:space="preserve">-Sposta S. Hyperbaric oxygen therapy and oxidative stress modulation. J </w:t>
      </w:r>
      <w:proofErr w:type="spellStart"/>
      <w:r w:rsidRPr="00A20750">
        <w:rPr>
          <w:rFonts w:ascii="Times New Roman" w:eastAsiaTheme="minorHAnsi" w:hAnsi="Times New Roman" w:cs="Times New Roman"/>
          <w:kern w:val="2"/>
          <w:sz w:val="24"/>
          <w:szCs w:val="24"/>
          <w:lang w:val="en-ID"/>
        </w:rPr>
        <w:t>Transl</w:t>
      </w:r>
      <w:proofErr w:type="spellEnd"/>
      <w:r w:rsidRPr="00A20750">
        <w:rPr>
          <w:rFonts w:ascii="Times New Roman" w:eastAsiaTheme="minorHAnsi" w:hAnsi="Times New Roman" w:cs="Times New Roman"/>
          <w:kern w:val="2"/>
          <w:sz w:val="24"/>
          <w:szCs w:val="24"/>
          <w:lang w:val="en-ID"/>
        </w:rPr>
        <w:t xml:space="preserve"> </w:t>
      </w:r>
      <w:proofErr w:type="spellStart"/>
      <w:r w:rsidRPr="00A20750">
        <w:rPr>
          <w:rFonts w:ascii="Times New Roman" w:eastAsiaTheme="minorHAnsi" w:hAnsi="Times New Roman" w:cs="Times New Roman"/>
          <w:kern w:val="2"/>
          <w:sz w:val="24"/>
          <w:szCs w:val="24"/>
          <w:lang w:val="en-ID"/>
        </w:rPr>
        <w:t>Myol</w:t>
      </w:r>
      <w:proofErr w:type="spellEnd"/>
      <w:r w:rsidRPr="00A20750">
        <w:rPr>
          <w:rFonts w:ascii="Times New Roman" w:eastAsiaTheme="minorHAnsi" w:hAnsi="Times New Roman" w:cs="Times New Roman"/>
          <w:kern w:val="2"/>
          <w:sz w:val="24"/>
          <w:szCs w:val="24"/>
          <w:lang w:val="en-ID"/>
        </w:rPr>
        <w:t xml:space="preserve">. </w:t>
      </w:r>
      <w:proofErr w:type="gramStart"/>
      <w:r w:rsidRPr="00A20750">
        <w:rPr>
          <w:rFonts w:ascii="Times New Roman" w:eastAsiaTheme="minorHAnsi" w:hAnsi="Times New Roman" w:cs="Times New Roman"/>
          <w:kern w:val="2"/>
          <w:sz w:val="24"/>
          <w:szCs w:val="24"/>
          <w:lang w:val="en-ID"/>
        </w:rPr>
        <w:t>2025;35:12783</w:t>
      </w:r>
      <w:proofErr w:type="gramEnd"/>
      <w:r w:rsidRPr="00A20750">
        <w:rPr>
          <w:rFonts w:ascii="Times New Roman" w:eastAsiaTheme="minorHAnsi" w:hAnsi="Times New Roman" w:cs="Times New Roman"/>
          <w:kern w:val="2"/>
          <w:sz w:val="24"/>
          <w:szCs w:val="24"/>
          <w:lang w:val="en-ID"/>
        </w:rPr>
        <w:t>.</w:t>
      </w:r>
    </w:p>
    <w:p w14:paraId="14597A6E" w14:textId="3444CF54"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lastRenderedPageBreak/>
        <w:t xml:space="preserve">Thom SR. Hyperbaric oxygen therapy mechanisms of action. J Appl Physiol. </w:t>
      </w:r>
      <w:proofErr w:type="gramStart"/>
      <w:r w:rsidRPr="00A20750">
        <w:rPr>
          <w:rFonts w:ascii="Times New Roman" w:eastAsiaTheme="minorHAnsi" w:hAnsi="Times New Roman" w:cs="Times New Roman"/>
          <w:kern w:val="2"/>
          <w:sz w:val="24"/>
          <w:szCs w:val="24"/>
          <w:lang w:val="en-ID"/>
        </w:rPr>
        <w:t>2009;106:988</w:t>
      </w:r>
      <w:proofErr w:type="gramEnd"/>
      <w:r w:rsidRPr="00A20750">
        <w:rPr>
          <w:rFonts w:ascii="Times New Roman" w:eastAsiaTheme="minorHAnsi" w:hAnsi="Times New Roman" w:cs="Times New Roman"/>
          <w:kern w:val="2"/>
          <w:sz w:val="24"/>
          <w:szCs w:val="24"/>
          <w:lang w:val="en-ID"/>
        </w:rPr>
        <w:t>–95.</w:t>
      </w:r>
    </w:p>
    <w:p w14:paraId="47BA8CFA" w14:textId="384A7791"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Liu S, Shen G, Deng S, Wang X, Wu Q, Guo A. Hyperbaric oxygen therapy improves neurological recovery in traumatic brain injury models. Neural Regen Res. </w:t>
      </w:r>
      <w:proofErr w:type="gramStart"/>
      <w:r w:rsidRPr="00A20750">
        <w:rPr>
          <w:rFonts w:ascii="Times New Roman" w:eastAsiaTheme="minorHAnsi" w:hAnsi="Times New Roman" w:cs="Times New Roman"/>
          <w:kern w:val="2"/>
          <w:sz w:val="24"/>
          <w:szCs w:val="24"/>
          <w:lang w:val="en-ID"/>
        </w:rPr>
        <w:t>2013;8:3334</w:t>
      </w:r>
      <w:proofErr w:type="gramEnd"/>
      <w:r w:rsidRPr="00A20750">
        <w:rPr>
          <w:rFonts w:ascii="Times New Roman" w:eastAsiaTheme="minorHAnsi" w:hAnsi="Times New Roman" w:cs="Times New Roman"/>
          <w:kern w:val="2"/>
          <w:sz w:val="24"/>
          <w:szCs w:val="24"/>
          <w:lang w:val="en-ID"/>
        </w:rPr>
        <w:t>–43.</w:t>
      </w:r>
    </w:p>
    <w:p w14:paraId="5ABF2371" w14:textId="3C0D857D"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Ilievski V, Zuchowska PK, Green SJ, Toth PT, Ragozzino ME, et al. Chronic oral infection with Porphyromonas gingivalis induces brain inflammation and amyloid deposition. </w:t>
      </w:r>
      <w:proofErr w:type="spellStart"/>
      <w:r w:rsidRPr="00A20750">
        <w:rPr>
          <w:rFonts w:ascii="Times New Roman" w:eastAsiaTheme="minorHAnsi" w:hAnsi="Times New Roman" w:cs="Times New Roman"/>
          <w:kern w:val="2"/>
          <w:sz w:val="24"/>
          <w:szCs w:val="24"/>
          <w:lang w:val="en-ID"/>
        </w:rPr>
        <w:t>PLoS</w:t>
      </w:r>
      <w:proofErr w:type="spellEnd"/>
      <w:r w:rsidRPr="00A20750">
        <w:rPr>
          <w:rFonts w:ascii="Times New Roman" w:eastAsiaTheme="minorHAnsi" w:hAnsi="Times New Roman" w:cs="Times New Roman"/>
          <w:kern w:val="2"/>
          <w:sz w:val="24"/>
          <w:szCs w:val="24"/>
          <w:lang w:val="en-ID"/>
        </w:rPr>
        <w:t xml:space="preserve"> One. 2018;</w:t>
      </w:r>
      <w:proofErr w:type="gramStart"/>
      <w:r w:rsidRPr="00A20750">
        <w:rPr>
          <w:rFonts w:ascii="Times New Roman" w:eastAsiaTheme="minorHAnsi" w:hAnsi="Times New Roman" w:cs="Times New Roman"/>
          <w:kern w:val="2"/>
          <w:sz w:val="24"/>
          <w:szCs w:val="24"/>
          <w:lang w:val="en-ID"/>
        </w:rPr>
        <w:t>13:e</w:t>
      </w:r>
      <w:proofErr w:type="gramEnd"/>
      <w:r w:rsidRPr="00A20750">
        <w:rPr>
          <w:rFonts w:ascii="Times New Roman" w:eastAsiaTheme="minorHAnsi" w:hAnsi="Times New Roman" w:cs="Times New Roman"/>
          <w:kern w:val="2"/>
          <w:sz w:val="24"/>
          <w:szCs w:val="24"/>
          <w:lang w:val="en-ID"/>
        </w:rPr>
        <w:t>0204941.</w:t>
      </w:r>
    </w:p>
    <w:p w14:paraId="71BF90F9" w14:textId="525BA65D"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r w:rsidRPr="00A20750">
        <w:rPr>
          <w:rFonts w:ascii="Times New Roman" w:eastAsiaTheme="minorHAnsi" w:hAnsi="Times New Roman" w:cs="Times New Roman"/>
          <w:kern w:val="2"/>
          <w:sz w:val="24"/>
          <w:szCs w:val="24"/>
          <w:lang w:val="en-ID"/>
        </w:rPr>
        <w:t xml:space="preserve">Ding Y, Ren J, Yu H, Yu W, Zhou Y. Age-related inflammatory responses in the brain. </w:t>
      </w:r>
      <w:proofErr w:type="spellStart"/>
      <w:r w:rsidRPr="00A20750">
        <w:rPr>
          <w:rFonts w:ascii="Times New Roman" w:eastAsiaTheme="minorHAnsi" w:hAnsi="Times New Roman" w:cs="Times New Roman"/>
          <w:kern w:val="2"/>
          <w:sz w:val="24"/>
          <w:szCs w:val="24"/>
          <w:lang w:val="en-ID"/>
        </w:rPr>
        <w:t>Immun</w:t>
      </w:r>
      <w:proofErr w:type="spellEnd"/>
      <w:r w:rsidRPr="00A20750">
        <w:rPr>
          <w:rFonts w:ascii="Times New Roman" w:eastAsiaTheme="minorHAnsi" w:hAnsi="Times New Roman" w:cs="Times New Roman"/>
          <w:kern w:val="2"/>
          <w:sz w:val="24"/>
          <w:szCs w:val="24"/>
          <w:lang w:val="en-ID"/>
        </w:rPr>
        <w:t xml:space="preserve"> Ageing. </w:t>
      </w:r>
      <w:proofErr w:type="gramStart"/>
      <w:r w:rsidRPr="00A20750">
        <w:rPr>
          <w:rFonts w:ascii="Times New Roman" w:eastAsiaTheme="minorHAnsi" w:hAnsi="Times New Roman" w:cs="Times New Roman"/>
          <w:kern w:val="2"/>
          <w:sz w:val="24"/>
          <w:szCs w:val="24"/>
          <w:lang w:val="en-ID"/>
        </w:rPr>
        <w:t>2018;15:6</w:t>
      </w:r>
      <w:proofErr w:type="gramEnd"/>
      <w:r w:rsidRPr="00A20750">
        <w:rPr>
          <w:rFonts w:ascii="Times New Roman" w:eastAsiaTheme="minorHAnsi" w:hAnsi="Times New Roman" w:cs="Times New Roman"/>
          <w:kern w:val="2"/>
          <w:sz w:val="24"/>
          <w:szCs w:val="24"/>
          <w:lang w:val="en-ID"/>
        </w:rPr>
        <w:t>.</w:t>
      </w:r>
    </w:p>
    <w:p w14:paraId="5D298203" w14:textId="67CEE38C" w:rsidR="008606AC" w:rsidRPr="00A20750" w:rsidRDefault="008606AC" w:rsidP="00256FF2">
      <w:pPr>
        <w:pStyle w:val="ListParagraph"/>
        <w:numPr>
          <w:ilvl w:val="0"/>
          <w:numId w:val="5"/>
        </w:numPr>
        <w:spacing w:line="240" w:lineRule="auto"/>
        <w:jc w:val="both"/>
        <w:rPr>
          <w:rFonts w:ascii="Times New Roman" w:eastAsiaTheme="minorHAnsi" w:hAnsi="Times New Roman" w:cs="Times New Roman"/>
          <w:kern w:val="2"/>
          <w:sz w:val="24"/>
          <w:szCs w:val="24"/>
          <w:lang w:val="en-ID"/>
        </w:rPr>
      </w:pPr>
      <w:proofErr w:type="spellStart"/>
      <w:r w:rsidRPr="00A20750">
        <w:rPr>
          <w:rFonts w:ascii="Times New Roman" w:eastAsiaTheme="minorHAnsi" w:hAnsi="Times New Roman" w:cs="Times New Roman"/>
          <w:kern w:val="2"/>
          <w:sz w:val="24"/>
          <w:szCs w:val="24"/>
          <w:lang w:val="en-ID"/>
        </w:rPr>
        <w:t>Melbiarta</w:t>
      </w:r>
      <w:proofErr w:type="spellEnd"/>
      <w:r w:rsidRPr="00A20750">
        <w:rPr>
          <w:rFonts w:ascii="Times New Roman" w:eastAsiaTheme="minorHAnsi" w:hAnsi="Times New Roman" w:cs="Times New Roman"/>
          <w:kern w:val="2"/>
          <w:sz w:val="24"/>
          <w:szCs w:val="24"/>
          <w:lang w:val="en-ID"/>
        </w:rPr>
        <w:t xml:space="preserve"> RR, </w:t>
      </w:r>
      <w:proofErr w:type="spellStart"/>
      <w:r w:rsidRPr="00A20750">
        <w:rPr>
          <w:rFonts w:ascii="Times New Roman" w:eastAsiaTheme="minorHAnsi" w:hAnsi="Times New Roman" w:cs="Times New Roman"/>
          <w:kern w:val="2"/>
          <w:sz w:val="24"/>
          <w:szCs w:val="24"/>
          <w:lang w:val="en-ID"/>
        </w:rPr>
        <w:t>Kalanjati</w:t>
      </w:r>
      <w:proofErr w:type="spellEnd"/>
      <w:r w:rsidRPr="00A20750">
        <w:rPr>
          <w:rFonts w:ascii="Times New Roman" w:eastAsiaTheme="minorHAnsi" w:hAnsi="Times New Roman" w:cs="Times New Roman"/>
          <w:kern w:val="2"/>
          <w:sz w:val="24"/>
          <w:szCs w:val="24"/>
          <w:lang w:val="en-ID"/>
        </w:rPr>
        <w:t xml:space="preserve"> VP, Herawati L, Salim Y, Othman Z. Experimental design of Y-maze </w:t>
      </w:r>
      <w:proofErr w:type="spellStart"/>
      <w:r w:rsidRPr="00A20750">
        <w:rPr>
          <w:rFonts w:ascii="Times New Roman" w:eastAsiaTheme="minorHAnsi" w:hAnsi="Times New Roman" w:cs="Times New Roman"/>
          <w:kern w:val="2"/>
          <w:sz w:val="24"/>
          <w:szCs w:val="24"/>
          <w:lang w:val="en-ID"/>
        </w:rPr>
        <w:t>behavioral</w:t>
      </w:r>
      <w:proofErr w:type="spellEnd"/>
      <w:r w:rsidRPr="00A20750">
        <w:rPr>
          <w:rFonts w:ascii="Times New Roman" w:eastAsiaTheme="minorHAnsi" w:hAnsi="Times New Roman" w:cs="Times New Roman"/>
          <w:kern w:val="2"/>
          <w:sz w:val="24"/>
          <w:szCs w:val="24"/>
          <w:lang w:val="en-ID"/>
        </w:rPr>
        <w:t xml:space="preserve"> testing. Folia Med </w:t>
      </w:r>
      <w:proofErr w:type="spellStart"/>
      <w:r w:rsidRPr="00A20750">
        <w:rPr>
          <w:rFonts w:ascii="Times New Roman" w:eastAsiaTheme="minorHAnsi" w:hAnsi="Times New Roman" w:cs="Times New Roman"/>
          <w:kern w:val="2"/>
          <w:sz w:val="24"/>
          <w:szCs w:val="24"/>
          <w:lang w:val="en-ID"/>
        </w:rPr>
        <w:t>Indones</w:t>
      </w:r>
      <w:proofErr w:type="spellEnd"/>
      <w:r w:rsidRPr="00A20750">
        <w:rPr>
          <w:rFonts w:ascii="Times New Roman" w:eastAsiaTheme="minorHAnsi" w:hAnsi="Times New Roman" w:cs="Times New Roman"/>
          <w:kern w:val="2"/>
          <w:sz w:val="24"/>
          <w:szCs w:val="24"/>
          <w:lang w:val="en-ID"/>
        </w:rPr>
        <w:t xml:space="preserve">. </w:t>
      </w:r>
      <w:proofErr w:type="gramStart"/>
      <w:r w:rsidRPr="00A20750">
        <w:rPr>
          <w:rFonts w:ascii="Times New Roman" w:eastAsiaTheme="minorHAnsi" w:hAnsi="Times New Roman" w:cs="Times New Roman"/>
          <w:kern w:val="2"/>
          <w:sz w:val="24"/>
          <w:szCs w:val="24"/>
          <w:lang w:val="en-ID"/>
        </w:rPr>
        <w:t>2023;59:1</w:t>
      </w:r>
      <w:proofErr w:type="gramEnd"/>
      <w:r w:rsidRPr="00A20750">
        <w:rPr>
          <w:rFonts w:ascii="Times New Roman" w:eastAsiaTheme="minorHAnsi" w:hAnsi="Times New Roman" w:cs="Times New Roman"/>
          <w:kern w:val="2"/>
          <w:sz w:val="24"/>
          <w:szCs w:val="24"/>
          <w:lang w:val="en-ID"/>
        </w:rPr>
        <w:t>.</w:t>
      </w:r>
    </w:p>
    <w:p w14:paraId="187FCBCA" w14:textId="77777777" w:rsidR="0085225B" w:rsidRPr="00A20750" w:rsidRDefault="0085225B" w:rsidP="00256FF2">
      <w:pPr>
        <w:spacing w:line="240" w:lineRule="auto"/>
        <w:jc w:val="both"/>
        <w:rPr>
          <w:rFonts w:ascii="Times New Roman" w:hAnsi="Times New Roman" w:cs="Times New Roman"/>
          <w:b/>
          <w:bCs/>
          <w:sz w:val="24"/>
          <w:szCs w:val="24"/>
        </w:rPr>
      </w:pPr>
    </w:p>
    <w:sectPr w:rsidR="0085225B" w:rsidRPr="00A207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B3AFE" w14:textId="77777777" w:rsidR="002962F4" w:rsidRDefault="002962F4" w:rsidP="008376F4">
      <w:pPr>
        <w:spacing w:after="0" w:line="240" w:lineRule="auto"/>
      </w:pPr>
      <w:r>
        <w:separator/>
      </w:r>
    </w:p>
  </w:endnote>
  <w:endnote w:type="continuationSeparator" w:id="0">
    <w:p w14:paraId="184C6786" w14:textId="77777777" w:rsidR="002962F4" w:rsidRDefault="002962F4" w:rsidP="008376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0"/>
    <w:family w:val="roman"/>
    <w:pitch w:val="default"/>
  </w:font>
  <w:font w:name="TimesNewRomanPS-BoldMT">
    <w:altName w:val="Times New Roman"/>
    <w:charset w:val="00"/>
    <w:family w:val="roman"/>
    <w:pitch w:val="default"/>
  </w:font>
  <w:font w:name="URWPalladioL-Bold">
    <w:altName w:val="Times New Roman"/>
    <w:charset w:val="00"/>
    <w:family w:val="roman"/>
    <w:pitch w:val="default"/>
  </w:font>
  <w:font w:name="VnURWPalladioL">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C7EEF" w14:textId="77777777" w:rsidR="002962F4" w:rsidRDefault="002962F4" w:rsidP="008376F4">
      <w:pPr>
        <w:spacing w:after="0" w:line="240" w:lineRule="auto"/>
      </w:pPr>
      <w:r>
        <w:separator/>
      </w:r>
    </w:p>
  </w:footnote>
  <w:footnote w:type="continuationSeparator" w:id="0">
    <w:p w14:paraId="5561167F" w14:textId="77777777" w:rsidR="002962F4" w:rsidRDefault="002962F4" w:rsidP="008376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A16BD"/>
    <w:multiLevelType w:val="hybridMultilevel"/>
    <w:tmpl w:val="1E1EC6DA"/>
    <w:lvl w:ilvl="0" w:tplc="3809000F">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45D5CA2"/>
    <w:multiLevelType w:val="multilevel"/>
    <w:tmpl w:val="D6FAB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C90E86"/>
    <w:multiLevelType w:val="hybridMultilevel"/>
    <w:tmpl w:val="9ADA33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76675A0"/>
    <w:multiLevelType w:val="hybridMultilevel"/>
    <w:tmpl w:val="1ABA94C6"/>
    <w:lvl w:ilvl="0" w:tplc="72C46008">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99215E"/>
    <w:multiLevelType w:val="multilevel"/>
    <w:tmpl w:val="60C0412E"/>
    <w:lvl w:ilvl="0">
      <w:start w:val="1"/>
      <w:numFmt w:val="decimal"/>
      <w:lvlText w:val="%1."/>
      <w:lvlJc w:val="left"/>
      <w:pPr>
        <w:ind w:left="404" w:hanging="284"/>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502" w:hanging="360"/>
      </w:pPr>
      <w:rPr>
        <w:i w:val="0"/>
        <w:iCs/>
      </w:rPr>
    </w:lvl>
    <w:lvl w:ilvl="2">
      <w:numFmt w:val="bullet"/>
      <w:lvlText w:val="•"/>
      <w:lvlJc w:val="left"/>
      <w:pPr>
        <w:ind w:left="2472" w:hanging="181"/>
      </w:pPr>
      <w:rPr>
        <w:rFonts w:hint="default"/>
        <w:lang w:val="en-US" w:eastAsia="en-US" w:bidi="ar-SA"/>
      </w:rPr>
    </w:lvl>
    <w:lvl w:ilvl="3">
      <w:numFmt w:val="bullet"/>
      <w:lvlText w:val="•"/>
      <w:lvlJc w:val="left"/>
      <w:pPr>
        <w:ind w:left="3384" w:hanging="181"/>
      </w:pPr>
      <w:rPr>
        <w:rFonts w:hint="default"/>
        <w:lang w:val="en-US" w:eastAsia="en-US" w:bidi="ar-SA"/>
      </w:rPr>
    </w:lvl>
    <w:lvl w:ilvl="4">
      <w:numFmt w:val="bullet"/>
      <w:lvlText w:val="•"/>
      <w:lvlJc w:val="left"/>
      <w:pPr>
        <w:ind w:left="4296" w:hanging="181"/>
      </w:pPr>
      <w:rPr>
        <w:rFonts w:hint="default"/>
        <w:lang w:val="en-US" w:eastAsia="en-US" w:bidi="ar-SA"/>
      </w:rPr>
    </w:lvl>
    <w:lvl w:ilvl="5">
      <w:numFmt w:val="bullet"/>
      <w:lvlText w:val="•"/>
      <w:lvlJc w:val="left"/>
      <w:pPr>
        <w:ind w:left="5208" w:hanging="181"/>
      </w:pPr>
      <w:rPr>
        <w:rFonts w:hint="default"/>
        <w:lang w:val="en-US" w:eastAsia="en-US" w:bidi="ar-SA"/>
      </w:rPr>
    </w:lvl>
    <w:lvl w:ilvl="6">
      <w:numFmt w:val="bullet"/>
      <w:lvlText w:val="•"/>
      <w:lvlJc w:val="left"/>
      <w:pPr>
        <w:ind w:left="6120" w:hanging="181"/>
      </w:pPr>
      <w:rPr>
        <w:rFonts w:hint="default"/>
        <w:lang w:val="en-US" w:eastAsia="en-US" w:bidi="ar-SA"/>
      </w:rPr>
    </w:lvl>
    <w:lvl w:ilvl="7">
      <w:numFmt w:val="bullet"/>
      <w:lvlText w:val="•"/>
      <w:lvlJc w:val="left"/>
      <w:pPr>
        <w:ind w:left="7032" w:hanging="181"/>
      </w:pPr>
      <w:rPr>
        <w:rFonts w:hint="default"/>
        <w:lang w:val="en-US" w:eastAsia="en-US" w:bidi="ar-SA"/>
      </w:rPr>
    </w:lvl>
    <w:lvl w:ilvl="8">
      <w:numFmt w:val="bullet"/>
      <w:lvlText w:val="•"/>
      <w:lvlJc w:val="left"/>
      <w:pPr>
        <w:ind w:left="7944" w:hanging="181"/>
      </w:pPr>
      <w:rPr>
        <w:rFonts w:hint="default"/>
        <w:lang w:val="en-US" w:eastAsia="en-US" w:bidi="ar-SA"/>
      </w:rPr>
    </w:lvl>
  </w:abstractNum>
  <w:abstractNum w:abstractNumId="5" w15:restartNumberingAfterBreak="0">
    <w:nsid w:val="6E4A4C07"/>
    <w:multiLevelType w:val="hybridMultilevel"/>
    <w:tmpl w:val="DAF0D1DC"/>
    <w:lvl w:ilvl="0" w:tplc="B34E430E">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408579680">
    <w:abstractNumId w:val="4"/>
  </w:num>
  <w:num w:numId="2" w16cid:durableId="495534654">
    <w:abstractNumId w:val="0"/>
  </w:num>
  <w:num w:numId="3" w16cid:durableId="1977838111">
    <w:abstractNumId w:val="3"/>
  </w:num>
  <w:num w:numId="4" w16cid:durableId="909778371">
    <w:abstractNumId w:val="1"/>
  </w:num>
  <w:num w:numId="5" w16cid:durableId="1112285523">
    <w:abstractNumId w:val="2"/>
  </w:num>
  <w:num w:numId="6" w16cid:durableId="4074658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D66"/>
    <w:rsid w:val="000021A1"/>
    <w:rsid w:val="00005127"/>
    <w:rsid w:val="00012392"/>
    <w:rsid w:val="00013A87"/>
    <w:rsid w:val="00034F1A"/>
    <w:rsid w:val="0006295B"/>
    <w:rsid w:val="00062C99"/>
    <w:rsid w:val="00064E4D"/>
    <w:rsid w:val="00077A05"/>
    <w:rsid w:val="000A11CF"/>
    <w:rsid w:val="000B24D5"/>
    <w:rsid w:val="000B7158"/>
    <w:rsid w:val="000C7BBA"/>
    <w:rsid w:val="000D44C9"/>
    <w:rsid w:val="000E6513"/>
    <w:rsid w:val="000F5440"/>
    <w:rsid w:val="001178D9"/>
    <w:rsid w:val="00136FC3"/>
    <w:rsid w:val="00142AD2"/>
    <w:rsid w:val="00162331"/>
    <w:rsid w:val="00167B6F"/>
    <w:rsid w:val="00170C30"/>
    <w:rsid w:val="00186AB0"/>
    <w:rsid w:val="001F3F05"/>
    <w:rsid w:val="00204002"/>
    <w:rsid w:val="00207FD9"/>
    <w:rsid w:val="00211BBB"/>
    <w:rsid w:val="00221F5A"/>
    <w:rsid w:val="00233ECA"/>
    <w:rsid w:val="00241897"/>
    <w:rsid w:val="00256FF2"/>
    <w:rsid w:val="0027435C"/>
    <w:rsid w:val="00277672"/>
    <w:rsid w:val="002950D1"/>
    <w:rsid w:val="002962F4"/>
    <w:rsid w:val="002A1266"/>
    <w:rsid w:val="002B3957"/>
    <w:rsid w:val="002B55ED"/>
    <w:rsid w:val="002D2FC1"/>
    <w:rsid w:val="002F14CB"/>
    <w:rsid w:val="002F7D66"/>
    <w:rsid w:val="002F7D95"/>
    <w:rsid w:val="00306F72"/>
    <w:rsid w:val="003136C0"/>
    <w:rsid w:val="00315EF8"/>
    <w:rsid w:val="00325CC3"/>
    <w:rsid w:val="00360394"/>
    <w:rsid w:val="00366BDC"/>
    <w:rsid w:val="0037170F"/>
    <w:rsid w:val="0038411E"/>
    <w:rsid w:val="0039099C"/>
    <w:rsid w:val="003A4A0D"/>
    <w:rsid w:val="003C530F"/>
    <w:rsid w:val="003D3E92"/>
    <w:rsid w:val="004069C6"/>
    <w:rsid w:val="004165AA"/>
    <w:rsid w:val="004273B9"/>
    <w:rsid w:val="0043770E"/>
    <w:rsid w:val="00465198"/>
    <w:rsid w:val="00467AD9"/>
    <w:rsid w:val="004849F1"/>
    <w:rsid w:val="00491912"/>
    <w:rsid w:val="004A47D7"/>
    <w:rsid w:val="004A7D98"/>
    <w:rsid w:val="004D1D42"/>
    <w:rsid w:val="004D2CCC"/>
    <w:rsid w:val="005026B6"/>
    <w:rsid w:val="00505BAB"/>
    <w:rsid w:val="00510D39"/>
    <w:rsid w:val="00513F11"/>
    <w:rsid w:val="005342BC"/>
    <w:rsid w:val="00535E9C"/>
    <w:rsid w:val="00545B30"/>
    <w:rsid w:val="005543A1"/>
    <w:rsid w:val="00564E6C"/>
    <w:rsid w:val="005713E1"/>
    <w:rsid w:val="00574D48"/>
    <w:rsid w:val="005B4E2D"/>
    <w:rsid w:val="005C2D92"/>
    <w:rsid w:val="005C5DAB"/>
    <w:rsid w:val="005F05ED"/>
    <w:rsid w:val="005F1FBE"/>
    <w:rsid w:val="00604DB0"/>
    <w:rsid w:val="00613F34"/>
    <w:rsid w:val="00622E32"/>
    <w:rsid w:val="006375DF"/>
    <w:rsid w:val="0066504D"/>
    <w:rsid w:val="00691F08"/>
    <w:rsid w:val="00692E5E"/>
    <w:rsid w:val="006B3B48"/>
    <w:rsid w:val="006B7D6C"/>
    <w:rsid w:val="006C0230"/>
    <w:rsid w:val="006D7552"/>
    <w:rsid w:val="006E74D7"/>
    <w:rsid w:val="00700A12"/>
    <w:rsid w:val="00710D67"/>
    <w:rsid w:val="00715B21"/>
    <w:rsid w:val="00717704"/>
    <w:rsid w:val="00724144"/>
    <w:rsid w:val="00740FEA"/>
    <w:rsid w:val="00765227"/>
    <w:rsid w:val="00793723"/>
    <w:rsid w:val="00794B7A"/>
    <w:rsid w:val="007C2F33"/>
    <w:rsid w:val="007C66A8"/>
    <w:rsid w:val="007C787C"/>
    <w:rsid w:val="007D1C0C"/>
    <w:rsid w:val="007E5C5A"/>
    <w:rsid w:val="007F52F3"/>
    <w:rsid w:val="008137F2"/>
    <w:rsid w:val="0082590D"/>
    <w:rsid w:val="008315AA"/>
    <w:rsid w:val="008376F4"/>
    <w:rsid w:val="00841503"/>
    <w:rsid w:val="00851E66"/>
    <w:rsid w:val="0085205F"/>
    <w:rsid w:val="0085225B"/>
    <w:rsid w:val="0085664B"/>
    <w:rsid w:val="008606AC"/>
    <w:rsid w:val="00872354"/>
    <w:rsid w:val="00873BB2"/>
    <w:rsid w:val="00884F27"/>
    <w:rsid w:val="00891D9B"/>
    <w:rsid w:val="008B358F"/>
    <w:rsid w:val="008B63D2"/>
    <w:rsid w:val="008C41DF"/>
    <w:rsid w:val="008D320C"/>
    <w:rsid w:val="008E7E78"/>
    <w:rsid w:val="008F67E2"/>
    <w:rsid w:val="009065A6"/>
    <w:rsid w:val="00917761"/>
    <w:rsid w:val="00921F1A"/>
    <w:rsid w:val="00950209"/>
    <w:rsid w:val="009B7AD8"/>
    <w:rsid w:val="009F51FE"/>
    <w:rsid w:val="00A12D3B"/>
    <w:rsid w:val="00A20750"/>
    <w:rsid w:val="00A603D1"/>
    <w:rsid w:val="00A607BC"/>
    <w:rsid w:val="00A62393"/>
    <w:rsid w:val="00A761FB"/>
    <w:rsid w:val="00AC29BB"/>
    <w:rsid w:val="00AD1C16"/>
    <w:rsid w:val="00AD255D"/>
    <w:rsid w:val="00AD3310"/>
    <w:rsid w:val="00AD6488"/>
    <w:rsid w:val="00AF78BE"/>
    <w:rsid w:val="00B230AC"/>
    <w:rsid w:val="00B32F14"/>
    <w:rsid w:val="00B53823"/>
    <w:rsid w:val="00B9147C"/>
    <w:rsid w:val="00B94F2E"/>
    <w:rsid w:val="00BB026D"/>
    <w:rsid w:val="00BC7704"/>
    <w:rsid w:val="00BD7AA8"/>
    <w:rsid w:val="00BF28DA"/>
    <w:rsid w:val="00C11CFC"/>
    <w:rsid w:val="00C25AC2"/>
    <w:rsid w:val="00C5218C"/>
    <w:rsid w:val="00C555A4"/>
    <w:rsid w:val="00C56D4C"/>
    <w:rsid w:val="00C61832"/>
    <w:rsid w:val="00C72716"/>
    <w:rsid w:val="00C74E43"/>
    <w:rsid w:val="00C765C7"/>
    <w:rsid w:val="00C9157D"/>
    <w:rsid w:val="00CA4384"/>
    <w:rsid w:val="00CC5874"/>
    <w:rsid w:val="00CD1A91"/>
    <w:rsid w:val="00CD1F14"/>
    <w:rsid w:val="00CF23DE"/>
    <w:rsid w:val="00CF3BFB"/>
    <w:rsid w:val="00D01982"/>
    <w:rsid w:val="00D105E6"/>
    <w:rsid w:val="00D1408A"/>
    <w:rsid w:val="00D34B0B"/>
    <w:rsid w:val="00D4180C"/>
    <w:rsid w:val="00D768D7"/>
    <w:rsid w:val="00DC631E"/>
    <w:rsid w:val="00DE630F"/>
    <w:rsid w:val="00DF264D"/>
    <w:rsid w:val="00DF5F1B"/>
    <w:rsid w:val="00E0445B"/>
    <w:rsid w:val="00E22534"/>
    <w:rsid w:val="00E343E0"/>
    <w:rsid w:val="00E37304"/>
    <w:rsid w:val="00E47256"/>
    <w:rsid w:val="00E5236E"/>
    <w:rsid w:val="00E558D5"/>
    <w:rsid w:val="00E850E0"/>
    <w:rsid w:val="00E91078"/>
    <w:rsid w:val="00E9611F"/>
    <w:rsid w:val="00E97D0D"/>
    <w:rsid w:val="00EC4F69"/>
    <w:rsid w:val="00ED5A80"/>
    <w:rsid w:val="00F16C35"/>
    <w:rsid w:val="00F32114"/>
    <w:rsid w:val="00F51CB4"/>
    <w:rsid w:val="00F808E8"/>
    <w:rsid w:val="00FA2390"/>
    <w:rsid w:val="00FF1B8A"/>
    <w:rsid w:val="00FF525D"/>
    <w:rsid w:val="00FF56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EDAF7"/>
  <w15:docId w15:val="{57377BBD-8419-4687-8303-98D142D6D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F05E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pPr>
      <w:spacing w:after="0" w:line="240" w:lineRule="auto"/>
    </w:pPr>
    <w:rPr>
      <w:rFonts w:ascii="Tahoma" w:hAnsi="Tahoma" w:cs="Tahoma"/>
      <w:sz w:val="16"/>
      <w:szCs w:val="16"/>
    </w:rPr>
  </w:style>
  <w:style w:type="paragraph" w:styleId="BodyText">
    <w:name w:val="Body Text"/>
    <w:basedOn w:val="Normal"/>
    <w:link w:val="BodyTextChar"/>
    <w:uiPriority w:val="99"/>
    <w:unhideWhenUsed/>
    <w:pPr>
      <w:spacing w:after="120"/>
    </w:pPr>
  </w:style>
  <w:style w:type="paragraph" w:styleId="BodyTextIndent">
    <w:name w:val="Body Text Indent"/>
    <w:basedOn w:val="Normal"/>
    <w:link w:val="BodyTextIndentChar"/>
    <w:pPr>
      <w:spacing w:after="0" w:line="240" w:lineRule="auto"/>
      <w:ind w:left="540"/>
      <w:jc w:val="both"/>
    </w:pPr>
    <w:rPr>
      <w:rFonts w:ascii="Times New Roman" w:eastAsia="Times New Roman" w:hAnsi="Times New Roman" w:cs="Times New Roman"/>
      <w:sz w:val="24"/>
      <w:szCs w:val="24"/>
    </w:rPr>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unhideWhenUsed/>
    <w:rPr>
      <w:b/>
      <w:bCs/>
    </w:rPr>
  </w:style>
  <w:style w:type="paragraph" w:styleId="DocumentMap">
    <w:name w:val="Document Map"/>
    <w:basedOn w:val="Normal"/>
    <w:link w:val="DocumentMapChar"/>
    <w:uiPriority w:val="99"/>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FootnoteText">
    <w:name w:val="footnote text"/>
    <w:basedOn w:val="Normal"/>
    <w:link w:val="FootnoteTextChar"/>
    <w:uiPriority w:val="99"/>
    <w:unhideWhenUsed/>
    <w:pPr>
      <w:spacing w:after="0" w:line="240" w:lineRule="auto"/>
    </w:pPr>
    <w:rPr>
      <w:sz w:val="20"/>
      <w:szCs w:val="20"/>
    </w:r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unhideWhenUsed/>
    <w:rPr>
      <w:sz w:val="16"/>
      <w:szCs w:val="16"/>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unhideWhenUsed/>
    <w:rPr>
      <w:color w:val="800080" w:themeColor="followedHyperlink"/>
      <w:u w:val="single"/>
    </w:rPr>
  </w:style>
  <w:style w:type="character" w:styleId="FootnoteReference">
    <w:name w:val="footnote reference"/>
    <w:basedOn w:val="DefaultParagraphFont"/>
    <w:uiPriority w:val="99"/>
    <w:unhideWhenUsed/>
    <w:rPr>
      <w:vertAlign w:val="superscript"/>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qFormat/>
    <w:pPr>
      <w:spacing w:after="0" w:line="240" w:lineRule="auto"/>
    </w:pPr>
    <w:rPr>
      <w:lang w:val="id-ID"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Pr>
      <w:rFonts w:ascii="TimesNewRomanPSMT" w:hAnsi="TimesNewRomanPSMT" w:hint="default"/>
      <w:color w:val="000000"/>
      <w:sz w:val="20"/>
      <w:szCs w:val="20"/>
    </w:rPr>
  </w:style>
  <w:style w:type="character" w:customStyle="1" w:styleId="fontstyle21">
    <w:name w:val="fontstyle21"/>
    <w:basedOn w:val="DefaultParagraphFont"/>
    <w:rPr>
      <w:rFonts w:ascii="TimesNewRomanPS-BoldMT" w:hAnsi="TimesNewRomanPS-BoldMT" w:hint="default"/>
      <w:b/>
      <w:bCs/>
      <w:color w:val="000000"/>
      <w:sz w:val="20"/>
      <w:szCs w:val="20"/>
    </w:rPr>
  </w:style>
  <w:style w:type="paragraph" w:customStyle="1" w:styleId="Default">
    <w:name w:val="Default"/>
    <w:pPr>
      <w:autoSpaceDE w:val="0"/>
      <w:autoSpaceDN w:val="0"/>
      <w:adjustRightInd w:val="0"/>
      <w:spacing w:after="0" w:line="240" w:lineRule="auto"/>
    </w:pPr>
    <w:rPr>
      <w:rFonts w:ascii="Cambria" w:eastAsiaTheme="minorHAnsi" w:hAnsi="Cambria" w:cs="Cambria"/>
      <w:color w:val="000000"/>
      <w:sz w:val="24"/>
      <w:szCs w:val="24"/>
      <w:lang w:val="id-ID" w:eastAsia="en-US"/>
    </w:rPr>
  </w:style>
  <w:style w:type="character" w:customStyle="1" w:styleId="title-text">
    <w:name w:val="title-text"/>
    <w:basedOn w:val="DefaultParagraphFont"/>
  </w:style>
  <w:style w:type="character" w:customStyle="1" w:styleId="fontstyle31">
    <w:name w:val="fontstyle31"/>
    <w:basedOn w:val="DefaultParagraphFont"/>
    <w:rPr>
      <w:rFonts w:ascii="URWPalladioL-Bold" w:hAnsi="URWPalladioL-Bold" w:hint="default"/>
      <w:b/>
      <w:bCs/>
      <w:color w:val="000000"/>
      <w:sz w:val="18"/>
      <w:szCs w:val="18"/>
    </w:rPr>
  </w:style>
  <w:style w:type="character" w:customStyle="1" w:styleId="fontstyle41">
    <w:name w:val="fontstyle41"/>
    <w:basedOn w:val="DefaultParagraphFont"/>
    <w:rPr>
      <w:rFonts w:ascii="URWPalladioL-Bold" w:hAnsi="URWPalladioL-Bold" w:hint="default"/>
      <w:b/>
      <w:bCs/>
      <w:color w:val="000000"/>
      <w:sz w:val="18"/>
      <w:szCs w:val="18"/>
    </w:rPr>
  </w:style>
  <w:style w:type="character" w:customStyle="1" w:styleId="fontstyle51">
    <w:name w:val="fontstyle51"/>
    <w:basedOn w:val="DefaultParagraphFont"/>
    <w:rPr>
      <w:rFonts w:ascii="VnURWPalladioL" w:hAnsi="VnURWPalladioL" w:hint="default"/>
      <w:color w:val="000000"/>
      <w:sz w:val="18"/>
      <w:szCs w:val="18"/>
    </w:rPr>
  </w:style>
  <w:style w:type="character" w:customStyle="1" w:styleId="BodyTextIndentChar">
    <w:name w:val="Body Text Indent Char"/>
    <w:basedOn w:val="DefaultParagraphFont"/>
    <w:link w:val="BodyTextIndent"/>
    <w:rPr>
      <w:rFonts w:ascii="Times New Roman" w:eastAsia="Times New Roman" w:hAnsi="Times New Roman" w:cs="Times New Roman"/>
      <w:sz w:val="24"/>
      <w:szCs w:val="24"/>
    </w:rPr>
  </w:style>
  <w:style w:type="character" w:customStyle="1" w:styleId="DocumentMapChar">
    <w:name w:val="Document Map Char"/>
    <w:basedOn w:val="DefaultParagraphFont"/>
    <w:link w:val="DocumentMap"/>
    <w:uiPriority w:val="99"/>
    <w:semiHidden/>
    <w:rPr>
      <w:rFonts w:ascii="Tahoma" w:hAnsi="Tahoma" w:cs="Tahoma"/>
      <w:sz w:val="16"/>
      <w:szCs w:val="16"/>
    </w:rPr>
  </w:style>
  <w:style w:type="paragraph" w:customStyle="1" w:styleId="Bibliography1">
    <w:name w:val="Bibliography1"/>
    <w:basedOn w:val="Normal"/>
    <w:next w:val="Normal"/>
    <w:uiPriority w:val="37"/>
    <w:unhideWhenUsed/>
    <w:pPr>
      <w:tabs>
        <w:tab w:val="left" w:pos="384"/>
      </w:tabs>
      <w:spacing w:after="240" w:line="240" w:lineRule="auto"/>
      <w:ind w:left="384" w:hanging="384"/>
    </w:pPr>
  </w:style>
  <w:style w:type="paragraph" w:customStyle="1" w:styleId="ListParagraph1">
    <w:name w:val="List Paragraph1"/>
    <w:basedOn w:val="Normal"/>
    <w:link w:val="ListParagraphChar"/>
    <w:uiPriority w:val="1"/>
    <w:qFormat/>
    <w:pPr>
      <w:ind w:left="720"/>
      <w:contextualSpacing/>
    </w:pPr>
    <w:rPr>
      <w:lang w:val="id-ID" w:eastAsia="ko-KR"/>
    </w:rPr>
  </w:style>
  <w:style w:type="character" w:customStyle="1" w:styleId="ListParagraphChar">
    <w:name w:val="List Paragraph Char"/>
    <w:link w:val="ListParagraph1"/>
    <w:uiPriority w:val="34"/>
    <w:qFormat/>
    <w:locked/>
    <w:rPr>
      <w:lang w:val="id-ID" w:eastAsia="ko-KR"/>
    </w:rPr>
  </w:style>
  <w:style w:type="character" w:customStyle="1" w:styleId="fontstyle11">
    <w:name w:val="fontstyle11"/>
    <w:basedOn w:val="DefaultParagraphFont"/>
    <w:rPr>
      <w:rFonts w:ascii="TimesNewRomanPSMT" w:hAnsi="TimesNewRomanPSMT" w:hint="default"/>
      <w:color w:val="808080"/>
      <w:sz w:val="24"/>
      <w:szCs w:val="24"/>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FootnoteTextChar">
    <w:name w:val="Footnote Text Char"/>
    <w:basedOn w:val="DefaultParagraphFont"/>
    <w:link w:val="FootnoteText"/>
    <w:uiPriority w:val="99"/>
    <w:semiHidden/>
    <w:rPr>
      <w:sz w:val="20"/>
      <w:szCs w:val="20"/>
    </w:rPr>
  </w:style>
  <w:style w:type="character" w:customStyle="1" w:styleId="UnresolvedMention1">
    <w:name w:val="Unresolved Mention1"/>
    <w:basedOn w:val="DefaultParagraphFont"/>
    <w:uiPriority w:val="99"/>
    <w:unhideWhenUsed/>
    <w:rPr>
      <w:color w:val="605E5C"/>
      <w:shd w:val="clear" w:color="auto" w:fill="E1DFDD"/>
    </w:rPr>
  </w:style>
  <w:style w:type="character" w:customStyle="1" w:styleId="BodyTextChar">
    <w:name w:val="Body Text Char"/>
    <w:basedOn w:val="DefaultParagraphFont"/>
    <w:link w:val="BodyText"/>
    <w:uiPriority w:val="99"/>
    <w:semiHidden/>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CommentTextChar">
    <w:name w:val="Comment Text Char"/>
    <w:basedOn w:val="DefaultParagraphFont"/>
    <w:link w:val="CommentText"/>
    <w:uiPriority w:val="99"/>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table" w:customStyle="1" w:styleId="TableGrid1">
    <w:name w:val="Table Grid1"/>
    <w:basedOn w:val="TableNormal"/>
    <w:uiPriority w:val="59"/>
    <w:pPr>
      <w:spacing w:after="0" w:line="240" w:lineRule="auto"/>
    </w:pPr>
    <w:rPr>
      <w:rFonts w:ascii="Calibri" w:eastAsia="Times New Roman" w:hAnsi="Calibri" w:cs="Calibri"/>
      <w:color w:val="000000"/>
      <w:lang w:val="tr-TR"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table" w:customStyle="1" w:styleId="TableNormal1">
    <w:name w:val="Table Normal1"/>
    <w:uiPriority w:val="2"/>
    <w:unhideWhenUsed/>
    <w:qFormat/>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005127"/>
    <w:rPr>
      <w:color w:val="605E5C"/>
      <w:shd w:val="clear" w:color="auto" w:fill="E1DFDD"/>
    </w:rPr>
  </w:style>
  <w:style w:type="table" w:customStyle="1" w:styleId="TableGrid11">
    <w:name w:val="Table Grid11"/>
    <w:basedOn w:val="TableNormal"/>
    <w:next w:val="TableGrid"/>
    <w:uiPriority w:val="39"/>
    <w:rsid w:val="000B24D5"/>
    <w:pPr>
      <w:spacing w:after="0" w:line="240" w:lineRule="auto"/>
    </w:pPr>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2950D1"/>
    <w:pPr>
      <w:spacing w:after="0" w:line="240" w:lineRule="auto"/>
    </w:pPr>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5F05ED"/>
    <w:rPr>
      <w:rFonts w:asciiTheme="majorHAnsi" w:eastAsiaTheme="majorEastAsia" w:hAnsiTheme="majorHAnsi" w:cstheme="majorBidi"/>
      <w:color w:val="365F91" w:themeColor="accent1" w:themeShade="BF"/>
      <w:sz w:val="26"/>
      <w:szCs w:val="26"/>
      <w:lang w:val="en-US" w:eastAsia="en-US"/>
    </w:rPr>
  </w:style>
  <w:style w:type="table" w:customStyle="1" w:styleId="TableGrid3">
    <w:name w:val="Table Grid3"/>
    <w:basedOn w:val="TableNormal"/>
    <w:next w:val="TableGrid"/>
    <w:uiPriority w:val="39"/>
    <w:rsid w:val="005F05ED"/>
    <w:pPr>
      <w:spacing w:after="0" w:line="240" w:lineRule="auto"/>
    </w:pPr>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itle">
    <w:name w:val="IOP-CS-Title"/>
    <w:basedOn w:val="Normal"/>
    <w:link w:val="IOP-CS-TitleChar"/>
    <w:qFormat/>
    <w:rsid w:val="009065A6"/>
    <w:pPr>
      <w:spacing w:after="480" w:line="259" w:lineRule="auto"/>
    </w:pPr>
    <w:rPr>
      <w:rFonts w:asciiTheme="minorBidi" w:eastAsiaTheme="minorHAnsi" w:hAnsiTheme="minorBidi"/>
      <w:b/>
      <w:kern w:val="2"/>
      <w:sz w:val="36"/>
      <w:szCs w:val="36"/>
      <w:lang w:val="en-GB"/>
    </w:rPr>
  </w:style>
  <w:style w:type="character" w:customStyle="1" w:styleId="IOP-CS-TitleChar">
    <w:name w:val="IOP-CS-Title Char"/>
    <w:basedOn w:val="DefaultParagraphFont"/>
    <w:link w:val="IOP-CS-Title"/>
    <w:rsid w:val="009065A6"/>
    <w:rPr>
      <w:rFonts w:asciiTheme="minorBidi" w:eastAsiaTheme="minorHAnsi" w:hAnsiTheme="minorBidi" w:cstheme="minorBidi"/>
      <w:b/>
      <w:kern w:val="2"/>
      <w:sz w:val="36"/>
      <w:szCs w:val="36"/>
      <w:lang w:val="en-GB" w:eastAsia="en-US"/>
    </w:rPr>
  </w:style>
  <w:style w:type="paragraph" w:customStyle="1" w:styleId="IOP-CS-Affiliation">
    <w:name w:val="IOP-CS-Affiliation"/>
    <w:basedOn w:val="Normal"/>
    <w:link w:val="IOP-CS-AffiliationChar"/>
    <w:qFormat/>
    <w:rsid w:val="009065A6"/>
    <w:pPr>
      <w:spacing w:after="0" w:line="259" w:lineRule="auto"/>
      <w:ind w:left="1418"/>
    </w:pPr>
    <w:rPr>
      <w:rFonts w:ascii="Cambria" w:eastAsiaTheme="minorHAnsi" w:hAnsi="Cambria"/>
      <w:kern w:val="2"/>
      <w:sz w:val="20"/>
      <w:szCs w:val="20"/>
      <w:lang w:val="en-GB"/>
    </w:rPr>
  </w:style>
  <w:style w:type="character" w:customStyle="1" w:styleId="IOP-CS-AffiliationChar">
    <w:name w:val="IOP-CS-Affiliation Char"/>
    <w:basedOn w:val="DefaultParagraphFont"/>
    <w:link w:val="IOP-CS-Affiliation"/>
    <w:rsid w:val="009065A6"/>
    <w:rPr>
      <w:rFonts w:ascii="Cambria" w:eastAsiaTheme="minorHAnsi" w:hAnsi="Cambria" w:cstheme="minorBidi"/>
      <w:kern w:val="2"/>
      <w:lang w:val="en-GB" w:eastAsia="en-US"/>
    </w:rPr>
  </w:style>
  <w:style w:type="paragraph" w:customStyle="1" w:styleId="IOP-CS-BodyText">
    <w:name w:val="IOP-CS-BodyText"/>
    <w:link w:val="IOP-CS-BodyTextChar"/>
    <w:qFormat/>
    <w:rsid w:val="00CD1A91"/>
    <w:pPr>
      <w:spacing w:after="0"/>
      <w:ind w:firstLine="425"/>
      <w:jc w:val="both"/>
    </w:pPr>
    <w:rPr>
      <w:rFonts w:ascii="Cambria" w:eastAsiaTheme="minorHAnsi" w:hAnsi="Cambria" w:cstheme="minorBidi"/>
      <w:kern w:val="2"/>
      <w:sz w:val="22"/>
      <w:szCs w:val="22"/>
      <w:lang w:val="en-GB" w:eastAsia="en-US"/>
    </w:rPr>
  </w:style>
  <w:style w:type="character" w:customStyle="1" w:styleId="IOP-CS-BodyTextChar">
    <w:name w:val="IOP-CS-BodyText Char"/>
    <w:basedOn w:val="IOP-CS-AffiliationChar"/>
    <w:link w:val="IOP-CS-BodyText"/>
    <w:rsid w:val="00CD1A91"/>
    <w:rPr>
      <w:rFonts w:ascii="Cambria" w:eastAsiaTheme="minorHAnsi" w:hAnsi="Cambria" w:cstheme="minorBidi"/>
      <w:kern w:val="2"/>
      <w:sz w:val="22"/>
      <w:szCs w:val="22"/>
      <w:lang w:val="en-GB" w:eastAsia="en-US"/>
    </w:rPr>
  </w:style>
  <w:style w:type="paragraph" w:customStyle="1" w:styleId="IOP-CS-BodyNoIndent">
    <w:name w:val="IOP-CS-BodyNoIndent"/>
    <w:basedOn w:val="IOP-CS-BodyText"/>
    <w:next w:val="IOP-CS-BodyText"/>
    <w:link w:val="IOP-CS-BodyNoIndentChar"/>
    <w:qFormat/>
    <w:rsid w:val="00CD1A91"/>
    <w:pPr>
      <w:ind w:firstLine="0"/>
    </w:pPr>
  </w:style>
  <w:style w:type="character" w:customStyle="1" w:styleId="IOP-CS-BodyNoIndentChar">
    <w:name w:val="IOP-CS-BodyNoIndent Char"/>
    <w:basedOn w:val="IOP-CS-BodyTextChar"/>
    <w:link w:val="IOP-CS-BodyNoIndent"/>
    <w:rsid w:val="00CD1A91"/>
    <w:rPr>
      <w:rFonts w:ascii="Cambria" w:eastAsiaTheme="minorHAnsi" w:hAnsi="Cambria" w:cstheme="minorBidi"/>
      <w:kern w:val="2"/>
      <w:sz w:val="22"/>
      <w:szCs w:val="22"/>
      <w:lang w:val="en-GB" w:eastAsia="en-US"/>
    </w:rPr>
  </w:style>
  <w:style w:type="paragraph" w:customStyle="1" w:styleId="IOP-CS-SubsectionHeading">
    <w:name w:val="IOP-CS-SubsectionHeading"/>
    <w:next w:val="IOP-CS-BodyNoIndent"/>
    <w:link w:val="IOP-CS-SubsectionHeadingChar"/>
    <w:qFormat/>
    <w:rsid w:val="00884F27"/>
    <w:pPr>
      <w:spacing w:before="160" w:after="0"/>
    </w:pPr>
    <w:rPr>
      <w:rFonts w:ascii="Cambria" w:eastAsiaTheme="minorHAnsi" w:hAnsi="Cambria" w:cstheme="minorBidi"/>
      <w:i/>
      <w:iCs/>
      <w:kern w:val="2"/>
      <w:sz w:val="22"/>
      <w:szCs w:val="22"/>
      <w:lang w:val="en-GB" w:eastAsia="en-US"/>
    </w:rPr>
  </w:style>
  <w:style w:type="character" w:customStyle="1" w:styleId="IOP-CS-SubsectionHeadingChar">
    <w:name w:val="IOP-CS-SubsectionHeading Char"/>
    <w:basedOn w:val="IOP-CS-BodyTextChar"/>
    <w:link w:val="IOP-CS-SubsectionHeading"/>
    <w:rsid w:val="00884F27"/>
    <w:rPr>
      <w:rFonts w:ascii="Cambria" w:eastAsiaTheme="minorHAnsi" w:hAnsi="Cambria" w:cstheme="minorBidi"/>
      <w:i/>
      <w:iCs/>
      <w:kern w:val="2"/>
      <w:sz w:val="22"/>
      <w:szCs w:val="22"/>
      <w:lang w:val="en-GB" w:eastAsia="en-US"/>
    </w:rPr>
  </w:style>
  <w:style w:type="paragraph" w:customStyle="1" w:styleId="IOP-CS-SectionHead">
    <w:name w:val="IOP-CS-SectionHead"/>
    <w:next w:val="IOP-CS-BodyNoIndent"/>
    <w:link w:val="IOP-CS-SectionHeadChar"/>
    <w:qFormat/>
    <w:rsid w:val="00211BBB"/>
    <w:pPr>
      <w:spacing w:before="360" w:after="120"/>
    </w:pPr>
    <w:rPr>
      <w:rFonts w:ascii="Cambria" w:eastAsiaTheme="minorHAnsi" w:hAnsi="Cambria" w:cstheme="minorBidi"/>
      <w:b/>
      <w:bCs/>
      <w:kern w:val="2"/>
      <w:sz w:val="22"/>
      <w:szCs w:val="22"/>
      <w:lang w:val="en-GB" w:eastAsia="en-US"/>
    </w:rPr>
  </w:style>
  <w:style w:type="character" w:customStyle="1" w:styleId="IOP-CS-SectionHeadChar">
    <w:name w:val="IOP-CS-SectionHead Char"/>
    <w:basedOn w:val="IOP-CS-AffiliationChar"/>
    <w:link w:val="IOP-CS-SectionHead"/>
    <w:rsid w:val="00211BBB"/>
    <w:rPr>
      <w:rFonts w:ascii="Cambria" w:eastAsiaTheme="minorHAnsi" w:hAnsi="Cambria" w:cstheme="minorBidi"/>
      <w:b/>
      <w:bCs/>
      <w:kern w:val="2"/>
      <w:sz w:val="22"/>
      <w:szCs w:val="22"/>
      <w:lang w:val="en-GB" w:eastAsia="en-US"/>
    </w:rPr>
  </w:style>
  <w:style w:type="paragraph" w:customStyle="1" w:styleId="IOP-CS-CaptionText">
    <w:name w:val="IOP-CS-CaptionText"/>
    <w:link w:val="IOP-CS-CaptionTextChar"/>
    <w:qFormat/>
    <w:rsid w:val="00211BBB"/>
    <w:rPr>
      <w:rFonts w:ascii="Cambria" w:eastAsiaTheme="minorHAnsi" w:hAnsi="Cambria" w:cstheme="minorBidi"/>
      <w:kern w:val="2"/>
      <w:szCs w:val="22"/>
      <w:lang w:val="en-GB" w:eastAsia="en-US"/>
    </w:rPr>
  </w:style>
  <w:style w:type="character" w:customStyle="1" w:styleId="IOP-CS-CaptionTextChar">
    <w:name w:val="IOP-CS-CaptionText Char"/>
    <w:basedOn w:val="DefaultParagraphFont"/>
    <w:link w:val="IOP-CS-CaptionText"/>
    <w:rsid w:val="00211BBB"/>
    <w:rPr>
      <w:rFonts w:ascii="Cambria" w:eastAsiaTheme="minorHAnsi" w:hAnsi="Cambria" w:cstheme="minorBidi"/>
      <w:kern w:val="2"/>
      <w:szCs w:val="22"/>
      <w:lang w:val="en-GB" w:eastAsia="en-US"/>
    </w:rPr>
  </w:style>
  <w:style w:type="paragraph" w:customStyle="1" w:styleId="IOP-CS-ReferenceText">
    <w:name w:val="IOP-CS-ReferenceText"/>
    <w:link w:val="IOP-CS-ReferenceTextChar"/>
    <w:qFormat/>
    <w:rsid w:val="00211BBB"/>
    <w:pPr>
      <w:spacing w:after="0"/>
    </w:pPr>
    <w:rPr>
      <w:rFonts w:ascii="Cambria" w:eastAsiaTheme="minorHAnsi" w:hAnsi="Cambria" w:cstheme="minorBidi"/>
      <w:kern w:val="2"/>
      <w:sz w:val="18"/>
      <w:szCs w:val="22"/>
      <w:lang w:val="en-GB" w:eastAsia="en-US"/>
    </w:rPr>
  </w:style>
  <w:style w:type="character" w:customStyle="1" w:styleId="IOP-CS-ReferenceTextChar">
    <w:name w:val="IOP-CS-ReferenceText Char"/>
    <w:basedOn w:val="DefaultParagraphFont"/>
    <w:link w:val="IOP-CS-ReferenceText"/>
    <w:rsid w:val="00211BBB"/>
    <w:rPr>
      <w:rFonts w:ascii="Cambria" w:eastAsiaTheme="minorHAnsi" w:hAnsi="Cambria" w:cstheme="minorBidi"/>
      <w:kern w:val="2"/>
      <w:sz w:val="18"/>
      <w:szCs w:val="22"/>
      <w:lang w:val="en-GB" w:eastAsia="en-US"/>
    </w:rPr>
  </w:style>
  <w:style w:type="character" w:styleId="Strong">
    <w:name w:val="Strong"/>
    <w:basedOn w:val="DefaultParagraphFont"/>
    <w:uiPriority w:val="22"/>
    <w:qFormat/>
    <w:rsid w:val="00211BBB"/>
    <w:rPr>
      <w:b/>
      <w:bCs/>
    </w:rPr>
  </w:style>
  <w:style w:type="paragraph" w:styleId="Caption">
    <w:name w:val="caption"/>
    <w:basedOn w:val="Normal"/>
    <w:next w:val="Normal"/>
    <w:uiPriority w:val="35"/>
    <w:unhideWhenUsed/>
    <w:qFormat/>
    <w:rsid w:val="00FF525D"/>
    <w:pPr>
      <w:spacing w:line="240" w:lineRule="auto"/>
    </w:pPr>
    <w:rPr>
      <w:i/>
      <w:iCs/>
      <w:color w:val="1F497D" w:themeColor="text2"/>
      <w:sz w:val="18"/>
      <w:szCs w:val="18"/>
    </w:rPr>
  </w:style>
  <w:style w:type="paragraph" w:styleId="ListParagraph">
    <w:name w:val="List Paragraph"/>
    <w:basedOn w:val="Normal"/>
    <w:uiPriority w:val="99"/>
    <w:unhideWhenUsed/>
    <w:rsid w:val="008606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836353-87B0-433B-9B64-854358116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4610</Words>
  <Characters>26278</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PT ANOA MANDIRI SEJAHTERA</cp:lastModifiedBy>
  <cp:revision>2</cp:revision>
  <dcterms:created xsi:type="dcterms:W3CDTF">2026-05-25T09:44:00Z</dcterms:created>
  <dcterms:modified xsi:type="dcterms:W3CDTF">2026-05-25T09:44:00Z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zotero-version="6.0.22"&gt;&lt;session id="zPQDo9Zl"/&gt;&lt;style id="http://www.zotero.org/styles/american-medical-association" hasBibliography="1" bibliographyStyleHasBeenSet="1"/&gt;&lt;prefs&gt;&lt;pref name="fieldType" value="Field"/&gt;&lt;/prefs&gt;&lt;/data&gt;</vt:lpwstr>
  </property>
  <property fmtid="{D5CDD505-2E9C-101B-9397-08002B2CF9AE}" pid="3" name="GrammarlyDocumentId">
    <vt:lpwstr>37a9cbb7ff2d4af5cc9113676e5fb47742e834ad6cf80b6f7b85ce9ce0d4e160</vt:lpwstr>
  </property>
  <property fmtid="{D5CDD505-2E9C-101B-9397-08002B2CF9AE}" pid="4" name="ICV">
    <vt:lpwstr>E80F0BF14D99EB7DFDF8E366968DA6E8_32</vt:lpwstr>
  </property>
  <property fmtid="{D5CDD505-2E9C-101B-9397-08002B2CF9AE}" pid="5" name="KSOProductBuildVer">
    <vt:lpwstr>3081-11.33.82</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http://www.zotero.org/styles/vancouver</vt:lpwstr>
  </property>
  <property fmtid="{D5CDD505-2E9C-101B-9397-08002B2CF9AE}" pid="23" name="Mendeley Recent Style Name 8_1">
    <vt:lpwstr>Vancouver</vt:lpwstr>
  </property>
  <property fmtid="{D5CDD505-2E9C-101B-9397-08002B2CF9AE}" pid="24" name="Mendeley Recent Style Id 9_1">
    <vt:lpwstr>http://www.zotero.org/styles/vancouver-superscript</vt:lpwstr>
  </property>
  <property fmtid="{D5CDD505-2E9C-101B-9397-08002B2CF9AE}" pid="25" name="Mendeley Recent Style Name 9_1">
    <vt:lpwstr>Vancouver (superscript)</vt:lpwstr>
  </property>
  <property fmtid="{D5CDD505-2E9C-101B-9397-08002B2CF9AE}" pid="26" name="Mendeley Citation Style_1">
    <vt:lpwstr>http://www.zotero.org/styles/vancouver-superscript</vt:lpwstr>
  </property>
  <property fmtid="{D5CDD505-2E9C-101B-9397-08002B2CF9AE}" pid="27" name="Mendeley Document_1">
    <vt:lpwstr>True</vt:lpwstr>
  </property>
  <property fmtid="{D5CDD505-2E9C-101B-9397-08002B2CF9AE}" pid="28" name="Mendeley Unique User Id_1">
    <vt:lpwstr>ef362582-6042-3190-8e6f-83a40c12b2fa</vt:lpwstr>
  </property>
</Properties>
</file>