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294B4" w14:textId="77777777" w:rsidR="00055B84" w:rsidRPr="00055B84" w:rsidRDefault="00055B84" w:rsidP="00055B84">
      <w:pPr>
        <w:pBdr>
          <w:top w:val="nil"/>
          <w:left w:val="nil"/>
          <w:bottom w:val="nil"/>
          <w:right w:val="nil"/>
          <w:between w:val="nil"/>
        </w:pBdr>
        <w:spacing w:line="360" w:lineRule="auto"/>
        <w:jc w:val="center"/>
        <w:rPr>
          <w:rFonts w:ascii="Times New Roman" w:hAnsi="Times New Roman" w:cs="Times New Roman"/>
          <w:sz w:val="24"/>
          <w:szCs w:val="24"/>
        </w:rPr>
      </w:pPr>
      <w:r w:rsidRPr="00055B84">
        <w:rPr>
          <w:rFonts w:ascii="Times New Roman" w:hAnsi="Times New Roman" w:cs="Times New Roman"/>
          <w:b/>
          <w:bCs/>
          <w:sz w:val="24"/>
          <w:szCs w:val="24"/>
        </w:rPr>
        <w:t>Hyperbaric Oxygen Therapy Attenuates Amyloid-β and Tau Alterations and Improves Spatial Working Memory in a Porphyromonas gingivalis-Induced Periodontitis Model</w:t>
      </w:r>
    </w:p>
    <w:p w14:paraId="479F8BC4" w14:textId="77777777" w:rsidR="00055B84" w:rsidRPr="00055B84" w:rsidRDefault="00055B84" w:rsidP="00055B84">
      <w:pPr>
        <w:pBdr>
          <w:top w:val="nil"/>
          <w:left w:val="nil"/>
          <w:bottom w:val="nil"/>
          <w:right w:val="nil"/>
          <w:between w:val="nil"/>
        </w:pBdr>
        <w:spacing w:line="360" w:lineRule="auto"/>
        <w:rPr>
          <w:rFonts w:ascii="Times New Roman" w:hAnsi="Times New Roman" w:cs="Times New Roman"/>
          <w:sz w:val="24"/>
          <w:szCs w:val="24"/>
        </w:rPr>
      </w:pPr>
      <w:r w:rsidRPr="00055B84">
        <w:rPr>
          <w:rFonts w:ascii="Times New Roman" w:hAnsi="Times New Roman" w:cs="Times New Roman"/>
          <w:sz w:val="24"/>
          <w:szCs w:val="24"/>
        </w:rPr>
        <w:pict w14:anchorId="1E94356F">
          <v:rect id="_x0000_i1031" style="width:468pt;height:1pt" o:hralign="center" o:hrstd="t" o:hr="t" fillcolor="#a0a0a0" stroked="f"/>
        </w:pict>
      </w:r>
    </w:p>
    <w:p w14:paraId="45829ABE" w14:textId="77777777" w:rsidR="00055B84" w:rsidRPr="00055B84" w:rsidRDefault="00055B84" w:rsidP="00055B84">
      <w:pPr>
        <w:pBdr>
          <w:top w:val="nil"/>
          <w:left w:val="nil"/>
          <w:bottom w:val="nil"/>
          <w:right w:val="nil"/>
          <w:between w:val="nil"/>
        </w:pBdr>
        <w:spacing w:line="360" w:lineRule="auto"/>
        <w:rPr>
          <w:rFonts w:ascii="Times New Roman" w:hAnsi="Times New Roman" w:cs="Times New Roman"/>
          <w:b/>
          <w:bCs/>
          <w:sz w:val="28"/>
          <w:szCs w:val="28"/>
        </w:rPr>
      </w:pPr>
      <w:r w:rsidRPr="00055B84">
        <w:rPr>
          <w:rFonts w:ascii="Times New Roman" w:hAnsi="Times New Roman" w:cs="Times New Roman"/>
          <w:b/>
          <w:bCs/>
          <w:sz w:val="28"/>
          <w:szCs w:val="28"/>
        </w:rPr>
        <w:t>Abstract</w:t>
      </w:r>
    </w:p>
    <w:p w14:paraId="5865A5C8" w14:textId="6392B1E5" w:rsidR="00546A8E" w:rsidRDefault="00055B84" w:rsidP="00546A8E">
      <w:pPr>
        <w:pBdr>
          <w:top w:val="nil"/>
          <w:left w:val="nil"/>
          <w:bottom w:val="nil"/>
          <w:right w:val="nil"/>
          <w:between w:val="nil"/>
        </w:pBdr>
        <w:spacing w:after="240" w:line="360" w:lineRule="auto"/>
        <w:ind w:firstLine="720"/>
        <w:jc w:val="both"/>
        <w:rPr>
          <w:rFonts w:ascii="Times New Roman" w:hAnsi="Times New Roman" w:cs="Times New Roman"/>
          <w:sz w:val="24"/>
          <w:szCs w:val="24"/>
        </w:rPr>
      </w:pPr>
      <w:r w:rsidRPr="00055B84">
        <w:rPr>
          <w:rFonts w:ascii="Times New Roman" w:hAnsi="Times New Roman" w:cs="Times New Roman"/>
          <w:b/>
          <w:bCs/>
          <w:sz w:val="24"/>
          <w:szCs w:val="24"/>
        </w:rPr>
        <w:t>Introduction:</w:t>
      </w:r>
      <w:r>
        <w:rPr>
          <w:rFonts w:ascii="Times New Roman" w:hAnsi="Times New Roman" w:cs="Times New Roman"/>
          <w:sz w:val="24"/>
          <w:szCs w:val="24"/>
        </w:rPr>
        <w:t xml:space="preserve"> </w:t>
      </w:r>
      <w:r w:rsidR="00546A8E" w:rsidRPr="00546A8E">
        <w:rPr>
          <w:rFonts w:ascii="Times New Roman" w:hAnsi="Times New Roman" w:cs="Times New Roman"/>
          <w:i/>
          <w:iCs/>
          <w:sz w:val="24"/>
          <w:szCs w:val="24"/>
        </w:rPr>
        <w:t>Porphyromonas gingivalis</w:t>
      </w:r>
      <w:r w:rsidR="00546A8E" w:rsidRPr="00546A8E">
        <w:rPr>
          <w:rFonts w:ascii="Times New Roman" w:hAnsi="Times New Roman" w:cs="Times New Roman"/>
          <w:sz w:val="24"/>
          <w:szCs w:val="24"/>
        </w:rPr>
        <w:t>, a keystone pathogen in periodontitis, has been increasingly associated with neurodegenerative processes through disruption of amyloid-β (Aβ) and tau protein homeostasis. These alterations contribute to neuronal dysfunction and cognitive decline, particularly impairments in spatial working memory (SWM). Hyperbaric Oxygen Therapy (HBOT) has emerged as a potential neuroprotective intervention due to its anti-inflammatory effects and ability to enhance tissue oxygenation. However, its role in modulating neurodegenerative-related biomarkers in periodontitis-associated conditions remains unclear</w:t>
      </w:r>
      <w:r>
        <w:rPr>
          <w:rFonts w:ascii="Times New Roman" w:hAnsi="Times New Roman" w:cs="Times New Roman"/>
          <w:sz w:val="24"/>
          <w:szCs w:val="24"/>
        </w:rPr>
        <w:t xml:space="preserve">. </w:t>
      </w:r>
      <w:r w:rsidRPr="00055B84">
        <w:rPr>
          <w:rFonts w:ascii="Times New Roman" w:hAnsi="Times New Roman" w:cs="Times New Roman"/>
          <w:b/>
          <w:bCs/>
          <w:sz w:val="24"/>
          <w:szCs w:val="24"/>
        </w:rPr>
        <w:t>Objective:</w:t>
      </w:r>
      <w:r>
        <w:rPr>
          <w:rFonts w:ascii="Times New Roman" w:hAnsi="Times New Roman" w:cs="Times New Roman"/>
          <w:sz w:val="24"/>
          <w:szCs w:val="24"/>
        </w:rPr>
        <w:t xml:space="preserve"> </w:t>
      </w:r>
      <w:r w:rsidRPr="00055B84">
        <w:rPr>
          <w:rFonts w:ascii="Times New Roman" w:hAnsi="Times New Roman" w:cs="Times New Roman"/>
          <w:sz w:val="24"/>
          <w:szCs w:val="24"/>
        </w:rPr>
        <w:t>This study aimed to evaluate the effects of HBOT on spatial working memory performance and salivary biomarkers of Aβ and tau in a rat model of P. gingivalis-induced periodontitis</w:t>
      </w:r>
      <w:r>
        <w:rPr>
          <w:rFonts w:ascii="Times New Roman" w:hAnsi="Times New Roman" w:cs="Times New Roman"/>
          <w:sz w:val="24"/>
          <w:szCs w:val="24"/>
        </w:rPr>
        <w:t xml:space="preserve">. </w:t>
      </w:r>
      <w:r w:rsidRPr="00055B84">
        <w:rPr>
          <w:rFonts w:ascii="Times New Roman" w:hAnsi="Times New Roman" w:cs="Times New Roman"/>
          <w:b/>
          <w:bCs/>
          <w:sz w:val="24"/>
          <w:szCs w:val="24"/>
        </w:rPr>
        <w:t>Methods:</w:t>
      </w:r>
      <w:r>
        <w:rPr>
          <w:rFonts w:ascii="Times New Roman" w:hAnsi="Times New Roman" w:cs="Times New Roman"/>
          <w:sz w:val="24"/>
          <w:szCs w:val="24"/>
        </w:rPr>
        <w:t xml:space="preserve"> </w:t>
      </w:r>
      <w:r w:rsidR="00546A8E" w:rsidRPr="00546A8E">
        <w:rPr>
          <w:rFonts w:ascii="Times New Roman" w:hAnsi="Times New Roman" w:cs="Times New Roman"/>
          <w:sz w:val="24"/>
          <w:szCs w:val="24"/>
        </w:rPr>
        <w:t xml:space="preserve">A randomized experimental study was conducted using 33 rats divided into three groups (n=11 each): negative control (C−), positive control (C+; </w:t>
      </w:r>
      <w:r w:rsidR="00546A8E" w:rsidRPr="00546A8E">
        <w:rPr>
          <w:rFonts w:ascii="Times New Roman" w:hAnsi="Times New Roman" w:cs="Times New Roman"/>
          <w:i/>
          <w:iCs/>
          <w:sz w:val="24"/>
          <w:szCs w:val="24"/>
        </w:rPr>
        <w:t>P. gingivalis</w:t>
      </w:r>
      <w:r w:rsidR="00546A8E" w:rsidRPr="00546A8E">
        <w:rPr>
          <w:rFonts w:ascii="Times New Roman" w:hAnsi="Times New Roman" w:cs="Times New Roman"/>
          <w:sz w:val="24"/>
          <w:szCs w:val="24"/>
        </w:rPr>
        <w:t xml:space="preserve"> induction), and treatment group (T; </w:t>
      </w:r>
      <w:r w:rsidR="00546A8E" w:rsidRPr="00546A8E">
        <w:rPr>
          <w:rFonts w:ascii="Times New Roman" w:hAnsi="Times New Roman" w:cs="Times New Roman"/>
          <w:i/>
          <w:iCs/>
          <w:sz w:val="24"/>
          <w:szCs w:val="24"/>
        </w:rPr>
        <w:t>P. gingivalis</w:t>
      </w:r>
      <w:r w:rsidR="00546A8E" w:rsidRPr="00546A8E">
        <w:rPr>
          <w:rFonts w:ascii="Times New Roman" w:hAnsi="Times New Roman" w:cs="Times New Roman"/>
          <w:sz w:val="24"/>
          <w:szCs w:val="24"/>
        </w:rPr>
        <w:t xml:space="preserve"> induction followed by HBOT). HBOT was administered at 2.0 atmospheres absolute (ATA) with 100% oxygen. Spatial working memory was assessed using the Y-maze spontaneous alternation test, while salivary Aβ and tau levels were measured at week 5 post-induction and after 4 weeks of HBOT.</w:t>
      </w:r>
      <w:r w:rsidR="00546A8E">
        <w:rPr>
          <w:rFonts w:ascii="Times New Roman" w:hAnsi="Times New Roman" w:cs="Times New Roman"/>
          <w:sz w:val="24"/>
          <w:szCs w:val="24"/>
        </w:rPr>
        <w:t xml:space="preserve"> </w:t>
      </w:r>
      <w:r w:rsidRPr="00055B84">
        <w:rPr>
          <w:rFonts w:ascii="Times New Roman" w:hAnsi="Times New Roman" w:cs="Times New Roman"/>
          <w:b/>
          <w:bCs/>
          <w:sz w:val="24"/>
          <w:szCs w:val="24"/>
        </w:rPr>
        <w:t>Results:</w:t>
      </w:r>
      <w:r w:rsidRPr="00546A8E">
        <w:rPr>
          <w:rFonts w:ascii="Times New Roman" w:hAnsi="Times New Roman" w:cs="Times New Roman"/>
          <w:sz w:val="24"/>
          <w:szCs w:val="24"/>
        </w:rPr>
        <w:t xml:space="preserve"> </w:t>
      </w:r>
      <w:r w:rsidR="00546A8E" w:rsidRPr="00546A8E">
        <w:rPr>
          <w:rFonts w:ascii="Times New Roman" w:hAnsi="Times New Roman" w:cs="Times New Roman"/>
          <w:sz w:val="24"/>
          <w:szCs w:val="24"/>
        </w:rPr>
        <w:t>P. gingivalis induction significantly increased Aβ and tau levels and reduced SWM performance (p &lt; 0.005). HBOT significantly decreased Aβ and tau levels and improved SWM performance compared to the untreated group (p &lt; 0.005).</w:t>
      </w:r>
      <w:r w:rsidR="00546A8E" w:rsidRPr="00546A8E">
        <w:rPr>
          <w:rFonts w:ascii="Times New Roman" w:hAnsi="Times New Roman" w:cs="Times New Roman"/>
          <w:b/>
          <w:bCs/>
          <w:sz w:val="24"/>
          <w:szCs w:val="24"/>
        </w:rPr>
        <w:t xml:space="preserve"> </w:t>
      </w:r>
      <w:r w:rsidRPr="00055B84">
        <w:rPr>
          <w:rFonts w:ascii="Times New Roman" w:hAnsi="Times New Roman" w:cs="Times New Roman"/>
          <w:b/>
          <w:bCs/>
          <w:sz w:val="24"/>
          <w:szCs w:val="24"/>
        </w:rPr>
        <w:t>Conclusion:</w:t>
      </w:r>
      <w:r>
        <w:rPr>
          <w:rFonts w:ascii="Times New Roman" w:hAnsi="Times New Roman" w:cs="Times New Roman"/>
          <w:sz w:val="24"/>
          <w:szCs w:val="24"/>
        </w:rPr>
        <w:t xml:space="preserve"> </w:t>
      </w:r>
      <w:r w:rsidR="00546A8E" w:rsidRPr="00546A8E">
        <w:rPr>
          <w:rFonts w:ascii="Times New Roman" w:hAnsi="Times New Roman" w:cs="Times New Roman"/>
          <w:sz w:val="24"/>
          <w:szCs w:val="24"/>
        </w:rPr>
        <w:t>HBOT reduces amyloid-β and tau alterations and improves spatial working memory, suggesting its potential role in mitigating neurodegenerative changes through modulation of the oral–brain axis.</w:t>
      </w:r>
    </w:p>
    <w:p w14:paraId="3506C6DA" w14:textId="07440AF9" w:rsidR="00055B84" w:rsidRPr="00055B84" w:rsidRDefault="00055B84" w:rsidP="00546A8E">
      <w:pPr>
        <w:pBdr>
          <w:top w:val="nil"/>
          <w:left w:val="nil"/>
          <w:bottom w:val="nil"/>
          <w:right w:val="nil"/>
          <w:between w:val="nil"/>
        </w:pBdr>
        <w:spacing w:after="240" w:line="360" w:lineRule="auto"/>
        <w:jc w:val="both"/>
        <w:rPr>
          <w:rFonts w:ascii="Times New Roman" w:hAnsi="Times New Roman" w:cs="Times New Roman"/>
          <w:sz w:val="24"/>
          <w:szCs w:val="24"/>
        </w:rPr>
      </w:pPr>
      <w:r w:rsidRPr="00055B84">
        <w:rPr>
          <w:rFonts w:ascii="Times New Roman" w:hAnsi="Times New Roman" w:cs="Times New Roman"/>
          <w:b/>
          <w:bCs/>
          <w:sz w:val="24"/>
          <w:szCs w:val="24"/>
        </w:rPr>
        <w:t>Keywords:</w:t>
      </w:r>
      <w:r w:rsidRPr="00055B84">
        <w:rPr>
          <w:rFonts w:ascii="Times New Roman" w:hAnsi="Times New Roman" w:cs="Times New Roman"/>
          <w:sz w:val="24"/>
          <w:szCs w:val="24"/>
        </w:rPr>
        <w:t xml:space="preserve"> Hyperbaric Oxygen Therapy; Periodontitis; Neurodegeneration; Amyloid-beta; Tau; Cognitive Function</w:t>
      </w:r>
    </w:p>
    <w:p w14:paraId="47791489" w14:textId="77777777" w:rsidR="00055B84" w:rsidRDefault="00055B84" w:rsidP="00055B84">
      <w:pPr>
        <w:pBdr>
          <w:top w:val="nil"/>
          <w:left w:val="nil"/>
          <w:bottom w:val="nil"/>
          <w:right w:val="nil"/>
          <w:between w:val="nil"/>
        </w:pBdr>
        <w:spacing w:after="240" w:line="360" w:lineRule="auto"/>
        <w:rPr>
          <w:rFonts w:ascii="Times New Roman" w:hAnsi="Times New Roman" w:cs="Times New Roman"/>
          <w:sz w:val="24"/>
          <w:szCs w:val="24"/>
        </w:rPr>
      </w:pPr>
    </w:p>
    <w:p w14:paraId="13F35C86" w14:textId="77777777" w:rsidR="00546A8E" w:rsidRDefault="00546A8E" w:rsidP="00055B84">
      <w:pPr>
        <w:pBdr>
          <w:top w:val="nil"/>
          <w:left w:val="nil"/>
          <w:bottom w:val="nil"/>
          <w:right w:val="nil"/>
          <w:between w:val="nil"/>
        </w:pBdr>
        <w:spacing w:after="240" w:line="360" w:lineRule="auto"/>
        <w:rPr>
          <w:rFonts w:ascii="Times New Roman" w:hAnsi="Times New Roman" w:cs="Times New Roman"/>
          <w:sz w:val="24"/>
          <w:szCs w:val="24"/>
        </w:rPr>
      </w:pPr>
    </w:p>
    <w:p w14:paraId="4BA2401A" w14:textId="77777777" w:rsidR="00546A8E" w:rsidRPr="005B39B6" w:rsidRDefault="00546A8E" w:rsidP="00055B84">
      <w:pPr>
        <w:pBdr>
          <w:top w:val="nil"/>
          <w:left w:val="nil"/>
          <w:bottom w:val="nil"/>
          <w:right w:val="nil"/>
          <w:between w:val="nil"/>
        </w:pBdr>
        <w:spacing w:after="240" w:line="360" w:lineRule="auto"/>
        <w:rPr>
          <w:rFonts w:ascii="Times New Roman" w:hAnsi="Times New Roman" w:cs="Times New Roman"/>
          <w:sz w:val="24"/>
          <w:szCs w:val="24"/>
        </w:rPr>
      </w:pPr>
    </w:p>
    <w:p w14:paraId="00000004" w14:textId="520D54C7" w:rsidR="00FD291B" w:rsidRPr="005B39B6" w:rsidRDefault="00417AC0" w:rsidP="00417AC0">
      <w:pPr>
        <w:pStyle w:val="Heading1"/>
        <w:numPr>
          <w:ilvl w:val="0"/>
          <w:numId w:val="9"/>
        </w:numPr>
        <w:spacing w:before="0" w:after="120" w:line="360" w:lineRule="auto"/>
        <w:jc w:val="both"/>
        <w:rPr>
          <w:rFonts w:ascii="Times New Roman" w:eastAsia="Google Sans" w:hAnsi="Times New Roman" w:cs="Times New Roman"/>
          <w:sz w:val="24"/>
          <w:szCs w:val="24"/>
        </w:rPr>
      </w:pPr>
      <w:r w:rsidRPr="005B39B6">
        <w:rPr>
          <w:rFonts w:ascii="Times New Roman" w:eastAsia="Google Sans" w:hAnsi="Times New Roman" w:cs="Times New Roman"/>
          <w:sz w:val="24"/>
          <w:szCs w:val="24"/>
        </w:rPr>
        <w:lastRenderedPageBreak/>
        <w:t>Introduction</w:t>
      </w:r>
    </w:p>
    <w:p w14:paraId="00000006" w14:textId="5C41890B" w:rsidR="00FD291B" w:rsidRDefault="00417AC0" w:rsidP="00417AC0">
      <w:pPr>
        <w:pStyle w:val="Heading2"/>
        <w:numPr>
          <w:ilvl w:val="0"/>
          <w:numId w:val="10"/>
        </w:numPr>
        <w:spacing w:before="0" w:after="120" w:line="360" w:lineRule="auto"/>
        <w:jc w:val="both"/>
        <w:rPr>
          <w:rFonts w:ascii="Times New Roman" w:eastAsia="Google Sans" w:hAnsi="Times New Roman" w:cs="Times New Roman"/>
          <w:sz w:val="24"/>
          <w:szCs w:val="24"/>
        </w:rPr>
      </w:pPr>
      <w:r w:rsidRPr="005B39B6">
        <w:rPr>
          <w:rFonts w:ascii="Times New Roman" w:eastAsia="Google Sans" w:hAnsi="Times New Roman" w:cs="Times New Roman"/>
          <w:sz w:val="24"/>
          <w:szCs w:val="24"/>
        </w:rPr>
        <w:t>Backgrounds</w:t>
      </w:r>
    </w:p>
    <w:p w14:paraId="153D9D9A" w14:textId="7EACC806" w:rsidR="008A7ED0" w:rsidRDefault="00F53D98" w:rsidP="00331C52">
      <w:pPr>
        <w:pStyle w:val="ListParagraph"/>
        <w:spacing w:line="360" w:lineRule="auto"/>
        <w:ind w:left="1080" w:firstLine="360"/>
        <w:jc w:val="both"/>
        <w:rPr>
          <w:rFonts w:ascii="Times New Roman" w:hAnsi="Times New Roman" w:cs="Times New Roman"/>
          <w:sz w:val="24"/>
          <w:szCs w:val="24"/>
        </w:rPr>
      </w:pPr>
      <w:r w:rsidRPr="00331C52">
        <w:rPr>
          <w:rFonts w:ascii="Times New Roman" w:hAnsi="Times New Roman" w:cs="Times New Roman"/>
          <w:sz w:val="24"/>
          <w:szCs w:val="24"/>
        </w:rPr>
        <w:t>Porphyromonas gingivalis (P. gingivalis), a keystone pathogen in periodontitis, has emerged as a significant contributor to neurodegenerative diseases such as Alzheimer's disease (AD) through mechanisms involving disruption of amyloid-beta (Aβ) and tau protein homeostasis, leading to cognitive deficits</w:t>
      </w:r>
      <w:r w:rsidR="00F620D2" w:rsidRPr="00331C52">
        <w:rPr>
          <w:rFonts w:ascii="Times New Roman" w:hAnsi="Times New Roman" w:cs="Times New Roman"/>
          <w:sz w:val="24"/>
          <w:szCs w:val="24"/>
        </w:rPr>
        <w:t>,</w:t>
      </w:r>
      <w:r w:rsidRPr="00331C52">
        <w:rPr>
          <w:rFonts w:ascii="Times New Roman" w:hAnsi="Times New Roman" w:cs="Times New Roman"/>
          <w:sz w:val="24"/>
          <w:szCs w:val="24"/>
        </w:rPr>
        <w:t xml:space="preserve"> including spatial working memory impairment</w:t>
      </w:r>
      <w:r w:rsidR="00DA27D9">
        <w:rPr>
          <w:rFonts w:ascii="Times New Roman" w:hAnsi="Times New Roman" w:cs="Times New Roman"/>
          <w:sz w:val="24"/>
          <w:szCs w:val="24"/>
        </w:rPr>
        <w:t xml:space="preserve"> </w:t>
      </w:r>
      <w:r w:rsidR="00F620D2" w:rsidRPr="00331C52">
        <w:rPr>
          <w:rFonts w:ascii="Times New Roman" w:hAnsi="Times New Roman" w:cs="Times New Roman"/>
          <w:sz w:val="24"/>
          <w:szCs w:val="24"/>
        </w:rPr>
        <w:fldChar w:fldCharType="begin" w:fldLock="1"/>
      </w:r>
      <w:r w:rsidR="00F620D2" w:rsidRPr="00331C52">
        <w:rPr>
          <w:rFonts w:ascii="Times New Roman" w:hAnsi="Times New Roman" w:cs="Times New Roman"/>
          <w:sz w:val="24"/>
          <w:szCs w:val="24"/>
        </w:rPr>
        <w:instrText>ADDIN CSL_CITATION {"citationItems":[{"id":"ITEM-1","itemData":{"author":[{"dropping-particle":"","family":"Gui","given":"Shuge","non-dropping-particle":"","parse-names":false,"suffix":""},{"dropping-particle":"","family":", Fan Zeng , Zhou Wu,","given":"Saori Nonaka","non-dropping-particle":"","parse-names":false,"suffix":""},{"dropping-particle":"","family":"Ni","given":"Junjun","non-dropping-particle":"","parse-names":false,"suffix":""},{"dropping-particle":"","family":", Hiroshi Nakanishi , Masafumi Moriyama and Takashi Kanematsu","given":"Tomomi Sano","non-dropping-particle":"","parse-names":false,"suffix":""}],"container-title":"Journal of Alzheimer’s Disease","id":"ITEM-1","issue":"1","issued":{"date-parts":[["2025"]]},"page":"302-316","title":"Lipopolysaccharides from Porphyromonas gingivalis indirectly induce neuronal GSK3β-dependent synaptic defects and cause cognitive decline in a low-amyloid- β-concentration environment in Alzheimer’s disease","type":"article-journal","volume":"105"},"uris":["http://www.mendeley.com/documents/?uuid=20fedb77-64a9-46c9-80a4-13a78e6ff3cf"]},{"id":"ITEM-2","itemData":{"author":[{"dropping-particle":"","family":"Aravindraja","given":"Chairmandurai","non-dropping-particle":"","parse-names":false,"suffix":""},{"dropping-particle":"","family":"Sakthivel","given":"Ravi","non-dropping-particle":"","parse-names":false,"suffix":""},{"dropping-particle":"","family":"Liu","given":"Xuefei","non-dropping-particle":"","parse-names":false,"suffix":""},{"dropping-particle":"","family":"Goodwin","given":"Marshall","non-dropping-particle":"","parse-names":false,"suffix":""},{"dropping-particle":"","family":"Veena","given":"Patnam","non-dropping-particle":"","parse-names":false,"suffix":""},{"dropping-particle":"","family":"Godovikova","given":"Valentina","non-dropping-particle":"","parse-names":false,"suffix":""},{"dropping-particle":"","family":"Fenno","given":"J Christopher","non-dropping-particle":"","parse-names":false,"suffix":""},{"dropping-particle":"","family":"Levites","given":"Yona","non-dropping-particle":"","parse-names":false,"suffix":""},{"dropping-particle":"","family":"Golde","given":"Todd E","non-dropping-particle":"","parse-names":false,"suffix":""},{"dropping-particle":"","family":"Kesavalu","given":"Lakshmyya","non-dropping-particle":"","parse-names":false,"suffix":""}],"container-title":"International Journal of Molecular Sciences Article","id":"ITEM-2","issued":{"date-parts":[["2022"]]},"title":"Intracerebral but Not Peripheral Infection of Live Porphyromonas gingivalis Exacerbates Alzheimer ’ s Disease Like Amyloid Pathology in APP-TgCRND8 Mice","type":"article-journal"},"uris":["http://www.mendeley.com/documents/?uuid=f95cfcd8-0a80-4bb5-903f-f94794e99b73"]}],"mendeley":{"formattedCitation":"(Aravindraja &lt;i&gt;et al.&lt;/i&gt;, 2022; Gui &lt;i&gt;et al.&lt;/i&gt;, 2025)","plainTextFormattedCitation":"(Aravindraja et al., 2022; Gui et al., 2025)","previouslyFormattedCitation":"(Aravindraja &lt;i&gt;et al.&lt;/i&gt;, 2022; Gui &lt;i&gt;et al.&lt;/i&gt;, 2025)"},"properties":{"noteIndex":0},"schema":"https://github.com/citation-style-language/schema/raw/master/csl-citation.json"}</w:instrText>
      </w:r>
      <w:r w:rsidR="00F620D2" w:rsidRPr="00331C52">
        <w:rPr>
          <w:rFonts w:ascii="Times New Roman" w:hAnsi="Times New Roman" w:cs="Times New Roman"/>
          <w:sz w:val="24"/>
          <w:szCs w:val="24"/>
        </w:rPr>
        <w:fldChar w:fldCharType="separate"/>
      </w:r>
      <w:r w:rsidR="00F620D2" w:rsidRPr="00331C52">
        <w:rPr>
          <w:rFonts w:ascii="Times New Roman" w:hAnsi="Times New Roman" w:cs="Times New Roman"/>
          <w:noProof/>
          <w:sz w:val="24"/>
          <w:szCs w:val="24"/>
        </w:rPr>
        <w:t>(Aravindraja et al., 2022; Gui et al., 2025)</w:t>
      </w:r>
      <w:r w:rsidR="00F620D2" w:rsidRPr="00331C52">
        <w:rPr>
          <w:rFonts w:ascii="Times New Roman" w:hAnsi="Times New Roman" w:cs="Times New Roman"/>
          <w:sz w:val="24"/>
          <w:szCs w:val="24"/>
        </w:rPr>
        <w:fldChar w:fldCharType="end"/>
      </w:r>
      <w:r w:rsidR="00DA27D9">
        <w:rPr>
          <w:rFonts w:ascii="Times New Roman" w:hAnsi="Times New Roman" w:cs="Times New Roman"/>
          <w:sz w:val="24"/>
          <w:szCs w:val="24"/>
        </w:rPr>
        <w:t>.</w:t>
      </w:r>
      <w:r w:rsidR="00F620D2" w:rsidRPr="00331C52">
        <w:rPr>
          <w:rFonts w:ascii="Times New Roman" w:hAnsi="Times New Roman" w:cs="Times New Roman"/>
          <w:sz w:val="24"/>
          <w:szCs w:val="24"/>
        </w:rPr>
        <w:t xml:space="preserve"> Recent studies have demonstrated that P. gingivalis and its virulence factors</w:t>
      </w:r>
      <w:r w:rsidR="00331C52">
        <w:rPr>
          <w:rFonts w:ascii="Times New Roman" w:hAnsi="Times New Roman" w:cs="Times New Roman"/>
          <w:sz w:val="24"/>
          <w:szCs w:val="24"/>
        </w:rPr>
        <w:t xml:space="preserve">, </w:t>
      </w:r>
      <w:r w:rsidR="00F620D2" w:rsidRPr="00331C52">
        <w:rPr>
          <w:rFonts w:ascii="Times New Roman" w:hAnsi="Times New Roman" w:cs="Times New Roman"/>
          <w:sz w:val="24"/>
          <w:szCs w:val="24"/>
        </w:rPr>
        <w:t>particularly lipopolysaccharides (LPS) and gingipains</w:t>
      </w:r>
      <w:r w:rsidR="00331C52">
        <w:rPr>
          <w:rFonts w:ascii="Times New Roman" w:hAnsi="Times New Roman" w:cs="Times New Roman"/>
          <w:sz w:val="24"/>
          <w:szCs w:val="24"/>
        </w:rPr>
        <w:t>,</w:t>
      </w:r>
      <w:r w:rsidR="00F620D2" w:rsidRPr="00331C52">
        <w:rPr>
          <w:rFonts w:ascii="Times New Roman" w:hAnsi="Times New Roman" w:cs="Times New Roman"/>
          <w:sz w:val="24"/>
          <w:szCs w:val="24"/>
        </w:rPr>
        <w:t xml:space="preserve"> can invade the brain</w:t>
      </w:r>
      <w:r w:rsidR="008E3CE9">
        <w:rPr>
          <w:rFonts w:ascii="Times New Roman" w:hAnsi="Times New Roman" w:cs="Times New Roman"/>
          <w:sz w:val="24"/>
          <w:szCs w:val="24"/>
        </w:rPr>
        <w:t xml:space="preserve"> and</w:t>
      </w:r>
      <w:r w:rsidR="00F620D2" w:rsidRPr="00331C52">
        <w:rPr>
          <w:rFonts w:ascii="Times New Roman" w:hAnsi="Times New Roman" w:cs="Times New Roman"/>
          <w:sz w:val="24"/>
          <w:szCs w:val="24"/>
        </w:rPr>
        <w:t xml:space="preserve"> induce neuroinflammation</w:t>
      </w:r>
      <w:r w:rsidR="005A3041">
        <w:rPr>
          <w:rFonts w:ascii="Times New Roman" w:hAnsi="Times New Roman" w:cs="Times New Roman"/>
          <w:sz w:val="24"/>
          <w:szCs w:val="24"/>
        </w:rPr>
        <w:t xml:space="preserve">. </w:t>
      </w:r>
      <w:r w:rsidR="00A875CA">
        <w:rPr>
          <w:rFonts w:ascii="Times New Roman" w:hAnsi="Times New Roman" w:cs="Times New Roman"/>
          <w:sz w:val="24"/>
          <w:szCs w:val="24"/>
        </w:rPr>
        <w:t>Under</w:t>
      </w:r>
      <w:r w:rsidR="00A95751">
        <w:rPr>
          <w:rFonts w:ascii="Times New Roman" w:hAnsi="Times New Roman" w:cs="Times New Roman"/>
          <w:sz w:val="24"/>
          <w:szCs w:val="24"/>
        </w:rPr>
        <w:t xml:space="preserve"> chronic inflammatory </w:t>
      </w:r>
      <w:r w:rsidR="00A875CA">
        <w:rPr>
          <w:rFonts w:ascii="Times New Roman" w:hAnsi="Times New Roman" w:cs="Times New Roman"/>
          <w:sz w:val="24"/>
          <w:szCs w:val="24"/>
        </w:rPr>
        <w:t>conditions</w:t>
      </w:r>
      <w:r w:rsidR="008E3CE9">
        <w:rPr>
          <w:rFonts w:ascii="Times New Roman" w:hAnsi="Times New Roman" w:cs="Times New Roman"/>
          <w:sz w:val="24"/>
          <w:szCs w:val="24"/>
        </w:rPr>
        <w:t>,</w:t>
      </w:r>
      <w:r w:rsidR="00A95751">
        <w:rPr>
          <w:rFonts w:ascii="Times New Roman" w:hAnsi="Times New Roman" w:cs="Times New Roman"/>
          <w:sz w:val="24"/>
          <w:szCs w:val="24"/>
        </w:rPr>
        <w:t xml:space="preserve"> </w:t>
      </w:r>
      <w:r w:rsidR="005A3041" w:rsidRPr="005A3041">
        <w:rPr>
          <w:rFonts w:ascii="Times New Roman" w:hAnsi="Times New Roman" w:cs="Times New Roman"/>
          <w:sz w:val="24"/>
          <w:szCs w:val="24"/>
        </w:rPr>
        <w:t>Aβ is produced from amyloid precursor protein (APP) by sequential β</w:t>
      </w:r>
      <w:r w:rsidR="005A3041" w:rsidRPr="005A3041">
        <w:rPr>
          <w:rFonts w:ascii="Times New Roman" w:hAnsi="Times New Roman" w:cs="Times New Roman"/>
          <w:sz w:val="24"/>
          <w:szCs w:val="24"/>
        </w:rPr>
        <w:noBreakHyphen/>
        <w:t xml:space="preserve"> and γ</w:t>
      </w:r>
      <w:r w:rsidR="005A3041" w:rsidRPr="005A3041">
        <w:rPr>
          <w:rFonts w:ascii="Times New Roman" w:hAnsi="Times New Roman" w:cs="Times New Roman"/>
          <w:sz w:val="24"/>
          <w:szCs w:val="24"/>
        </w:rPr>
        <w:noBreakHyphen/>
        <w:t>secretase cleavage</w:t>
      </w:r>
      <w:r w:rsidR="008E3CE9">
        <w:rPr>
          <w:rFonts w:ascii="Times New Roman" w:hAnsi="Times New Roman" w:cs="Times New Roman"/>
          <w:sz w:val="24"/>
          <w:szCs w:val="24"/>
        </w:rPr>
        <w:t>, which</w:t>
      </w:r>
      <w:r w:rsidR="00A95751">
        <w:rPr>
          <w:rFonts w:ascii="Times New Roman" w:hAnsi="Times New Roman" w:cs="Times New Roman"/>
          <w:sz w:val="24"/>
          <w:szCs w:val="24"/>
        </w:rPr>
        <w:t xml:space="preserve"> </w:t>
      </w:r>
      <w:r w:rsidR="005A3041" w:rsidRPr="005A3041">
        <w:rPr>
          <w:rFonts w:ascii="Times New Roman" w:hAnsi="Times New Roman" w:cs="Times New Roman"/>
          <w:sz w:val="24"/>
          <w:szCs w:val="24"/>
        </w:rPr>
        <w:t>is shifted</w:t>
      </w:r>
      <w:r w:rsidR="005A3041">
        <w:rPr>
          <w:rFonts w:ascii="Times New Roman" w:hAnsi="Times New Roman" w:cs="Times New Roman"/>
          <w:sz w:val="24"/>
          <w:szCs w:val="24"/>
        </w:rPr>
        <w:t xml:space="preserve"> by </w:t>
      </w:r>
      <w:r w:rsidR="005A3041" w:rsidRPr="005A3041">
        <w:rPr>
          <w:rFonts w:ascii="Times New Roman" w:hAnsi="Times New Roman" w:cs="Times New Roman"/>
          <w:sz w:val="24"/>
          <w:szCs w:val="24"/>
        </w:rPr>
        <w:t xml:space="preserve">overproduction of </w:t>
      </w:r>
      <w:r w:rsidR="008E3CE9">
        <w:rPr>
          <w:rFonts w:ascii="Times New Roman" w:hAnsi="Times New Roman" w:cs="Times New Roman"/>
          <w:sz w:val="24"/>
          <w:szCs w:val="24"/>
        </w:rPr>
        <w:t>aggregation-prone</w:t>
      </w:r>
      <w:r w:rsidR="005A3041" w:rsidRPr="005A3041">
        <w:rPr>
          <w:rFonts w:ascii="Times New Roman" w:hAnsi="Times New Roman" w:cs="Times New Roman"/>
          <w:sz w:val="24"/>
          <w:szCs w:val="24"/>
        </w:rPr>
        <w:t xml:space="preserve"> Aβ42 and insufficient clearance</w:t>
      </w:r>
      <w:r w:rsidR="008E3CE9">
        <w:rPr>
          <w:rFonts w:ascii="Times New Roman" w:hAnsi="Times New Roman" w:cs="Times New Roman"/>
          <w:sz w:val="24"/>
          <w:szCs w:val="24"/>
        </w:rPr>
        <w:t>,</w:t>
      </w:r>
      <w:r w:rsidR="00A95751">
        <w:rPr>
          <w:rFonts w:ascii="Times New Roman" w:hAnsi="Times New Roman" w:cs="Times New Roman"/>
          <w:sz w:val="24"/>
          <w:szCs w:val="24"/>
        </w:rPr>
        <w:t xml:space="preserve"> causing </w:t>
      </w:r>
      <w:r w:rsidR="00A95751" w:rsidRPr="005A3041">
        <w:rPr>
          <w:rFonts w:ascii="Times New Roman" w:hAnsi="Times New Roman" w:cs="Times New Roman"/>
          <w:sz w:val="24"/>
          <w:szCs w:val="24"/>
        </w:rPr>
        <w:t>Aβ</w:t>
      </w:r>
      <w:r w:rsidR="00A95751" w:rsidRPr="00331C52">
        <w:rPr>
          <w:rFonts w:ascii="Times New Roman" w:hAnsi="Times New Roman" w:cs="Times New Roman"/>
          <w:sz w:val="24"/>
          <w:szCs w:val="24"/>
        </w:rPr>
        <w:t xml:space="preserve"> </w:t>
      </w:r>
      <w:r w:rsidR="00A95751">
        <w:rPr>
          <w:rFonts w:ascii="Times New Roman" w:hAnsi="Times New Roman" w:cs="Times New Roman"/>
          <w:sz w:val="24"/>
          <w:szCs w:val="24"/>
        </w:rPr>
        <w:t>accumulation</w:t>
      </w:r>
      <w:r w:rsidR="008E3CE9">
        <w:rPr>
          <w:rFonts w:ascii="Times New Roman" w:hAnsi="Times New Roman" w:cs="Times New Roman"/>
          <w:sz w:val="24"/>
          <w:szCs w:val="24"/>
        </w:rPr>
        <w:t>.</w:t>
      </w:r>
      <w:r w:rsidR="00A95751">
        <w:rPr>
          <w:rFonts w:ascii="Times New Roman" w:hAnsi="Times New Roman" w:cs="Times New Roman"/>
          <w:sz w:val="24"/>
          <w:szCs w:val="24"/>
        </w:rPr>
        <w:t xml:space="preserve"> </w:t>
      </w:r>
      <w:r w:rsidR="00A95751">
        <w:rPr>
          <w:rFonts w:ascii="Times New Roman" w:hAnsi="Times New Roman" w:cs="Times New Roman"/>
          <w:sz w:val="24"/>
          <w:szCs w:val="24"/>
        </w:rPr>
        <w:fldChar w:fldCharType="begin" w:fldLock="1"/>
      </w:r>
      <w:r w:rsidR="00A95751">
        <w:rPr>
          <w:rFonts w:ascii="Times New Roman" w:hAnsi="Times New Roman" w:cs="Times New Roman"/>
          <w:sz w:val="24"/>
          <w:szCs w:val="24"/>
        </w:rPr>
        <w:instrText>ADDIN CSL_CITATION {"citationItems":[{"id":"ITEM-1","itemData":{"DOI":"10.1038/s41380-021-01249-0","author":[{"dropping-particle":"","family":"Hampel","given":"Harald","non-dropping-particle":"","parse-names":false,"suffix":""},{"dropping-particle":"","family":"Hardy","given":"John","non-dropping-particle":"","parse-names":false,"suffix":""},{"dropping-particle":"","family":"Blennow","given":"Kaj","non-dropping-particle":"","parse-names":false,"suffix":""},{"dropping-particle":"","family":"Chen","given":"Christopher","non-dropping-particle":"","parse-names":false,"suffix":""},{"dropping-particle":"","family":"Perry","given":"George","non-dropping-particle":"","parse-names":false,"suffix":""},{"dropping-particle":"","family":"Kim","given":"Seung Hyun","non-dropping-particle":"","parse-names":false,"suffix":""},{"dropping-particle":"","family":"Victor L. Villemagne , , Paul Aisen, Michele Vendruscolo , Takeshi Iwatsubo, Colin L. Masters, Min Cho, Lars Lannfelt,","given":"Jeffrey L. Cummings and Andrea Vergallo","non-dropping-particle":"","parse-names":false,"suffix":""}],"id":"ITEM-1","issue":"July","issued":{"date-parts":[["2021"]]},"title":"The Amyloid- β Pathway in Alzheimer ’ s Disease","type":"article-journal"},"uris":["http://www.mendeley.com/documents/?uuid=2a27b443-e2a6-4d55-adc4-e9a9bdbba0ae"]}],"mendeley":{"formattedCitation":"(Hampel &lt;i&gt;et al.&lt;/i&gt;, 2021)","plainTextFormattedCitation":"(Hampel et al., 2021)","previouslyFormattedCitation":"(Hampel &lt;i&gt;et al.&lt;/i&gt;, 2021)"},"properties":{"noteIndex":0},"schema":"https://github.com/citation-style-language/schema/raw/master/csl-citation.json"}</w:instrText>
      </w:r>
      <w:r w:rsidR="00A95751">
        <w:rPr>
          <w:rFonts w:ascii="Times New Roman" w:hAnsi="Times New Roman" w:cs="Times New Roman"/>
          <w:sz w:val="24"/>
          <w:szCs w:val="24"/>
        </w:rPr>
        <w:fldChar w:fldCharType="separate"/>
      </w:r>
      <w:r w:rsidR="00A95751" w:rsidRPr="00A95751">
        <w:rPr>
          <w:rFonts w:ascii="Times New Roman" w:hAnsi="Times New Roman" w:cs="Times New Roman"/>
          <w:noProof/>
          <w:sz w:val="24"/>
          <w:szCs w:val="24"/>
        </w:rPr>
        <w:t xml:space="preserve">(Hampel </w:t>
      </w:r>
      <w:r w:rsidR="00A95751" w:rsidRPr="00A95751">
        <w:rPr>
          <w:rFonts w:ascii="Times New Roman" w:hAnsi="Times New Roman" w:cs="Times New Roman"/>
          <w:i/>
          <w:noProof/>
          <w:sz w:val="24"/>
          <w:szCs w:val="24"/>
        </w:rPr>
        <w:t>et al.</w:t>
      </w:r>
      <w:r w:rsidR="00A95751" w:rsidRPr="00A95751">
        <w:rPr>
          <w:rFonts w:ascii="Times New Roman" w:hAnsi="Times New Roman" w:cs="Times New Roman"/>
          <w:noProof/>
          <w:sz w:val="24"/>
          <w:szCs w:val="24"/>
        </w:rPr>
        <w:t>, 2021)</w:t>
      </w:r>
      <w:r w:rsidR="00A95751">
        <w:rPr>
          <w:rFonts w:ascii="Times New Roman" w:hAnsi="Times New Roman" w:cs="Times New Roman"/>
          <w:sz w:val="24"/>
          <w:szCs w:val="24"/>
        </w:rPr>
        <w:fldChar w:fldCharType="end"/>
      </w:r>
      <w:r w:rsidR="00A95751">
        <w:rPr>
          <w:rFonts w:ascii="Times New Roman" w:hAnsi="Times New Roman" w:cs="Times New Roman"/>
          <w:sz w:val="24"/>
          <w:szCs w:val="24"/>
        </w:rPr>
        <w:t xml:space="preserve">. </w:t>
      </w:r>
      <w:r w:rsidR="00A95751" w:rsidRPr="00A95751">
        <w:rPr>
          <w:rFonts w:ascii="Times New Roman" w:hAnsi="Times New Roman" w:cs="Times New Roman"/>
          <w:sz w:val="24"/>
          <w:szCs w:val="24"/>
        </w:rPr>
        <w:t>Tau normally stabilizes microtubules and supports axonal transport and synaptic integrity</w:t>
      </w:r>
      <w:r w:rsidR="008E3CE9">
        <w:rPr>
          <w:rFonts w:ascii="Times New Roman" w:hAnsi="Times New Roman" w:cs="Times New Roman"/>
          <w:sz w:val="24"/>
          <w:szCs w:val="24"/>
        </w:rPr>
        <w:t>. Under the</w:t>
      </w:r>
      <w:r w:rsidR="00A95751">
        <w:rPr>
          <w:rFonts w:ascii="Times New Roman" w:hAnsi="Times New Roman" w:cs="Times New Roman"/>
          <w:sz w:val="24"/>
          <w:szCs w:val="24"/>
        </w:rPr>
        <w:t xml:space="preserve"> same conditions</w:t>
      </w:r>
      <w:r w:rsidR="00762D5F">
        <w:rPr>
          <w:rFonts w:ascii="Times New Roman" w:hAnsi="Times New Roman" w:cs="Times New Roman"/>
          <w:sz w:val="24"/>
          <w:szCs w:val="24"/>
        </w:rPr>
        <w:t>,</w:t>
      </w:r>
      <w:r w:rsidR="00A95751">
        <w:rPr>
          <w:rFonts w:ascii="Times New Roman" w:hAnsi="Times New Roman" w:cs="Times New Roman"/>
          <w:sz w:val="24"/>
          <w:szCs w:val="24"/>
        </w:rPr>
        <w:t xml:space="preserve"> h</w:t>
      </w:r>
      <w:r w:rsidR="00A95751" w:rsidRPr="00A95751">
        <w:rPr>
          <w:rFonts w:ascii="Times New Roman" w:hAnsi="Times New Roman" w:cs="Times New Roman"/>
          <w:sz w:val="24"/>
          <w:szCs w:val="24"/>
        </w:rPr>
        <w:t>yperphosphorylation of tau by kinases such as GSK3β, JNK</w:t>
      </w:r>
      <w:r w:rsidR="008E3CE9">
        <w:rPr>
          <w:rFonts w:ascii="Times New Roman" w:hAnsi="Times New Roman" w:cs="Times New Roman"/>
          <w:sz w:val="24"/>
          <w:szCs w:val="24"/>
        </w:rPr>
        <w:t>,</w:t>
      </w:r>
      <w:r w:rsidR="00A95751" w:rsidRPr="00A95751">
        <w:rPr>
          <w:rFonts w:ascii="Times New Roman" w:hAnsi="Times New Roman" w:cs="Times New Roman"/>
          <w:sz w:val="24"/>
          <w:szCs w:val="24"/>
        </w:rPr>
        <w:t xml:space="preserve"> and CaMKII causes dissociation from microtubules, microtubule destabilization, and formation of soluble phospho</w:t>
      </w:r>
      <w:r w:rsidR="00A95751" w:rsidRPr="00A95751">
        <w:rPr>
          <w:rFonts w:ascii="Times New Roman" w:hAnsi="Times New Roman" w:cs="Times New Roman"/>
          <w:sz w:val="24"/>
          <w:szCs w:val="24"/>
        </w:rPr>
        <w:noBreakHyphen/>
        <w:t>tau oligomers and eventually paired helical filaments and tangles</w:t>
      </w:r>
      <w:r w:rsidR="008E3CE9">
        <w:rPr>
          <w:rFonts w:ascii="Times New Roman" w:hAnsi="Times New Roman" w:cs="Times New Roman"/>
          <w:sz w:val="24"/>
          <w:szCs w:val="24"/>
        </w:rPr>
        <w:t>.</w:t>
      </w:r>
      <w:r w:rsidR="00A95751">
        <w:rPr>
          <w:rFonts w:ascii="Times New Roman" w:hAnsi="Times New Roman" w:cs="Times New Roman"/>
          <w:sz w:val="24"/>
          <w:szCs w:val="24"/>
        </w:rPr>
        <w:t xml:space="preserve"> </w:t>
      </w:r>
      <w:r w:rsidR="00A95751">
        <w:rPr>
          <w:rFonts w:ascii="Times New Roman" w:hAnsi="Times New Roman" w:cs="Times New Roman"/>
          <w:sz w:val="24"/>
          <w:szCs w:val="24"/>
        </w:rPr>
        <w:fldChar w:fldCharType="begin" w:fldLock="1"/>
      </w:r>
      <w:r w:rsidR="008A7ED0">
        <w:rPr>
          <w:rFonts w:ascii="Times New Roman" w:hAnsi="Times New Roman" w:cs="Times New Roman"/>
          <w:sz w:val="24"/>
          <w:szCs w:val="24"/>
        </w:rPr>
        <w:instrText>ADDIN CSL_CITATION {"citationItems":[{"id":"ITEM-1","itemData":{"DOI":"10.1007/s00401-020-02196-w","ISBN":"0123456789","ISSN":"1432-0533","author":[{"dropping-particle":"","family":"Kent","given":"Sarah A","non-dropping-particle":"","parse-names":false,"suffix":""},{"dropping-particle":"","family":"Spires","given":"Tara L","non-dropping-particle":"","parse-names":false,"suffix":""},{"dropping-particle":"","family":"Claire","given":"Jones","non-dropping-particle":"","parse-names":false,"suffix":""}],"container-title":"Acta Neuropathologica","id":"ITEM-1","issue":"4","issued":{"date-parts":[["2020"]]},"number-of-pages":"417-447","publisher":"Springer Berlin Heidelberg","title":"The physiological roles of tau and Aβ : implications for Alzheimer ’ s disease pathology and therapeutics","type":"book","volume":"140"},"uris":["http://www.mendeley.com/documents/?uuid=d640ceac-0ac1-4392-ab54-e14e69967c5c"]},{"id":"ITEM-2","itemData":{"DOI":"10.1186/s40035-025-00479-4","ISSN":"2047-9158","author":[{"dropping-particle":"","family":"Nam","given":"Yunkwon","non-dropping-particle":"","parse-names":false,"suffix":""},{"dropping-particle":"","family":"Shin","given":"Soo Jung","non-dropping-particle":"","parse-names":false,"suffix":""},{"dropping-particle":"","family":"Kumar","given":"Vijay","non-dropping-particle":"","parse-names":false,"suffix":""},{"dropping-particle":"","family":"Won","given":"Jihyeon","non-dropping-particle":"","parse-names":false,"suffix":""},{"dropping-particle":"","family":"Kim","given":"Sujin","non-dropping-particle":"","parse-names":false,"suffix":""},{"dropping-particle":"","family":"Moon","given":"Minho","non-dropping-particle":"","parse-names":false,"suffix":""}],"container-title":"Translational Neurodegeneration","id":"ITEM-2","issued":{"date-parts":[["2025"]]},"page":"1-16","publisher":"BioMed Central","title":"Dual modulation of amyloid beta and tau aggregation and dissociation in Alzheimer ’ s disease : a comprehensive review of the characteristics and therapeutic strategies","type":"article-journal"},"uris":["http://www.mendeley.com/documents/?uuid=6ef8b6a8-de53-4198-a88c-4696dbb4143c"]}],"mendeley":{"formattedCitation":"(Kent, Spires and Claire, 2020; Nam &lt;i&gt;et al.&lt;/i&gt;, 2025)","plainTextFormattedCitation":"(Kent, Spires and Claire, 2020; Nam et al., 2025)","previouslyFormattedCitation":"(Kent, Spires and Claire, 2020; Nam &lt;i&gt;et al.&lt;/i&gt;, 2025)"},"properties":{"noteIndex":0},"schema":"https://github.com/citation-style-language/schema/raw/master/csl-citation.json"}</w:instrText>
      </w:r>
      <w:r w:rsidR="00A95751">
        <w:rPr>
          <w:rFonts w:ascii="Times New Roman" w:hAnsi="Times New Roman" w:cs="Times New Roman"/>
          <w:sz w:val="24"/>
          <w:szCs w:val="24"/>
        </w:rPr>
        <w:fldChar w:fldCharType="separate"/>
      </w:r>
      <w:r w:rsidR="00A95751" w:rsidRPr="00A95751">
        <w:rPr>
          <w:rFonts w:ascii="Times New Roman" w:hAnsi="Times New Roman" w:cs="Times New Roman"/>
          <w:noProof/>
          <w:sz w:val="24"/>
          <w:szCs w:val="24"/>
        </w:rPr>
        <w:t xml:space="preserve">(Kent, Spires and Claire, 2020; Nam </w:t>
      </w:r>
      <w:r w:rsidR="00A95751" w:rsidRPr="00A95751">
        <w:rPr>
          <w:rFonts w:ascii="Times New Roman" w:hAnsi="Times New Roman" w:cs="Times New Roman"/>
          <w:i/>
          <w:noProof/>
          <w:sz w:val="24"/>
          <w:szCs w:val="24"/>
        </w:rPr>
        <w:t>et al.</w:t>
      </w:r>
      <w:r w:rsidR="00A95751" w:rsidRPr="00A95751">
        <w:rPr>
          <w:rFonts w:ascii="Times New Roman" w:hAnsi="Times New Roman" w:cs="Times New Roman"/>
          <w:noProof/>
          <w:sz w:val="24"/>
          <w:szCs w:val="24"/>
        </w:rPr>
        <w:t>, 2025)</w:t>
      </w:r>
      <w:r w:rsidR="00A95751">
        <w:rPr>
          <w:rFonts w:ascii="Times New Roman" w:hAnsi="Times New Roman" w:cs="Times New Roman"/>
          <w:sz w:val="24"/>
          <w:szCs w:val="24"/>
        </w:rPr>
        <w:fldChar w:fldCharType="end"/>
      </w:r>
      <w:r w:rsidR="00A95751">
        <w:rPr>
          <w:rFonts w:ascii="Times New Roman" w:hAnsi="Times New Roman" w:cs="Times New Roman"/>
          <w:sz w:val="24"/>
          <w:szCs w:val="24"/>
        </w:rPr>
        <w:t>. A</w:t>
      </w:r>
      <w:r w:rsidR="00F620D2" w:rsidRPr="00331C52">
        <w:rPr>
          <w:rFonts w:ascii="Times New Roman" w:hAnsi="Times New Roman" w:cs="Times New Roman"/>
          <w:sz w:val="24"/>
          <w:szCs w:val="24"/>
        </w:rPr>
        <w:t xml:space="preserve">ll of which are hallmarks of </w:t>
      </w:r>
      <w:r w:rsidR="00A95751">
        <w:rPr>
          <w:rFonts w:ascii="Times New Roman" w:hAnsi="Times New Roman" w:cs="Times New Roman"/>
          <w:sz w:val="24"/>
          <w:szCs w:val="24"/>
        </w:rPr>
        <w:t>NDD</w:t>
      </w:r>
      <w:r w:rsidR="008A7ED0">
        <w:rPr>
          <w:rFonts w:ascii="Times New Roman" w:hAnsi="Times New Roman" w:cs="Times New Roman"/>
          <w:sz w:val="24"/>
          <w:szCs w:val="24"/>
        </w:rPr>
        <w:t xml:space="preserve">-related </w:t>
      </w:r>
      <w:r w:rsidR="00F620D2" w:rsidRPr="00331C52">
        <w:rPr>
          <w:rFonts w:ascii="Times New Roman" w:hAnsi="Times New Roman" w:cs="Times New Roman"/>
          <w:sz w:val="24"/>
          <w:szCs w:val="24"/>
        </w:rPr>
        <w:t>AD pathology</w:t>
      </w:r>
      <w:r w:rsidR="008E3CE9">
        <w:rPr>
          <w:rFonts w:ascii="Times New Roman" w:hAnsi="Times New Roman" w:cs="Times New Roman"/>
          <w:sz w:val="24"/>
          <w:szCs w:val="24"/>
        </w:rPr>
        <w:t>,</w:t>
      </w:r>
      <w:r w:rsidR="008A7ED0">
        <w:rPr>
          <w:rFonts w:ascii="Times New Roman" w:hAnsi="Times New Roman" w:cs="Times New Roman"/>
          <w:sz w:val="24"/>
          <w:szCs w:val="24"/>
        </w:rPr>
        <w:t xml:space="preserve"> </w:t>
      </w:r>
      <w:r w:rsidR="008A7ED0" w:rsidRPr="008A7ED0">
        <w:rPr>
          <w:rFonts w:ascii="Times New Roman" w:hAnsi="Times New Roman" w:cs="Times New Roman"/>
          <w:sz w:val="24"/>
          <w:szCs w:val="24"/>
        </w:rPr>
        <w:t>combined Aβ–tau synaptic toxicity is strongly linked to early memory and SWM impairment</w:t>
      </w:r>
      <w:r w:rsidR="008E3CE9">
        <w:rPr>
          <w:rFonts w:ascii="Times New Roman" w:hAnsi="Times New Roman" w:cs="Times New Roman"/>
          <w:sz w:val="24"/>
          <w:szCs w:val="24"/>
        </w:rPr>
        <w:t>.</w:t>
      </w:r>
      <w:r w:rsidR="008A7ED0">
        <w:rPr>
          <w:rFonts w:ascii="Times New Roman" w:hAnsi="Times New Roman" w:cs="Times New Roman"/>
          <w:sz w:val="24"/>
          <w:szCs w:val="24"/>
        </w:rPr>
        <w:t xml:space="preserve"> </w:t>
      </w:r>
      <w:r w:rsidR="008A7ED0">
        <w:rPr>
          <w:rFonts w:ascii="Times New Roman" w:hAnsi="Times New Roman" w:cs="Times New Roman"/>
          <w:sz w:val="24"/>
          <w:szCs w:val="24"/>
        </w:rPr>
        <w:fldChar w:fldCharType="begin" w:fldLock="1"/>
      </w:r>
      <w:r w:rsidR="00762D5F">
        <w:rPr>
          <w:rFonts w:ascii="Times New Roman" w:hAnsi="Times New Roman" w:cs="Times New Roman"/>
          <w:sz w:val="24"/>
          <w:szCs w:val="24"/>
        </w:rPr>
        <w:instrText>ADDIN CSL_CITATION {"citationItems":[{"id":"ITEM-1","itemData":{"author":[{"dropping-particle":"","family":"Sehar","given":"Ujala","non-dropping-particle":"","parse-names":false,"suffix":""},{"dropping-particle":"","family":"Rawat","given":"Priyanka","non-dropping-particle":"","parse-names":false,"suffix":""},{"dropping-particle":"","family":"Reddy","given":"Arubala P","non-dropping-particle":"","parse-names":false,"suffix":""},{"dropping-particle":"","family":"Kopel","given":"Jonathan","non-dropping-particle":"","parse-names":false,"suffix":""}],"id":"ITEM-1","issued":{"date-parts":[["2022"]]},"title":"Amyloid Beta in Aging and Alzheimer ’ s Disease","type":"article-journal"},"uris":["http://www.mendeley.com/documents/?uuid=0e4f3a3a-b776-48b5-a765-f72d26a81c50"]}],"mendeley":{"formattedCitation":"(Sehar &lt;i&gt;et al.&lt;/i&gt;, 2022)","plainTextFormattedCitation":"(Sehar et al., 2022)","previouslyFormattedCitation":"(Sehar &lt;i&gt;et al.&lt;/i&gt;, 2022)"},"properties":{"noteIndex":0},"schema":"https://github.com/citation-style-language/schema/raw/master/csl-citation.json"}</w:instrText>
      </w:r>
      <w:r w:rsidR="008A7ED0">
        <w:rPr>
          <w:rFonts w:ascii="Times New Roman" w:hAnsi="Times New Roman" w:cs="Times New Roman"/>
          <w:sz w:val="24"/>
          <w:szCs w:val="24"/>
        </w:rPr>
        <w:fldChar w:fldCharType="separate"/>
      </w:r>
      <w:r w:rsidR="008A7ED0" w:rsidRPr="008A7ED0">
        <w:rPr>
          <w:rFonts w:ascii="Times New Roman" w:hAnsi="Times New Roman" w:cs="Times New Roman"/>
          <w:noProof/>
          <w:sz w:val="24"/>
          <w:szCs w:val="24"/>
        </w:rPr>
        <w:t xml:space="preserve">(Sehar </w:t>
      </w:r>
      <w:r w:rsidR="008A7ED0" w:rsidRPr="008A7ED0">
        <w:rPr>
          <w:rFonts w:ascii="Times New Roman" w:hAnsi="Times New Roman" w:cs="Times New Roman"/>
          <w:i/>
          <w:noProof/>
          <w:sz w:val="24"/>
          <w:szCs w:val="24"/>
        </w:rPr>
        <w:t>et al.</w:t>
      </w:r>
      <w:r w:rsidR="008A7ED0" w:rsidRPr="008A7ED0">
        <w:rPr>
          <w:rFonts w:ascii="Times New Roman" w:hAnsi="Times New Roman" w:cs="Times New Roman"/>
          <w:noProof/>
          <w:sz w:val="24"/>
          <w:szCs w:val="24"/>
        </w:rPr>
        <w:t>, 2022)</w:t>
      </w:r>
      <w:r w:rsidR="008A7ED0">
        <w:rPr>
          <w:rFonts w:ascii="Times New Roman" w:hAnsi="Times New Roman" w:cs="Times New Roman"/>
          <w:sz w:val="24"/>
          <w:szCs w:val="24"/>
        </w:rPr>
        <w:fldChar w:fldCharType="end"/>
      </w:r>
      <w:r w:rsidR="005A3041">
        <w:rPr>
          <w:rFonts w:ascii="Times New Roman" w:hAnsi="Times New Roman" w:cs="Times New Roman"/>
          <w:sz w:val="24"/>
          <w:szCs w:val="24"/>
        </w:rPr>
        <w:t>.</w:t>
      </w:r>
      <w:r w:rsidR="00F620D2" w:rsidRPr="00331C52">
        <w:rPr>
          <w:rFonts w:ascii="Times New Roman" w:hAnsi="Times New Roman" w:cs="Times New Roman"/>
          <w:sz w:val="24"/>
          <w:szCs w:val="24"/>
        </w:rPr>
        <w:t xml:space="preserve"> Animal and in vitro models confirm that chronic exposure to P. gingivalis or its components results in cognitive decline</w:t>
      </w:r>
      <w:r w:rsidR="008E3CE9">
        <w:rPr>
          <w:rFonts w:ascii="Times New Roman" w:hAnsi="Times New Roman" w:cs="Times New Roman"/>
          <w:sz w:val="24"/>
          <w:szCs w:val="24"/>
        </w:rPr>
        <w:t>.</w:t>
      </w:r>
      <w:r w:rsidR="005A3041">
        <w:rPr>
          <w:rFonts w:ascii="Times New Roman" w:hAnsi="Times New Roman" w:cs="Times New Roman"/>
          <w:sz w:val="24"/>
          <w:szCs w:val="24"/>
        </w:rPr>
        <w:t xml:space="preserve"> </w:t>
      </w:r>
      <w:r w:rsidR="005A3041">
        <w:rPr>
          <w:rFonts w:ascii="Times New Roman" w:hAnsi="Times New Roman" w:cs="Times New Roman"/>
          <w:sz w:val="24"/>
          <w:szCs w:val="24"/>
        </w:rPr>
        <w:fldChar w:fldCharType="begin" w:fldLock="1"/>
      </w:r>
      <w:r w:rsidR="00A95751">
        <w:rPr>
          <w:rFonts w:ascii="Times New Roman" w:hAnsi="Times New Roman" w:cs="Times New Roman"/>
          <w:sz w:val="24"/>
          <w:szCs w:val="24"/>
        </w:rPr>
        <w:instrText>ADDIN CSL_CITATION {"citationItems":[{"id":"ITEM-1","itemData":{"DOI":"10.3233/JAD-200393","author":[{"dropping-particle":"","family":"Haditsch","given":"Ursula","non-dropping-particle":"","parse-names":false,"suffix":""},{"dropping-particle":"","family":"Roth","given":"Theresa","non-dropping-particle":"","parse-names":false,"suffix":""},{"dropping-particle":"","family":"Rodriguez","given":"Leo","non-dropping-particle":"","parse-names":false,"suffix":""},{"dropping-particle":"","family":"Hancock","given":"Sandy","non-dropping-particle":"","parse-names":false,"suffix":""},{"dropping-particle":"","family":"Cecere","given":"Thomas","non-dropping-particle":"","parse-names":false,"suffix":""},{"dropping-particle":"","family":"Nguyen","given":"Mai","non-dropping-particle":"","parse-names":false,"suffix":""}],"container-title":"Journal of Alzheimer’s Disease","id":"ITEM-1","issued":{"date-parts":[["2020"]]},"page":"1361-1376","title":"Alzheimer ’ s Disease-Like Neurodegeneration in Porphyromonas gingivalis Infected Neurons with Persistent Expression of Active Gingipains","type":"article-journal","volume":"75"},"uris":["http://www.mendeley.com/documents/?uuid=0c39de7b-1b79-4142-be6d-612dcb1fa856"]},{"id":"ITEM-2","itemData":{"author":[{"dropping-particle":"","family":"Kong","given":"Lingwenyao","non-dropping-particle":"","parse-names":false,"suffix":""},{"dropping-particle":"","family":"Li","given":"Juanjuan","non-dropping-particle":"","parse-names":false,"suffix":""},{"dropping-particle":"","family":"Gao","given":"Lu","non-dropping-particle":"","parse-names":false,"suffix":""},{"dropping-particle":"","family":"Zhao","given":"Yonggang","non-dropping-particle":"","parse-names":false,"suffix":""},{"dropping-particle":"","family":"Chen","given":"Weixian","non-dropping-particle":"","parse-names":false,"suffix":""},{"dropping-particle":"","family":"Wang","given":"Xumeng","non-dropping-particle":"","parse-names":false,"suffix":""},{"dropping-particle":"","family":"Wang","given":"Songlin","non-dropping-particle":"","parse-names":false,"suffix":""},{"dropping-particle":"","family":"Wang","given":"Fu","non-dropping-particle":"","parse-names":false,"suffix":""}],"id":"ITEM-2","issued":{"date-parts":[["2025"]]},"title":"Periodontitis-induced neuroinflammation triggers IFITM3-Aβ axis to cause alzheimer ’ s disease-like pathology and cognitive decline","type":"article-journal"},"uris":["http://www.mendeley.com/documents/?uuid=caf3cedf-9e9a-4bfd-a3f2-a5447185d6d1"]}],"mendeley":{"formattedCitation":"(Haditsch &lt;i&gt;et al.&lt;/i&gt;, 2020; Kong &lt;i&gt;et al.&lt;/i&gt;, 2025)","plainTextFormattedCitation":"(Haditsch et al., 2020; Kong et al., 2025)","previouslyFormattedCitation":"(Haditsch &lt;i&gt;et al.&lt;/i&gt;, 2020; Kong &lt;i&gt;et al.&lt;/i&gt;, 2025)"},"properties":{"noteIndex":0},"schema":"https://github.com/citation-style-language/schema/raw/master/csl-citation.json"}</w:instrText>
      </w:r>
      <w:r w:rsidR="005A3041">
        <w:rPr>
          <w:rFonts w:ascii="Times New Roman" w:hAnsi="Times New Roman" w:cs="Times New Roman"/>
          <w:sz w:val="24"/>
          <w:szCs w:val="24"/>
        </w:rPr>
        <w:fldChar w:fldCharType="separate"/>
      </w:r>
      <w:r w:rsidR="005A3041" w:rsidRPr="005A3041">
        <w:rPr>
          <w:rFonts w:ascii="Times New Roman" w:hAnsi="Times New Roman" w:cs="Times New Roman"/>
          <w:noProof/>
          <w:sz w:val="24"/>
          <w:szCs w:val="24"/>
        </w:rPr>
        <w:t xml:space="preserve">(Haditsch </w:t>
      </w:r>
      <w:r w:rsidR="005A3041" w:rsidRPr="005A3041">
        <w:rPr>
          <w:rFonts w:ascii="Times New Roman" w:hAnsi="Times New Roman" w:cs="Times New Roman"/>
          <w:i/>
          <w:noProof/>
          <w:sz w:val="24"/>
          <w:szCs w:val="24"/>
        </w:rPr>
        <w:t>et al.</w:t>
      </w:r>
      <w:r w:rsidR="005A3041" w:rsidRPr="005A3041">
        <w:rPr>
          <w:rFonts w:ascii="Times New Roman" w:hAnsi="Times New Roman" w:cs="Times New Roman"/>
          <w:noProof/>
          <w:sz w:val="24"/>
          <w:szCs w:val="24"/>
        </w:rPr>
        <w:t xml:space="preserve">, 2020; Kong </w:t>
      </w:r>
      <w:r w:rsidR="005A3041" w:rsidRPr="005A3041">
        <w:rPr>
          <w:rFonts w:ascii="Times New Roman" w:hAnsi="Times New Roman" w:cs="Times New Roman"/>
          <w:i/>
          <w:noProof/>
          <w:sz w:val="24"/>
          <w:szCs w:val="24"/>
        </w:rPr>
        <w:t>et al.</w:t>
      </w:r>
      <w:r w:rsidR="005A3041" w:rsidRPr="005A3041">
        <w:rPr>
          <w:rFonts w:ascii="Times New Roman" w:hAnsi="Times New Roman" w:cs="Times New Roman"/>
          <w:noProof/>
          <w:sz w:val="24"/>
          <w:szCs w:val="24"/>
        </w:rPr>
        <w:t>, 2025)</w:t>
      </w:r>
      <w:r w:rsidR="005A3041">
        <w:rPr>
          <w:rFonts w:ascii="Times New Roman" w:hAnsi="Times New Roman" w:cs="Times New Roman"/>
          <w:sz w:val="24"/>
          <w:szCs w:val="24"/>
        </w:rPr>
        <w:fldChar w:fldCharType="end"/>
      </w:r>
      <w:r w:rsidR="005A3041">
        <w:rPr>
          <w:rFonts w:ascii="Times New Roman" w:hAnsi="Times New Roman" w:cs="Times New Roman"/>
          <w:sz w:val="24"/>
          <w:szCs w:val="24"/>
        </w:rPr>
        <w:t xml:space="preserve">. </w:t>
      </w:r>
    </w:p>
    <w:p w14:paraId="4D0691CB" w14:textId="77777777" w:rsidR="005779F1" w:rsidRDefault="00F620D2" w:rsidP="005779F1">
      <w:pPr>
        <w:pStyle w:val="ListParagraph"/>
        <w:spacing w:line="360" w:lineRule="auto"/>
        <w:ind w:left="1080" w:firstLine="360"/>
        <w:jc w:val="both"/>
        <w:rPr>
          <w:rFonts w:ascii="Times New Roman" w:hAnsi="Times New Roman" w:cs="Times New Roman"/>
          <w:sz w:val="24"/>
          <w:szCs w:val="24"/>
        </w:rPr>
      </w:pPr>
      <w:r w:rsidRPr="00331C52">
        <w:rPr>
          <w:rFonts w:ascii="Times New Roman" w:hAnsi="Times New Roman" w:cs="Times New Roman"/>
          <w:sz w:val="24"/>
          <w:szCs w:val="24"/>
        </w:rPr>
        <w:t xml:space="preserve">Hyperbaric oxygen therapy (HBOT) </w:t>
      </w:r>
      <w:r w:rsidR="008A7ED0">
        <w:rPr>
          <w:rFonts w:ascii="Times New Roman" w:hAnsi="Times New Roman" w:cs="Times New Roman"/>
          <w:sz w:val="24"/>
          <w:szCs w:val="24"/>
        </w:rPr>
        <w:t>in other hand</w:t>
      </w:r>
      <w:r w:rsidR="008E3CE9">
        <w:rPr>
          <w:rFonts w:ascii="Times New Roman" w:hAnsi="Times New Roman" w:cs="Times New Roman"/>
          <w:sz w:val="24"/>
          <w:szCs w:val="24"/>
        </w:rPr>
        <w:t>,</w:t>
      </w:r>
      <w:r w:rsidR="008A7ED0">
        <w:rPr>
          <w:rFonts w:ascii="Times New Roman" w:hAnsi="Times New Roman" w:cs="Times New Roman"/>
          <w:sz w:val="24"/>
          <w:szCs w:val="24"/>
        </w:rPr>
        <w:t xml:space="preserve"> </w:t>
      </w:r>
      <w:r w:rsidRPr="00331C52">
        <w:rPr>
          <w:rFonts w:ascii="Times New Roman" w:hAnsi="Times New Roman" w:cs="Times New Roman"/>
          <w:sz w:val="24"/>
          <w:szCs w:val="24"/>
        </w:rPr>
        <w:t xml:space="preserve">is being explored for its potential to mitigate these pathological changes by improving cognitive performance and possibly modulating amyloid/tau </w:t>
      </w:r>
      <w:r w:rsidR="00FA71E9">
        <w:rPr>
          <w:rFonts w:ascii="Times New Roman" w:hAnsi="Times New Roman" w:cs="Times New Roman"/>
          <w:sz w:val="24"/>
          <w:szCs w:val="24"/>
        </w:rPr>
        <w:t>homeostasis</w:t>
      </w:r>
      <w:r w:rsidR="00331C52" w:rsidRPr="00331C52">
        <w:rPr>
          <w:rFonts w:ascii="Times New Roman" w:hAnsi="Times New Roman" w:cs="Times New Roman"/>
          <w:sz w:val="24"/>
          <w:szCs w:val="24"/>
        </w:rPr>
        <w:t xml:space="preserve">. </w:t>
      </w:r>
      <w:r w:rsidR="00331C52" w:rsidRPr="005B39B6">
        <w:rPr>
          <w:rFonts w:ascii="Times New Roman" w:hAnsi="Times New Roman" w:cs="Times New Roman"/>
          <w:sz w:val="24"/>
          <w:szCs w:val="24"/>
        </w:rPr>
        <w:t xml:space="preserve">These pathogenic mechanisms align with processes targeted by Hyperbaric Oxygen Therapy (HBOT), which has been shown to </w:t>
      </w:r>
      <w:r w:rsidR="00762D5F">
        <w:rPr>
          <w:rFonts w:ascii="Times New Roman" w:hAnsi="Times New Roman" w:cs="Times New Roman"/>
          <w:sz w:val="24"/>
          <w:szCs w:val="24"/>
        </w:rPr>
        <w:t>reduce</w:t>
      </w:r>
      <w:r w:rsidR="00762D5F" w:rsidRPr="00762D5F">
        <w:rPr>
          <w:rFonts w:ascii="Times New Roman" w:hAnsi="Times New Roman" w:cs="Times New Roman"/>
          <w:sz w:val="24"/>
          <w:szCs w:val="24"/>
        </w:rPr>
        <w:t xml:space="preserve"> abnormal APP processing by lowering BACE1 and presenilin</w:t>
      </w:r>
      <w:r w:rsidR="00762D5F" w:rsidRPr="00762D5F">
        <w:rPr>
          <w:rFonts w:ascii="Times New Roman" w:hAnsi="Times New Roman" w:cs="Times New Roman"/>
          <w:sz w:val="24"/>
          <w:szCs w:val="24"/>
        </w:rPr>
        <w:noBreakHyphen/>
        <w:t>1 (γ</w:t>
      </w:r>
      <w:r w:rsidR="00762D5F" w:rsidRPr="00762D5F">
        <w:rPr>
          <w:rFonts w:ascii="Times New Roman" w:hAnsi="Times New Roman" w:cs="Times New Roman"/>
          <w:sz w:val="24"/>
          <w:szCs w:val="24"/>
        </w:rPr>
        <w:noBreakHyphen/>
        <w:t>secretase component), thereby decreasing CTFβ (C99) and insoluble Aβ42</w:t>
      </w:r>
      <w:r w:rsidR="00762D5F">
        <w:rPr>
          <w:rFonts w:ascii="Times New Roman" w:hAnsi="Times New Roman" w:cs="Times New Roman"/>
          <w:sz w:val="24"/>
          <w:szCs w:val="24"/>
        </w:rPr>
        <w:t xml:space="preserve">. </w:t>
      </w:r>
      <w:r w:rsidR="00762D5F" w:rsidRPr="00762D5F">
        <w:rPr>
          <w:rFonts w:ascii="Times New Roman" w:hAnsi="Times New Roman" w:cs="Times New Roman"/>
          <w:sz w:val="24"/>
          <w:szCs w:val="24"/>
        </w:rPr>
        <w:t xml:space="preserve">Decreases </w:t>
      </w:r>
      <w:r w:rsidR="00762D5F">
        <w:rPr>
          <w:rFonts w:ascii="Times New Roman" w:hAnsi="Times New Roman" w:cs="Times New Roman"/>
          <w:sz w:val="24"/>
          <w:szCs w:val="24"/>
        </w:rPr>
        <w:t xml:space="preserve">the </w:t>
      </w:r>
      <w:r w:rsidR="00762D5F" w:rsidRPr="00762D5F">
        <w:rPr>
          <w:rFonts w:ascii="Times New Roman" w:hAnsi="Times New Roman" w:cs="Times New Roman"/>
          <w:sz w:val="24"/>
          <w:szCs w:val="24"/>
        </w:rPr>
        <w:t xml:space="preserve">formation of new plaques and shrinks existing plaques </w:t>
      </w:r>
      <w:r w:rsidR="00762D5F">
        <w:rPr>
          <w:rFonts w:ascii="Times New Roman" w:hAnsi="Times New Roman" w:cs="Times New Roman"/>
          <w:sz w:val="24"/>
          <w:szCs w:val="24"/>
        </w:rPr>
        <w:fldChar w:fldCharType="begin" w:fldLock="1"/>
      </w:r>
      <w:r w:rsidR="00762D5F">
        <w:rPr>
          <w:rFonts w:ascii="Times New Roman" w:hAnsi="Times New Roman" w:cs="Times New Roman"/>
          <w:sz w:val="24"/>
          <w:szCs w:val="24"/>
        </w:rPr>
        <w:instrText>ADDIN CSL_CITATION {"citationItems":[{"id":"ITEM-1","itemData":{"author":[{"dropping-particle":"","family":"Shapira","given":"Ronit","non-dropping-particle":"","parse-names":false,"suffix":""},{"dropping-particle":"","family":"Gdalyahu","given":"Amos","non-dropping-particle":"","parse-names":false,"suffix":""},{"dropping-particle":"","family":"Gottfried","given":"Irit","non-dropping-particle":"","parse-names":false,"suffix":""},{"dropping-particle":"","family":"Sasson","given":"Efrat","non-dropping-particle":"","parse-names":false,"suffix":""},{"dropping-particle":"","family":"Hadanny","given":"Amir","non-dropping-particle":"","parse-names":false,"suffix":""},{"dropping-particle":"","family":"Efrati","given":"Shai","non-dropping-particle":"","parse-names":false,"suffix":""},{"dropping-particle":"","family":"Blinder","given":"Pablo","non-dropping-particle":"","parse-names":false,"suffix":""},{"dropping-particle":"","family":"Ashery","given":"Uri","non-dropping-particle":"","parse-names":false,"suffix":""}],"id":"ITEM-1","issue":"17","issued":{"date-parts":[["2021"]]},"page":"20935-20961","title":"Hyperbaric oxygen therapy alleviates vascular dysfunction and amyloid burden in an Alzheimer ’ s disease mouse model and in elderly patients","type":"article-journal","volume":"13"},"uris":["http://www.mendeley.com/documents/?uuid=66dc61e0-ec8b-4a2e-b1d3-99a26bee9016"]}],"mendeley":{"formattedCitation":"(Shapira &lt;i&gt;et al.&lt;/i&gt;, 2021)","plainTextFormattedCitation":"(Shapira et al., 2021)","previouslyFormattedCitation":"(Shapira &lt;i&gt;et al.&lt;/i&gt;, 2021)"},"properties":{"noteIndex":0},"schema":"https://github.com/citation-style-language/schema/raw/master/csl-citation.json"}</w:instrText>
      </w:r>
      <w:r w:rsidR="00762D5F">
        <w:rPr>
          <w:rFonts w:ascii="Times New Roman" w:hAnsi="Times New Roman" w:cs="Times New Roman"/>
          <w:sz w:val="24"/>
          <w:szCs w:val="24"/>
        </w:rPr>
        <w:fldChar w:fldCharType="separate"/>
      </w:r>
      <w:r w:rsidR="00762D5F" w:rsidRPr="00762D5F">
        <w:rPr>
          <w:rFonts w:ascii="Times New Roman" w:hAnsi="Times New Roman" w:cs="Times New Roman"/>
          <w:noProof/>
          <w:sz w:val="24"/>
          <w:szCs w:val="24"/>
        </w:rPr>
        <w:t xml:space="preserve">(Shapira </w:t>
      </w:r>
      <w:r w:rsidR="00762D5F" w:rsidRPr="00762D5F">
        <w:rPr>
          <w:rFonts w:ascii="Times New Roman" w:hAnsi="Times New Roman" w:cs="Times New Roman"/>
          <w:i/>
          <w:noProof/>
          <w:sz w:val="24"/>
          <w:szCs w:val="24"/>
        </w:rPr>
        <w:t>et al.</w:t>
      </w:r>
      <w:r w:rsidR="00762D5F" w:rsidRPr="00762D5F">
        <w:rPr>
          <w:rFonts w:ascii="Times New Roman" w:hAnsi="Times New Roman" w:cs="Times New Roman"/>
          <w:noProof/>
          <w:sz w:val="24"/>
          <w:szCs w:val="24"/>
        </w:rPr>
        <w:t>, 2021)</w:t>
      </w:r>
      <w:r w:rsidR="00762D5F">
        <w:rPr>
          <w:rFonts w:ascii="Times New Roman" w:hAnsi="Times New Roman" w:cs="Times New Roman"/>
          <w:sz w:val="24"/>
          <w:szCs w:val="24"/>
        </w:rPr>
        <w:fldChar w:fldCharType="end"/>
      </w:r>
      <w:r w:rsidR="00762D5F">
        <w:rPr>
          <w:rFonts w:ascii="Times New Roman" w:hAnsi="Times New Roman" w:cs="Times New Roman"/>
          <w:sz w:val="24"/>
          <w:szCs w:val="24"/>
        </w:rPr>
        <w:t xml:space="preserve">. </w:t>
      </w:r>
      <w:r w:rsidR="00331C52" w:rsidRPr="00762D5F">
        <w:rPr>
          <w:rFonts w:ascii="Times New Roman" w:hAnsi="Times New Roman" w:cs="Times New Roman"/>
          <w:sz w:val="24"/>
          <w:szCs w:val="24"/>
        </w:rPr>
        <w:t xml:space="preserve">HBOT </w:t>
      </w:r>
      <w:r w:rsidR="00762D5F">
        <w:rPr>
          <w:rFonts w:ascii="Times New Roman" w:hAnsi="Times New Roman" w:cs="Times New Roman"/>
          <w:sz w:val="24"/>
          <w:szCs w:val="24"/>
        </w:rPr>
        <w:t xml:space="preserve">can </w:t>
      </w:r>
      <w:r w:rsidR="008E3CE9">
        <w:rPr>
          <w:rFonts w:ascii="Times New Roman" w:hAnsi="Times New Roman" w:cs="Times New Roman"/>
          <w:sz w:val="24"/>
          <w:szCs w:val="24"/>
        </w:rPr>
        <w:t>increase</w:t>
      </w:r>
      <w:r w:rsidR="00331C52" w:rsidRPr="00762D5F">
        <w:rPr>
          <w:rFonts w:ascii="Times New Roman" w:hAnsi="Times New Roman" w:cs="Times New Roman"/>
          <w:sz w:val="24"/>
          <w:szCs w:val="24"/>
        </w:rPr>
        <w:t xml:space="preserve"> anti-inflammatory effects by reducing multiple pro-</w:t>
      </w:r>
      <w:r w:rsidR="00331C52" w:rsidRPr="00762D5F">
        <w:rPr>
          <w:rFonts w:ascii="Times New Roman" w:hAnsi="Times New Roman" w:cs="Times New Roman"/>
          <w:sz w:val="24"/>
          <w:szCs w:val="24"/>
        </w:rPr>
        <w:lastRenderedPageBreak/>
        <w:t>inflammatory cytokines, including TNF-α, IL-6, and IL-10</w:t>
      </w:r>
      <w:r w:rsidR="008E3CE9">
        <w:rPr>
          <w:rFonts w:ascii="Times New Roman" w:hAnsi="Times New Roman" w:cs="Times New Roman"/>
          <w:sz w:val="24"/>
          <w:szCs w:val="24"/>
        </w:rPr>
        <w:t>,</w:t>
      </w:r>
      <w:r w:rsidR="00762D5F">
        <w:rPr>
          <w:rFonts w:ascii="Times New Roman" w:hAnsi="Times New Roman" w:cs="Times New Roman"/>
          <w:sz w:val="24"/>
          <w:szCs w:val="24"/>
        </w:rPr>
        <w:t xml:space="preserve"> and </w:t>
      </w:r>
      <w:r w:rsidR="00762D5F" w:rsidRPr="00762D5F">
        <w:rPr>
          <w:rFonts w:ascii="Times New Roman" w:hAnsi="Times New Roman" w:cs="Times New Roman"/>
          <w:sz w:val="24"/>
          <w:szCs w:val="24"/>
        </w:rPr>
        <w:t>reducing Ca²⁺ and oxidative stress</w:t>
      </w:r>
      <w:r w:rsidR="008E3CE9">
        <w:rPr>
          <w:rFonts w:ascii="Times New Roman" w:hAnsi="Times New Roman" w:cs="Times New Roman"/>
          <w:sz w:val="24"/>
          <w:szCs w:val="24"/>
        </w:rPr>
        <w:t>,</w:t>
      </w:r>
      <w:r w:rsidR="00762D5F" w:rsidRPr="00762D5F">
        <w:rPr>
          <w:rFonts w:ascii="Times New Roman" w:hAnsi="Times New Roman" w:cs="Times New Roman"/>
          <w:sz w:val="24"/>
          <w:szCs w:val="24"/>
        </w:rPr>
        <w:t xml:space="preserve"> can </w:t>
      </w:r>
      <w:r w:rsidR="008E3CE9">
        <w:rPr>
          <w:rFonts w:ascii="Times New Roman" w:hAnsi="Times New Roman" w:cs="Times New Roman"/>
          <w:sz w:val="24"/>
          <w:szCs w:val="24"/>
        </w:rPr>
        <w:t>downregulate</w:t>
      </w:r>
      <w:r w:rsidR="00762D5F" w:rsidRPr="00762D5F">
        <w:rPr>
          <w:rFonts w:ascii="Times New Roman" w:hAnsi="Times New Roman" w:cs="Times New Roman"/>
          <w:sz w:val="24"/>
          <w:szCs w:val="24"/>
        </w:rPr>
        <w:t xml:space="preserve"> tau</w:t>
      </w:r>
      <w:r w:rsidR="00762D5F" w:rsidRPr="00762D5F">
        <w:rPr>
          <w:rFonts w:ascii="Times New Roman" w:hAnsi="Times New Roman" w:cs="Times New Roman"/>
          <w:sz w:val="24"/>
          <w:szCs w:val="24"/>
        </w:rPr>
        <w:noBreakHyphen/>
        <w:t>kinase activity (JNK, CaMKII, GSK3β) and support autophagy</w:t>
      </w:r>
      <w:r w:rsidR="00FA71E9">
        <w:rPr>
          <w:rFonts w:ascii="Times New Roman" w:hAnsi="Times New Roman" w:cs="Times New Roman"/>
          <w:sz w:val="24"/>
          <w:szCs w:val="24"/>
        </w:rPr>
        <w:t xml:space="preserve"> </w:t>
      </w:r>
      <w:r w:rsidR="00762D5F" w:rsidRPr="00762D5F">
        <w:rPr>
          <w:rFonts w:ascii="Times New Roman" w:hAnsi="Times New Roman" w:cs="Times New Roman"/>
          <w:sz w:val="24"/>
          <w:szCs w:val="24"/>
        </w:rPr>
        <w:t>proteasome systems that clear misfolded tau </w:t>
      </w:r>
      <w:r w:rsidR="00331C52" w:rsidRPr="00762D5F">
        <w:rPr>
          <w:rFonts w:ascii="Times New Roman" w:hAnsi="Times New Roman" w:cs="Times New Roman"/>
          <w:sz w:val="24"/>
          <w:szCs w:val="24"/>
        </w:rPr>
        <w:t xml:space="preserve"> While also demonstrating antimicrobial </w:t>
      </w:r>
      <w:r w:rsidR="008E3CE9">
        <w:rPr>
          <w:rFonts w:ascii="Times New Roman" w:hAnsi="Times New Roman" w:cs="Times New Roman"/>
          <w:sz w:val="24"/>
          <w:szCs w:val="24"/>
        </w:rPr>
        <w:t>effects</w:t>
      </w:r>
      <w:r w:rsidR="00331C52" w:rsidRPr="00762D5F">
        <w:rPr>
          <w:rFonts w:ascii="Times New Roman" w:hAnsi="Times New Roman" w:cs="Times New Roman"/>
          <w:sz w:val="24"/>
          <w:szCs w:val="24"/>
        </w:rPr>
        <w:t xml:space="preserve"> through oxygen-mediated bacterial killing. </w:t>
      </w:r>
      <w:r w:rsidR="00762D5F">
        <w:rPr>
          <w:rFonts w:ascii="Times New Roman" w:hAnsi="Times New Roman" w:cs="Times New Roman"/>
          <w:sz w:val="24"/>
          <w:szCs w:val="24"/>
        </w:rPr>
        <w:fldChar w:fldCharType="begin" w:fldLock="1"/>
      </w:r>
      <w:r w:rsidR="00A875CA">
        <w:rPr>
          <w:rFonts w:ascii="Times New Roman" w:hAnsi="Times New Roman" w:cs="Times New Roman"/>
          <w:sz w:val="24"/>
          <w:szCs w:val="24"/>
        </w:rPr>
        <w:instrText>ADDIN CSL_CITATION {"citationItems":[{"id":"ITEM-1","itemData":{"author":[{"dropping-particle":"De","family":"Wolde","given":"Silke D","non-dropping-particle":"","parse-names":false,"suffix":""},{"dropping-particle":"","family":"Hulskes","given":"Rick H","non-dropping-particle":"","parse-names":false,"suffix":""},{"dropping-particle":"","family":"Weenink","given":"Robert P","non-dropping-particle":"","parse-names":false,"suffix":""},{"dropping-particle":"","family":"Hollmann","given":"Markus W","non-dropping-particle":"","parse-names":false,"suffix":""},{"dropping-particle":"Van","family":"Hulst","given":"Robert A","non-dropping-particle":"","parse-names":false,"suffix":""}],"id":"ITEM-1","issued":{"date-parts":[["2021"]]},"page":"1-47","title":"The Effects of Hyperbaric Oxygenation on Oxidative Stress , Inflammation and Angiogenesis","type":"article-journal"},"uris":["http://www.mendeley.com/documents/?uuid=a9afcc83-224b-4f3a-9681-447d689e8934"]},{"id":"ITEM-2","itemData":{"DOI":"10.3390/medicina57090864","ISSN":"16489144","PMID":"34577787","abstract":"Hyperbaric oxygen therapy (HBOT) consists of using of pure oxygen at increased pressure (in general, 2–3 atmospheres) leading to augmented oxygen levels in the blood (Hyperoxemia) and tissue (Hyperoxia). The increased pressure and oxygen bioavailability might be related to a plethora of applications, particularly in hypoxic regions, also exerting antimicrobial, immunomodulatory and angiogenic properties, among others. In this review, we will discuss in detail the physiological rele-vance of oxygen and the therapeutical basis of HBOT, collecting current indications and underlying mechanisms. Furthermore, potential areas of research will also be examined, including inflammatory and systemic maladies, COVID-19 and cancer. Finally, the adverse effects and contraindications associated with this therapy and future directions of research will be considered. Overall, we encourage further research in this field to extend the possible uses of this procedure. The inclusion of HBOT in future clinical research could be an additional support in the clinical management of multiple pathologies.","author":[{"dropping-particle":"","family":"Ortega","given":"Miguel A.","non-dropping-particle":"","parse-names":false,"suffix":""},{"dropping-particle":"","family":"Fraile-Martinez","given":"Oscar","non-dropping-particle":"","parse-names":false,"suffix":""},{"dropping-particle":"","family":"García-Montero","given":"Cielo","non-dropping-particle":"","parse-names":false,"suffix":""},{"dropping-particle":"","family":"Callejón-Peláez","given":"Enrique","non-dropping-particle":"","parse-names":false,"suffix":""},{"dropping-particle":"","family":"Sáez","given":"Miguel A.","non-dropping-particle":"","parse-names":false,"suffix":""},{"dropping-particle":"","family":"Álvarez-Mon","given":"Miguel A.","non-dropping-particle":"","parse-names":false,"suffix":""},{"dropping-particle":"","family":"García-Honduvilla","given":"Natalio","non-dropping-particle":"","parse-names":false,"suffix":""},{"dropping-particle":"","family":"Monserrat","given":"Jorge","non-dropping-particle":"","parse-names":false,"suffix":""},{"dropping-particle":"","family":"Álvarez-Mon","given":"Melchor","non-dropping-particle":"","parse-names":false,"suffix":""},{"dropping-particle":"","family":"Bujan","given":"Julia","non-dropping-particle":"","parse-names":false,"suffix":""},{"dropping-particle":"","family":"Canals","given":"María Luisa","non-dropping-particle":"","parse-names":false,"suffix":""}],"container-title":"Medicina (Lithuania)","id":"ITEM-2","issue":"9","issued":{"date-parts":[["2021"]]},"page":"1-25","title":"A general overview on the hyperbaric oxygen therapy: Applications, mechanisms and translational opportunities","type":"article-journal","volume":"57"},"uris":["http://www.mendeley.com/documents/?uuid=6a1aee6b-aee3-42ee-a40f-c916739d71c5"]},{"id":"ITEM-3","itemData":{"author":[{"dropping-particle":"","family":"Rawat","given":"Priyanka","non-dropping-particle":"","parse-names":false,"suffix":""},{"dropping-particle":"","family":"Sehar","given":"Ujala","non-dropping-particle":"","parse-names":false,"suffix":""},{"dropping-particle":"","family":"Bisht","given":"Jasbir","non-dropping-particle":"","parse-names":false,"suffix":""},{"dropping-particle":"","family":"Selman","given":"Ashley","non-dropping-particle":"","parse-names":false,"suffix":""},{"dropping-particle":"","family":"Culberson","given":"John","non-dropping-particle":"","parse-names":false,"suffix":""},{"dropping-particle":"","family":"Reddy","given":"P Hemachandra","non-dropping-particle":"","parse-names":false,"suffix":""}],"id":"ITEM-3","issued":{"date-parts":[["2022"]]},"title":"Phosphorylated Tau in Alzheimer ’ s Disease and Other Tauopathies","type":"article-journal"},"uris":["http://www.mendeley.com/documents/?uuid=3eb0c067-174c-4627-b19f-587e2a2cfe16"]}],"mendeley":{"formattedCitation":"(Ortega &lt;i&gt;et al.&lt;/i&gt;, 2021; Wolde &lt;i&gt;et al.&lt;/i&gt;, 2021; Rawat &lt;i&gt;et al.&lt;/i&gt;, 2022)","plainTextFormattedCitation":"(Ortega et al., 2021; Wolde et al., 2021; Rawat et al., 2022)","previouslyFormattedCitation":"(Ortega &lt;i&gt;et al.&lt;/i&gt;, 2021; Wolde &lt;i&gt;et al.&lt;/i&gt;, 2021; Rawat &lt;i&gt;et al.&lt;/i&gt;, 2022)"},"properties":{"noteIndex":0},"schema":"https://github.com/citation-style-language/schema/raw/master/csl-citation.json"}</w:instrText>
      </w:r>
      <w:r w:rsidR="00762D5F">
        <w:rPr>
          <w:rFonts w:ascii="Times New Roman" w:hAnsi="Times New Roman" w:cs="Times New Roman"/>
          <w:sz w:val="24"/>
          <w:szCs w:val="24"/>
        </w:rPr>
        <w:fldChar w:fldCharType="separate"/>
      </w:r>
      <w:r w:rsidR="00762D5F" w:rsidRPr="00762D5F">
        <w:rPr>
          <w:rFonts w:ascii="Times New Roman" w:hAnsi="Times New Roman" w:cs="Times New Roman"/>
          <w:noProof/>
          <w:sz w:val="24"/>
          <w:szCs w:val="24"/>
        </w:rPr>
        <w:t xml:space="preserve">(Ortega </w:t>
      </w:r>
      <w:r w:rsidR="00762D5F" w:rsidRPr="00762D5F">
        <w:rPr>
          <w:rFonts w:ascii="Times New Roman" w:hAnsi="Times New Roman" w:cs="Times New Roman"/>
          <w:i/>
          <w:noProof/>
          <w:sz w:val="24"/>
          <w:szCs w:val="24"/>
        </w:rPr>
        <w:t>et al.</w:t>
      </w:r>
      <w:r w:rsidR="00762D5F" w:rsidRPr="00762D5F">
        <w:rPr>
          <w:rFonts w:ascii="Times New Roman" w:hAnsi="Times New Roman" w:cs="Times New Roman"/>
          <w:noProof/>
          <w:sz w:val="24"/>
          <w:szCs w:val="24"/>
        </w:rPr>
        <w:t xml:space="preserve">, 2021; Wolde </w:t>
      </w:r>
      <w:r w:rsidR="00762D5F" w:rsidRPr="00762D5F">
        <w:rPr>
          <w:rFonts w:ascii="Times New Roman" w:hAnsi="Times New Roman" w:cs="Times New Roman"/>
          <w:i/>
          <w:noProof/>
          <w:sz w:val="24"/>
          <w:szCs w:val="24"/>
        </w:rPr>
        <w:t>et al.</w:t>
      </w:r>
      <w:r w:rsidR="00762D5F" w:rsidRPr="00762D5F">
        <w:rPr>
          <w:rFonts w:ascii="Times New Roman" w:hAnsi="Times New Roman" w:cs="Times New Roman"/>
          <w:noProof/>
          <w:sz w:val="24"/>
          <w:szCs w:val="24"/>
        </w:rPr>
        <w:t xml:space="preserve">, 2021; Rawat </w:t>
      </w:r>
      <w:r w:rsidR="00762D5F" w:rsidRPr="00762D5F">
        <w:rPr>
          <w:rFonts w:ascii="Times New Roman" w:hAnsi="Times New Roman" w:cs="Times New Roman"/>
          <w:i/>
          <w:noProof/>
          <w:sz w:val="24"/>
          <w:szCs w:val="24"/>
        </w:rPr>
        <w:t>et al.</w:t>
      </w:r>
      <w:r w:rsidR="00762D5F" w:rsidRPr="00762D5F">
        <w:rPr>
          <w:rFonts w:ascii="Times New Roman" w:hAnsi="Times New Roman" w:cs="Times New Roman"/>
          <w:noProof/>
          <w:sz w:val="24"/>
          <w:szCs w:val="24"/>
        </w:rPr>
        <w:t>, 2022)</w:t>
      </w:r>
      <w:r w:rsidR="00762D5F">
        <w:rPr>
          <w:rFonts w:ascii="Times New Roman" w:hAnsi="Times New Roman" w:cs="Times New Roman"/>
          <w:sz w:val="24"/>
          <w:szCs w:val="24"/>
        </w:rPr>
        <w:fldChar w:fldCharType="end"/>
      </w:r>
      <w:r w:rsidR="00762D5F">
        <w:rPr>
          <w:rFonts w:ascii="Times New Roman" w:hAnsi="Times New Roman" w:cs="Times New Roman"/>
          <w:sz w:val="24"/>
          <w:szCs w:val="24"/>
        </w:rPr>
        <w:t xml:space="preserve">. </w:t>
      </w:r>
    </w:p>
    <w:p w14:paraId="1D2D11C8" w14:textId="658E7F6C" w:rsidR="00FD63C7" w:rsidRDefault="005779F1" w:rsidP="00FD63C7">
      <w:pPr>
        <w:pStyle w:val="ListParagraph"/>
        <w:spacing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This study used salivary sampling to detect the biomarkers in NDD-related AD. </w:t>
      </w:r>
      <w:r w:rsidRPr="00011E67">
        <w:rPr>
          <w:rFonts w:ascii="Times New Roman" w:hAnsi="Times New Roman" w:cs="Times New Roman"/>
          <w:sz w:val="24"/>
          <w:szCs w:val="24"/>
        </w:rPr>
        <w:t xml:space="preserve">Although cerebrospinal fluid analysis remains a highly sensitive and specific approach for identifying biomarkers in neurodegenerative conditions, it generally depends on invasive, technically demanding, and costly procedures, particularly lumbar puncture for CSF acquisition. </w:t>
      </w:r>
      <w:r w:rsidRPr="0033368A">
        <w:rPr>
          <w:rFonts w:ascii="Times New Roman" w:hAnsi="Times New Roman" w:cs="Times New Roman"/>
          <w:sz w:val="24"/>
          <w:szCs w:val="24"/>
        </w:rPr>
        <w:t>Aβ</w:t>
      </w:r>
      <w:r>
        <w:rPr>
          <w:rFonts w:ascii="Times New Roman" w:hAnsi="Times New Roman" w:cs="Times New Roman"/>
          <w:sz w:val="24"/>
          <w:szCs w:val="24"/>
        </w:rPr>
        <w:t xml:space="preserve"> and p-tau were </w:t>
      </w:r>
      <w:r w:rsidRPr="008C1F35">
        <w:rPr>
          <w:rFonts w:ascii="Times New Roman" w:hAnsi="Times New Roman" w:cs="Times New Roman"/>
          <w:sz w:val="24"/>
          <w:szCs w:val="24"/>
        </w:rPr>
        <w:t xml:space="preserve">found to be increased in the saliva of </w:t>
      </w:r>
      <w:r>
        <w:rPr>
          <w:rFonts w:ascii="Times New Roman" w:hAnsi="Times New Roman" w:cs="Times New Roman"/>
          <w:sz w:val="24"/>
          <w:szCs w:val="24"/>
        </w:rPr>
        <w:t xml:space="preserve">NDD-related </w:t>
      </w:r>
      <w:r w:rsidRPr="008C1F35">
        <w:rPr>
          <w:rFonts w:ascii="Times New Roman" w:hAnsi="Times New Roman" w:cs="Times New Roman"/>
          <w:sz w:val="24"/>
          <w:szCs w:val="24"/>
        </w:rPr>
        <w:t>AD patients</w:t>
      </w:r>
      <w:r>
        <w:rPr>
          <w:rFonts w:ascii="Times New Roman" w:hAnsi="Times New Roman" w:cs="Times New Roman"/>
          <w:sz w:val="24"/>
          <w:szCs w:val="24"/>
        </w:rPr>
        <w:t xml:space="preserve">, </w:t>
      </w:r>
      <w:r w:rsidRPr="00011E67">
        <w:rPr>
          <w:rFonts w:ascii="Times New Roman" w:hAnsi="Times New Roman" w:cs="Times New Roman"/>
          <w:sz w:val="24"/>
          <w:szCs w:val="24"/>
        </w:rPr>
        <w:t xml:space="preserve">indicating that saliva may serve as a promising alternative biological matrix for diagnostic and screening purposes, given its non-invasive, practical, and </w:t>
      </w:r>
      <w:r>
        <w:rPr>
          <w:rFonts w:ascii="Times New Roman" w:hAnsi="Times New Roman" w:cs="Times New Roman"/>
          <w:sz w:val="24"/>
          <w:szCs w:val="24"/>
        </w:rPr>
        <w:t>pain-free procedure</w:t>
      </w:r>
      <w:r w:rsidR="00457BF7">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10.1038/s41415-025-9130-4","ISSN":"1476-5373","author":[{"dropping-particle":"","family":"Ashraf","given":"M","non-dropping-particle":"","parse-names":false,"suffix":""},{"dropping-particle":"","family":"Sheikh","given":"I","non-dropping-particle":"","parse-names":false,"suffix":""},{"dropping-particle":"","family":"Ashraf","given":"M","non-dropping-particle":"","parse-names":false,"suffix":""}],"container-title":"British Dental Journal","id":"ITEM-1","issue":"4","issued":{"date-parts":[["2025"]]},"page":"231-232","title":"Salivary biomarkers in Alzheimer's","type":"article-journal","volume":"239"},"uris":["http://www.mendeley.com/documents/?uuid=14bc1468-1f4e-4815-8c72-786def9bda7b"]},{"id":"ITEM-2","itemData":{"author":[{"dropping-particle":"","family":"Pawlik","given":"Patrycja","non-dropping-particle":"","parse-names":false,"suffix":""}],"id":"ITEM-2","issued":{"date-parts":[["2021"]]},"title":"The Role of Salivary Biomarkers in the Early Diagnosis of Alzheimer ’ s Disease and Parkinson ’ s Disease","type":"article-journal"},"uris":["http://www.mendeley.com/documents/?uuid=e975b911-5b10-4264-844b-bf3795a8cdb6"]}],"mendeley":{"formattedCitation":"(Pawlik, 2021; Ashraf, Sheikh and Ashraf, 2025)","plainTextFormattedCitation":"(Pawlik, 2021; Ashraf, Sheikh and Ashraf, 2025)"},"properties":{"noteIndex":0},"schema":"https://github.com/citation-style-language/schema/raw/master/csl-citation.json"}</w:instrText>
      </w:r>
      <w:r>
        <w:rPr>
          <w:rFonts w:ascii="Times New Roman" w:hAnsi="Times New Roman" w:cs="Times New Roman"/>
          <w:sz w:val="24"/>
          <w:szCs w:val="24"/>
        </w:rPr>
        <w:fldChar w:fldCharType="separate"/>
      </w:r>
      <w:r w:rsidRPr="00B51BB2">
        <w:rPr>
          <w:rFonts w:ascii="Times New Roman" w:hAnsi="Times New Roman" w:cs="Times New Roman"/>
          <w:noProof/>
          <w:sz w:val="24"/>
          <w:szCs w:val="24"/>
        </w:rPr>
        <w:t>(Pawlik, 2021; Ashraf, Sheikh and Ashraf, 2025)</w:t>
      </w:r>
      <w:r>
        <w:rPr>
          <w:rFonts w:ascii="Times New Roman" w:hAnsi="Times New Roman" w:cs="Times New Roman"/>
          <w:sz w:val="24"/>
          <w:szCs w:val="24"/>
        </w:rPr>
        <w:fldChar w:fldCharType="end"/>
      </w:r>
      <w:r w:rsidR="00FD63C7">
        <w:rPr>
          <w:rFonts w:ascii="Times New Roman" w:hAnsi="Times New Roman" w:cs="Times New Roman"/>
          <w:sz w:val="24"/>
          <w:szCs w:val="24"/>
        </w:rPr>
        <w:t>.</w:t>
      </w:r>
    </w:p>
    <w:p w14:paraId="74B830C9" w14:textId="28A58120" w:rsidR="00F53D98" w:rsidRPr="00457BF7" w:rsidRDefault="00FD63C7" w:rsidP="00457BF7">
      <w:pPr>
        <w:pStyle w:val="ListParagraph"/>
        <w:spacing w:line="360" w:lineRule="auto"/>
        <w:ind w:left="1080" w:firstLine="360"/>
        <w:jc w:val="both"/>
        <w:rPr>
          <w:rFonts w:ascii="Times New Roman" w:hAnsi="Times New Roman" w:cs="Times New Roman"/>
          <w:sz w:val="28"/>
          <w:szCs w:val="28"/>
        </w:rPr>
      </w:pPr>
      <w:r w:rsidRPr="00BB474E">
        <w:rPr>
          <w:rFonts w:ascii="Times New Roman" w:hAnsi="Times New Roman" w:cs="Times New Roman"/>
          <w:sz w:val="24"/>
          <w:szCs w:val="24"/>
        </w:rPr>
        <w:t xml:space="preserve">Therefore, this study aimed to investigate the effects of hyperbaric oxygen therapy on spatial working memory performance and salivary biomarkers of amyloid-beta and tau in a rat model of </w:t>
      </w:r>
      <w:r w:rsidRPr="00BB474E">
        <w:rPr>
          <w:rFonts w:ascii="Times New Roman" w:hAnsi="Times New Roman" w:cs="Times New Roman"/>
          <w:i/>
          <w:iCs/>
          <w:sz w:val="24"/>
          <w:szCs w:val="24"/>
        </w:rPr>
        <w:t>Porphyromonas gingivalis</w:t>
      </w:r>
      <w:r w:rsidRPr="00BB474E">
        <w:rPr>
          <w:rFonts w:ascii="Times New Roman" w:hAnsi="Times New Roman" w:cs="Times New Roman"/>
          <w:sz w:val="24"/>
          <w:szCs w:val="24"/>
        </w:rPr>
        <w:t>-induced periodontitis.</w:t>
      </w:r>
    </w:p>
    <w:p w14:paraId="73B16B2E" w14:textId="77777777" w:rsidR="00F53D98" w:rsidRPr="00F53D98" w:rsidRDefault="00F53D98" w:rsidP="00F53D98"/>
    <w:p w14:paraId="76BD74D3" w14:textId="37114097" w:rsidR="009F04CE" w:rsidRPr="005B39B6" w:rsidRDefault="009F04CE" w:rsidP="00417AC0">
      <w:pPr>
        <w:pStyle w:val="Heading1"/>
        <w:numPr>
          <w:ilvl w:val="0"/>
          <w:numId w:val="9"/>
        </w:numPr>
        <w:spacing w:before="0" w:after="120" w:line="360" w:lineRule="auto"/>
        <w:jc w:val="both"/>
        <w:rPr>
          <w:rFonts w:ascii="Times New Roman" w:eastAsia="Google Sans" w:hAnsi="Times New Roman" w:cs="Times New Roman"/>
          <w:sz w:val="24"/>
          <w:szCs w:val="24"/>
        </w:rPr>
      </w:pPr>
      <w:r w:rsidRPr="005B39B6">
        <w:rPr>
          <w:rFonts w:ascii="Times New Roman" w:eastAsia="Google Sans" w:hAnsi="Times New Roman" w:cs="Times New Roman"/>
          <w:sz w:val="24"/>
          <w:szCs w:val="24"/>
        </w:rPr>
        <w:t>Materials and Methods</w:t>
      </w:r>
    </w:p>
    <w:p w14:paraId="3B080DAD" w14:textId="57A30B62" w:rsidR="009F04CE" w:rsidRPr="005B39B6" w:rsidRDefault="009F04CE" w:rsidP="00417AC0">
      <w:pPr>
        <w:pStyle w:val="Heading2"/>
        <w:spacing w:before="0" w:after="120" w:line="360" w:lineRule="auto"/>
        <w:ind w:left="284"/>
        <w:jc w:val="both"/>
        <w:rPr>
          <w:rFonts w:ascii="Times New Roman" w:eastAsia="Google Sans" w:hAnsi="Times New Roman" w:cs="Times New Roman"/>
          <w:sz w:val="24"/>
          <w:szCs w:val="24"/>
        </w:rPr>
      </w:pPr>
      <w:r w:rsidRPr="005B39B6">
        <w:rPr>
          <w:rFonts w:ascii="Times New Roman" w:eastAsia="Google Sans" w:hAnsi="Times New Roman" w:cs="Times New Roman"/>
          <w:sz w:val="24"/>
          <w:szCs w:val="24"/>
        </w:rPr>
        <w:t xml:space="preserve">2.1 </w:t>
      </w:r>
      <w:r w:rsidR="0039208E" w:rsidRPr="005B39B6">
        <w:rPr>
          <w:rFonts w:ascii="Times New Roman" w:eastAsia="Google Sans" w:hAnsi="Times New Roman" w:cs="Times New Roman"/>
          <w:sz w:val="24"/>
          <w:szCs w:val="24"/>
        </w:rPr>
        <w:t xml:space="preserve">Animal </w:t>
      </w:r>
      <w:r w:rsidR="0039208E">
        <w:rPr>
          <w:rFonts w:ascii="Times New Roman" w:eastAsia="Google Sans" w:hAnsi="Times New Roman" w:cs="Times New Roman"/>
          <w:sz w:val="24"/>
          <w:szCs w:val="24"/>
        </w:rPr>
        <w:t xml:space="preserve">and </w:t>
      </w:r>
      <w:r w:rsidRPr="005B39B6">
        <w:rPr>
          <w:rFonts w:ascii="Times New Roman" w:eastAsia="Google Sans" w:hAnsi="Times New Roman" w:cs="Times New Roman"/>
          <w:sz w:val="24"/>
          <w:szCs w:val="24"/>
        </w:rPr>
        <w:t xml:space="preserve">Experimental Design </w:t>
      </w:r>
    </w:p>
    <w:p w14:paraId="33C95FEF" w14:textId="0198541D" w:rsidR="009F04CE" w:rsidRDefault="0039208E" w:rsidP="00FA71E9">
      <w:pPr>
        <w:pBdr>
          <w:top w:val="nil"/>
          <w:left w:val="nil"/>
          <w:bottom w:val="nil"/>
          <w:right w:val="nil"/>
          <w:between w:val="nil"/>
        </w:pBdr>
        <w:spacing w:after="240" w:line="360" w:lineRule="auto"/>
        <w:ind w:left="720" w:firstLine="720"/>
        <w:jc w:val="both"/>
        <w:rPr>
          <w:rFonts w:ascii="Times New Roman" w:eastAsia="Google Sans Text" w:hAnsi="Times New Roman" w:cs="Times New Roman"/>
          <w:sz w:val="24"/>
          <w:szCs w:val="24"/>
        </w:rPr>
      </w:pPr>
      <w:r>
        <w:rPr>
          <w:rFonts w:ascii="Times New Roman" w:eastAsia="Google Sans Text" w:hAnsi="Times New Roman" w:cs="Times New Roman"/>
          <w:sz w:val="24"/>
          <w:szCs w:val="24"/>
        </w:rPr>
        <w:t>T</w:t>
      </w:r>
      <w:r w:rsidR="009F04CE" w:rsidRPr="005B39B6">
        <w:rPr>
          <w:rFonts w:ascii="Times New Roman" w:eastAsia="Google Sans Text" w:hAnsi="Times New Roman" w:cs="Times New Roman"/>
          <w:sz w:val="24"/>
          <w:szCs w:val="24"/>
        </w:rPr>
        <w:t>his study</w:t>
      </w:r>
      <w:r>
        <w:rPr>
          <w:rFonts w:ascii="Times New Roman" w:eastAsia="Google Sans Text" w:hAnsi="Times New Roman" w:cs="Times New Roman"/>
          <w:sz w:val="24"/>
          <w:szCs w:val="24"/>
        </w:rPr>
        <w:t xml:space="preserve"> is a </w:t>
      </w:r>
      <w:r w:rsidR="009F04CE" w:rsidRPr="005B39B6">
        <w:rPr>
          <w:rFonts w:ascii="Times New Roman" w:eastAsia="Google Sans Text" w:hAnsi="Times New Roman" w:cs="Times New Roman"/>
          <w:sz w:val="24"/>
          <w:szCs w:val="24"/>
        </w:rPr>
        <w:t>randomized experimental design utilizing 33 male Sprague–Dawley rats, aged 10 weeks, with an initial body weight ranging from 150 to 180 g. The animals were randomly assigned to three experimental groups (n=11 per group): the Negative Control Group (</w:t>
      </w:r>
      <w:proofErr w:type="gramStart"/>
      <w:r w:rsidR="00CA48D1" w:rsidRPr="005B39B6">
        <w:rPr>
          <w:rFonts w:ascii="Times New Roman" w:eastAsia="Google Sans Text" w:hAnsi="Times New Roman" w:cs="Times New Roman"/>
          <w:sz w:val="24"/>
          <w:szCs w:val="24"/>
        </w:rPr>
        <w:t>C</w:t>
      </w:r>
      <w:r w:rsidR="009F04CE" w:rsidRPr="005B39B6">
        <w:rPr>
          <w:rFonts w:ascii="Times New Roman" w:eastAsia="Google Sans Text" w:hAnsi="Times New Roman" w:cs="Times New Roman"/>
          <w:sz w:val="24"/>
          <w:szCs w:val="24"/>
        </w:rPr>
        <w:t>(</w:t>
      </w:r>
      <w:proofErr w:type="gramEnd"/>
      <w:r w:rsidR="009F04CE" w:rsidRPr="005B39B6">
        <w:rPr>
          <w:rFonts w:ascii="Times New Roman" w:eastAsia="Google Sans Text" w:hAnsi="Times New Roman" w:cs="Times New Roman"/>
          <w:sz w:val="24"/>
          <w:szCs w:val="24"/>
        </w:rPr>
        <w:t>-), no induction), the Positive Control Group (</w:t>
      </w:r>
      <w:proofErr w:type="gramStart"/>
      <w:r w:rsidR="00CA48D1" w:rsidRPr="005B39B6">
        <w:rPr>
          <w:rFonts w:ascii="Times New Roman" w:eastAsia="Google Sans Text" w:hAnsi="Times New Roman" w:cs="Times New Roman"/>
          <w:sz w:val="24"/>
          <w:szCs w:val="24"/>
        </w:rPr>
        <w:t>C</w:t>
      </w:r>
      <w:r w:rsidR="009F04CE" w:rsidRPr="005B39B6">
        <w:rPr>
          <w:rFonts w:ascii="Times New Roman" w:eastAsia="Google Sans Text" w:hAnsi="Times New Roman" w:cs="Times New Roman"/>
          <w:sz w:val="24"/>
          <w:szCs w:val="24"/>
        </w:rPr>
        <w:t>(</w:t>
      </w:r>
      <w:proofErr w:type="gramEnd"/>
      <w:r w:rsidR="009F04CE" w:rsidRPr="005B39B6">
        <w:rPr>
          <w:rFonts w:ascii="Times New Roman" w:eastAsia="Google Sans Text" w:hAnsi="Times New Roman" w:cs="Times New Roman"/>
          <w:sz w:val="24"/>
          <w:szCs w:val="24"/>
        </w:rPr>
        <w:t xml:space="preserve">+), </w:t>
      </w:r>
      <w:r w:rsidR="009F04CE" w:rsidRPr="005B39B6">
        <w:rPr>
          <w:rFonts w:ascii="Times New Roman" w:eastAsia="Google Sans Text" w:hAnsi="Times New Roman" w:cs="Times New Roman"/>
          <w:i/>
          <w:iCs/>
          <w:sz w:val="24"/>
          <w:szCs w:val="24"/>
        </w:rPr>
        <w:t>P. gingivalis</w:t>
      </w:r>
      <w:r w:rsidR="009F04CE" w:rsidRPr="005B39B6">
        <w:rPr>
          <w:rFonts w:ascii="Times New Roman" w:eastAsia="Google Sans Text" w:hAnsi="Times New Roman" w:cs="Times New Roman"/>
          <w:sz w:val="24"/>
          <w:szCs w:val="24"/>
        </w:rPr>
        <w:t xml:space="preserve"> induction only), and the Treatment Group (</w:t>
      </w:r>
      <w:r w:rsidR="00CA48D1" w:rsidRPr="005B39B6">
        <w:rPr>
          <w:rFonts w:ascii="Times New Roman" w:eastAsia="Google Sans Text" w:hAnsi="Times New Roman" w:cs="Times New Roman"/>
          <w:sz w:val="24"/>
          <w:szCs w:val="24"/>
        </w:rPr>
        <w:t>T</w:t>
      </w:r>
      <w:r w:rsidR="009F04CE" w:rsidRPr="005B39B6">
        <w:rPr>
          <w:rFonts w:ascii="Times New Roman" w:eastAsia="Google Sans Text" w:hAnsi="Times New Roman" w:cs="Times New Roman"/>
          <w:sz w:val="24"/>
          <w:szCs w:val="24"/>
        </w:rPr>
        <w:t xml:space="preserve">, </w:t>
      </w:r>
      <w:r w:rsidR="009F04CE" w:rsidRPr="005B39B6">
        <w:rPr>
          <w:rFonts w:ascii="Times New Roman" w:eastAsia="Google Sans Text" w:hAnsi="Times New Roman" w:cs="Times New Roman"/>
          <w:i/>
          <w:iCs/>
          <w:sz w:val="24"/>
          <w:szCs w:val="24"/>
        </w:rPr>
        <w:t>P. gingivalis</w:t>
      </w:r>
      <w:r w:rsidR="009F04CE" w:rsidRPr="005B39B6">
        <w:rPr>
          <w:rFonts w:ascii="Times New Roman" w:eastAsia="Google Sans Text" w:hAnsi="Times New Roman" w:cs="Times New Roman"/>
          <w:sz w:val="24"/>
          <w:szCs w:val="24"/>
        </w:rPr>
        <w:t xml:space="preserve"> induction followed by Hyperbaric Oxygen Therapy). </w:t>
      </w:r>
      <w:r w:rsidR="00837A61" w:rsidRPr="005B39B6">
        <w:rPr>
          <w:rFonts w:ascii="Times New Roman" w:eastAsia="Google Sans Text" w:hAnsi="Times New Roman" w:cs="Times New Roman"/>
          <w:sz w:val="24"/>
          <w:szCs w:val="24"/>
        </w:rPr>
        <w:t>Before</w:t>
      </w:r>
      <w:r w:rsidR="009F04CE" w:rsidRPr="005B39B6">
        <w:rPr>
          <w:rFonts w:ascii="Times New Roman" w:eastAsia="Google Sans Text" w:hAnsi="Times New Roman" w:cs="Times New Roman"/>
          <w:sz w:val="24"/>
          <w:szCs w:val="24"/>
        </w:rPr>
        <w:t xml:space="preserve"> experimentation, all animals underwent a one-week acclimatization period under controlled environmental conditions (18–26 °C, 30–70% humidity, 12:12-hour light–dark cycle) with </w:t>
      </w:r>
      <w:r w:rsidR="009F04CE" w:rsidRPr="005B39B6">
        <w:rPr>
          <w:rFonts w:ascii="Times New Roman" w:eastAsia="Google Sans Text" w:hAnsi="Times New Roman" w:cs="Times New Roman"/>
          <w:i/>
          <w:iCs/>
          <w:sz w:val="24"/>
          <w:szCs w:val="24"/>
        </w:rPr>
        <w:t>ad libitum</w:t>
      </w:r>
      <w:r w:rsidR="009F04CE" w:rsidRPr="005B39B6">
        <w:rPr>
          <w:rFonts w:ascii="Times New Roman" w:eastAsia="Google Sans Text" w:hAnsi="Times New Roman" w:cs="Times New Roman"/>
          <w:sz w:val="24"/>
          <w:szCs w:val="24"/>
        </w:rPr>
        <w:t xml:space="preserve"> access to standard pellet feed and drinking water. Ethical approval for all animal procedures was obtained from the institutional animal research ethics committee.</w:t>
      </w:r>
    </w:p>
    <w:p w14:paraId="627F3497" w14:textId="77777777" w:rsidR="00055B84" w:rsidRPr="005B39B6" w:rsidRDefault="00055B84" w:rsidP="00FA71E9">
      <w:pPr>
        <w:pBdr>
          <w:top w:val="nil"/>
          <w:left w:val="nil"/>
          <w:bottom w:val="nil"/>
          <w:right w:val="nil"/>
          <w:between w:val="nil"/>
        </w:pBdr>
        <w:spacing w:after="240" w:line="360" w:lineRule="auto"/>
        <w:ind w:left="720" w:firstLine="720"/>
        <w:jc w:val="both"/>
        <w:rPr>
          <w:rFonts w:ascii="Times New Roman" w:eastAsia="Google Sans Text" w:hAnsi="Times New Roman" w:cs="Times New Roman"/>
          <w:sz w:val="24"/>
          <w:szCs w:val="24"/>
        </w:rPr>
      </w:pPr>
    </w:p>
    <w:p w14:paraId="6A29461C" w14:textId="589F2C0A" w:rsidR="009F04CE" w:rsidRPr="005B39B6" w:rsidRDefault="009F04CE" w:rsidP="00417AC0">
      <w:pPr>
        <w:pStyle w:val="Heading2"/>
        <w:spacing w:before="0" w:after="120" w:line="360" w:lineRule="auto"/>
        <w:ind w:left="284"/>
        <w:jc w:val="both"/>
        <w:rPr>
          <w:rFonts w:ascii="Times New Roman" w:eastAsia="Google Sans" w:hAnsi="Times New Roman" w:cs="Times New Roman"/>
          <w:sz w:val="24"/>
          <w:szCs w:val="24"/>
        </w:rPr>
      </w:pPr>
      <w:r w:rsidRPr="005B39B6">
        <w:rPr>
          <w:rFonts w:ascii="Times New Roman" w:eastAsia="Google Sans" w:hAnsi="Times New Roman" w:cs="Times New Roman"/>
          <w:sz w:val="24"/>
          <w:szCs w:val="24"/>
        </w:rPr>
        <w:lastRenderedPageBreak/>
        <w:t xml:space="preserve">2.2 Induction of Periodontitis with </w:t>
      </w:r>
      <w:r w:rsidRPr="005B39B6">
        <w:rPr>
          <w:rFonts w:ascii="Times New Roman" w:eastAsia="Google Sans Text" w:hAnsi="Times New Roman" w:cs="Times New Roman"/>
          <w:i/>
          <w:iCs/>
          <w:sz w:val="24"/>
          <w:szCs w:val="24"/>
        </w:rPr>
        <w:t>Porphyromonas gingivalis</w:t>
      </w:r>
      <w:r w:rsidRPr="005B39B6">
        <w:rPr>
          <w:rFonts w:ascii="Times New Roman" w:eastAsia="Google Sans" w:hAnsi="Times New Roman" w:cs="Times New Roman"/>
          <w:sz w:val="24"/>
          <w:szCs w:val="24"/>
        </w:rPr>
        <w:t xml:space="preserve"> Suspension</w:t>
      </w:r>
    </w:p>
    <w:p w14:paraId="0752DD4A" w14:textId="4511795E" w:rsidR="009F04CE" w:rsidRPr="005B39B6" w:rsidRDefault="009F04CE" w:rsidP="00055B84">
      <w:pPr>
        <w:pBdr>
          <w:top w:val="nil"/>
          <w:left w:val="nil"/>
          <w:bottom w:val="nil"/>
          <w:right w:val="nil"/>
          <w:between w:val="nil"/>
        </w:pBdr>
        <w:spacing w:after="240" w:line="360" w:lineRule="auto"/>
        <w:ind w:left="284" w:firstLine="436"/>
        <w:jc w:val="both"/>
        <w:rPr>
          <w:rFonts w:ascii="Times New Roman" w:eastAsia="Google Sans Text" w:hAnsi="Times New Roman" w:cs="Times New Roman"/>
          <w:sz w:val="24"/>
          <w:szCs w:val="24"/>
        </w:rPr>
      </w:pPr>
      <w:r w:rsidRPr="005B39B6">
        <w:rPr>
          <w:rFonts w:ascii="Times New Roman" w:eastAsia="Google Sans Text" w:hAnsi="Times New Roman" w:cs="Times New Roman"/>
          <w:sz w:val="24"/>
          <w:szCs w:val="24"/>
        </w:rPr>
        <w:t xml:space="preserve">Following the acclimatization period, rats in groups </w:t>
      </w:r>
      <w:proofErr w:type="gramStart"/>
      <w:r w:rsidR="00CA48D1" w:rsidRPr="005B39B6">
        <w:rPr>
          <w:rFonts w:ascii="Times New Roman" w:eastAsia="Google Sans Text" w:hAnsi="Times New Roman" w:cs="Times New Roman"/>
          <w:sz w:val="24"/>
          <w:szCs w:val="24"/>
        </w:rPr>
        <w:t>C</w:t>
      </w:r>
      <w:r w:rsidRPr="005B39B6">
        <w:rPr>
          <w:rFonts w:ascii="Times New Roman" w:eastAsia="Google Sans Text" w:hAnsi="Times New Roman" w:cs="Times New Roman"/>
          <w:sz w:val="24"/>
          <w:szCs w:val="24"/>
        </w:rPr>
        <w:t>(</w:t>
      </w:r>
      <w:proofErr w:type="gramEnd"/>
      <w:r w:rsidRPr="005B39B6">
        <w:rPr>
          <w:rFonts w:ascii="Times New Roman" w:eastAsia="Google Sans Text" w:hAnsi="Times New Roman" w:cs="Times New Roman"/>
          <w:sz w:val="24"/>
          <w:szCs w:val="24"/>
        </w:rPr>
        <w:t xml:space="preserve">+) and </w:t>
      </w:r>
      <w:r w:rsidR="00CA48D1" w:rsidRPr="005B39B6">
        <w:rPr>
          <w:rFonts w:ascii="Times New Roman" w:eastAsia="Google Sans Text" w:hAnsi="Times New Roman" w:cs="Times New Roman"/>
          <w:sz w:val="24"/>
          <w:szCs w:val="24"/>
        </w:rPr>
        <w:t>T</w:t>
      </w:r>
      <w:r w:rsidRPr="005B39B6">
        <w:rPr>
          <w:rFonts w:ascii="Times New Roman" w:eastAsia="Google Sans Text" w:hAnsi="Times New Roman" w:cs="Times New Roman"/>
          <w:sz w:val="24"/>
          <w:szCs w:val="24"/>
        </w:rPr>
        <w:t xml:space="preserve"> were subjected to experimental periodontitis induction. Induction utilized a suspension of whole </w:t>
      </w:r>
      <w:r w:rsidRPr="005B39B6">
        <w:rPr>
          <w:rFonts w:ascii="Times New Roman" w:eastAsia="Google Sans Text" w:hAnsi="Times New Roman" w:cs="Times New Roman"/>
          <w:i/>
          <w:iCs/>
          <w:sz w:val="24"/>
          <w:szCs w:val="24"/>
        </w:rPr>
        <w:t>Porphyromonas gingivalis</w:t>
      </w:r>
      <w:r w:rsidRPr="005B39B6">
        <w:rPr>
          <w:rFonts w:ascii="Times New Roman" w:eastAsia="Google Sans Text" w:hAnsi="Times New Roman" w:cs="Times New Roman"/>
          <w:sz w:val="24"/>
          <w:szCs w:val="24"/>
        </w:rPr>
        <w:t xml:space="preserve"> (ATCC 33277 PK/5). The infection dose </w:t>
      </w:r>
      <w:r w:rsidRPr="00D4263E">
        <w:rPr>
          <w:rFonts w:ascii="Times New Roman" w:eastAsia="Google Sans Text" w:hAnsi="Times New Roman" w:cs="Times New Roman"/>
          <w:sz w:val="24"/>
          <w:szCs w:val="24"/>
        </w:rPr>
        <w:t xml:space="preserve">was 3 </w:t>
      </w:r>
      <w:r w:rsidR="0039208E" w:rsidRPr="00D4263E">
        <w:rPr>
          <w:rFonts w:ascii="Times New Roman" w:eastAsia="Google Sans Text" w:hAnsi="Times New Roman" w:cs="Times New Roman"/>
          <w:sz w:val="24"/>
          <w:szCs w:val="24"/>
        </w:rPr>
        <w:t>ml</w:t>
      </w:r>
      <w:r w:rsidRPr="00D4263E">
        <w:rPr>
          <w:rFonts w:ascii="Times New Roman" w:eastAsia="Google Sans Text" w:hAnsi="Times New Roman" w:cs="Times New Roman"/>
          <w:sz w:val="24"/>
          <w:szCs w:val="24"/>
        </w:rPr>
        <w:t xml:space="preserve"> (1 </w:t>
      </w:r>
      <w:r w:rsidR="00CA48D1" w:rsidRPr="00D4263E">
        <w:rPr>
          <w:rFonts w:ascii="Times New Roman" w:eastAsia="Google Sans Text" w:hAnsi="Times New Roman" w:cs="Times New Roman"/>
          <w:sz w:val="24"/>
          <w:szCs w:val="24"/>
        </w:rPr>
        <w:t>x</w:t>
      </w:r>
      <w:r w:rsidRPr="00D4263E">
        <w:rPr>
          <w:rFonts w:ascii="Times New Roman" w:eastAsia="Google Sans Text" w:hAnsi="Times New Roman" w:cs="Times New Roman"/>
          <w:sz w:val="24"/>
          <w:szCs w:val="24"/>
        </w:rPr>
        <w:t xml:space="preserve">10⁹ Colony Forming Units [CFU]/ml) applied to the subgingival sulcus of the posterior molar region of the lower jaw (right and left sides) using a 5 </w:t>
      </w:r>
      <w:r w:rsidR="0039208E" w:rsidRPr="00D4263E">
        <w:rPr>
          <w:rFonts w:ascii="Times New Roman" w:eastAsia="Google Sans Text" w:hAnsi="Times New Roman" w:cs="Times New Roman"/>
          <w:sz w:val="24"/>
          <w:szCs w:val="24"/>
        </w:rPr>
        <w:t>ml</w:t>
      </w:r>
      <w:r w:rsidRPr="00D4263E">
        <w:rPr>
          <w:rFonts w:ascii="Times New Roman" w:eastAsia="Google Sans Text" w:hAnsi="Times New Roman" w:cs="Times New Roman"/>
          <w:sz w:val="24"/>
          <w:szCs w:val="24"/>
        </w:rPr>
        <w:t xml:space="preserve"> </w:t>
      </w:r>
      <w:proofErr w:type="spellStart"/>
      <w:r w:rsidRPr="00D4263E">
        <w:rPr>
          <w:rFonts w:ascii="Times New Roman" w:eastAsia="Google Sans Text" w:hAnsi="Times New Roman" w:cs="Times New Roman"/>
          <w:sz w:val="24"/>
          <w:szCs w:val="24"/>
        </w:rPr>
        <w:t>microsy</w:t>
      </w:r>
      <w:r w:rsidRPr="005B39B6">
        <w:rPr>
          <w:rFonts w:ascii="Times New Roman" w:eastAsia="Google Sans Text" w:hAnsi="Times New Roman" w:cs="Times New Roman"/>
          <w:sz w:val="24"/>
          <w:szCs w:val="24"/>
        </w:rPr>
        <w:t>ringe</w:t>
      </w:r>
      <w:proofErr w:type="spellEnd"/>
      <w:r w:rsidRPr="005B39B6">
        <w:rPr>
          <w:rFonts w:ascii="Times New Roman" w:eastAsia="Google Sans Text" w:hAnsi="Times New Roman" w:cs="Times New Roman"/>
          <w:sz w:val="24"/>
          <w:szCs w:val="24"/>
        </w:rPr>
        <w:t xml:space="preserve"> (Hamilton, Switzerland). This procedure was repeated every two days for a total duration of five consecutive weeks to establish </w:t>
      </w:r>
      <w:r w:rsidR="005779F1" w:rsidRPr="00BA6DC3">
        <w:rPr>
          <w:rFonts w:ascii="Times New Roman" w:eastAsia="Google Sans Text" w:hAnsi="Times New Roman" w:cs="Times New Roman"/>
          <w:sz w:val="24"/>
          <w:szCs w:val="24"/>
        </w:rPr>
        <w:t xml:space="preserve">bone resorption as an indicator of periodontitis caused by </w:t>
      </w:r>
      <w:r w:rsidR="005779F1" w:rsidRPr="0033368A">
        <w:rPr>
          <w:rFonts w:ascii="Times New Roman" w:hAnsi="Times New Roman" w:cs="Times New Roman"/>
          <w:sz w:val="24"/>
          <w:szCs w:val="24"/>
        </w:rPr>
        <w:t>P. gingivalis</w:t>
      </w:r>
      <w:r w:rsidR="005779F1" w:rsidRPr="00BA6DC3">
        <w:rPr>
          <w:rFonts w:ascii="Times New Roman" w:eastAsia="Google Sans Text" w:hAnsi="Times New Roman" w:cs="Times New Roman"/>
          <w:sz w:val="24"/>
          <w:szCs w:val="24"/>
        </w:rPr>
        <w:t xml:space="preserve"> induction</w:t>
      </w:r>
      <w:r w:rsidR="005779F1" w:rsidRPr="005B39B6">
        <w:rPr>
          <w:rFonts w:ascii="Times New Roman" w:eastAsia="Google Sans Text" w:hAnsi="Times New Roman" w:cs="Times New Roman"/>
          <w:sz w:val="24"/>
          <w:szCs w:val="24"/>
        </w:rPr>
        <w:t>, confirmed subsequently by</w:t>
      </w:r>
      <w:r w:rsidR="005779F1">
        <w:rPr>
          <w:rFonts w:ascii="Times New Roman" w:eastAsia="Google Sans Text" w:hAnsi="Times New Roman" w:cs="Times New Roman"/>
          <w:sz w:val="24"/>
          <w:szCs w:val="24"/>
        </w:rPr>
        <w:t xml:space="preserve"> </w:t>
      </w:r>
      <w:proofErr w:type="gramStart"/>
      <w:r w:rsidR="005779F1">
        <w:rPr>
          <w:rFonts w:ascii="Times New Roman" w:eastAsia="Google Sans Text" w:hAnsi="Times New Roman" w:cs="Times New Roman"/>
          <w:sz w:val="24"/>
          <w:szCs w:val="24"/>
        </w:rPr>
        <w:t>micro CT</w:t>
      </w:r>
      <w:r w:rsidR="005779F1" w:rsidRPr="005B39B6">
        <w:rPr>
          <w:rFonts w:ascii="Times New Roman" w:eastAsia="Google Sans Text" w:hAnsi="Times New Roman" w:cs="Times New Roman"/>
          <w:sz w:val="24"/>
          <w:szCs w:val="24"/>
        </w:rPr>
        <w:t>.</w:t>
      </w:r>
      <w:proofErr w:type="gramEnd"/>
    </w:p>
    <w:p w14:paraId="49F3AD9A" w14:textId="154840A8" w:rsidR="009F04CE" w:rsidRPr="005B39B6" w:rsidRDefault="009F04CE" w:rsidP="00417AC0">
      <w:pPr>
        <w:pStyle w:val="Heading2"/>
        <w:spacing w:before="0" w:after="120" w:line="360" w:lineRule="auto"/>
        <w:ind w:left="284"/>
        <w:jc w:val="both"/>
        <w:rPr>
          <w:rFonts w:ascii="Times New Roman" w:eastAsia="Google Sans" w:hAnsi="Times New Roman" w:cs="Times New Roman"/>
          <w:sz w:val="24"/>
          <w:szCs w:val="24"/>
        </w:rPr>
      </w:pPr>
      <w:r w:rsidRPr="005B39B6">
        <w:rPr>
          <w:rFonts w:ascii="Times New Roman" w:eastAsia="Google Sans" w:hAnsi="Times New Roman" w:cs="Times New Roman"/>
          <w:sz w:val="24"/>
          <w:szCs w:val="24"/>
        </w:rPr>
        <w:t>2.3 Hyperbaric Oxygen Therapy and Handling Control Protocols</w:t>
      </w:r>
    </w:p>
    <w:p w14:paraId="59999A59" w14:textId="2127FCA0" w:rsidR="009F04CE" w:rsidRPr="005B39B6" w:rsidRDefault="009F04CE" w:rsidP="0039208E">
      <w:pPr>
        <w:pBdr>
          <w:top w:val="nil"/>
          <w:left w:val="nil"/>
          <w:bottom w:val="nil"/>
          <w:right w:val="nil"/>
          <w:between w:val="nil"/>
        </w:pBdr>
        <w:spacing w:after="240" w:line="360" w:lineRule="auto"/>
        <w:ind w:left="720" w:firstLine="436"/>
        <w:jc w:val="both"/>
        <w:rPr>
          <w:rFonts w:ascii="Times New Roman" w:eastAsia="Google Sans Text" w:hAnsi="Times New Roman" w:cs="Times New Roman"/>
          <w:sz w:val="24"/>
          <w:szCs w:val="24"/>
        </w:rPr>
      </w:pPr>
      <w:r w:rsidRPr="005B39B6">
        <w:rPr>
          <w:rFonts w:ascii="Times New Roman" w:eastAsia="Google Sans Text" w:hAnsi="Times New Roman" w:cs="Times New Roman"/>
          <w:sz w:val="24"/>
          <w:szCs w:val="24"/>
        </w:rPr>
        <w:t>The four-week interventional period commenced after the five-week induction phase (starting Week 5). Only the Treatment Group (</w:t>
      </w:r>
      <w:r w:rsidR="00CA48D1" w:rsidRPr="005B39B6">
        <w:rPr>
          <w:rFonts w:ascii="Times New Roman" w:eastAsia="Google Sans Text" w:hAnsi="Times New Roman" w:cs="Times New Roman"/>
          <w:sz w:val="24"/>
          <w:szCs w:val="24"/>
        </w:rPr>
        <w:t>T</w:t>
      </w:r>
      <w:r w:rsidRPr="005B39B6">
        <w:rPr>
          <w:rFonts w:ascii="Times New Roman" w:eastAsia="Google Sans Text" w:hAnsi="Times New Roman" w:cs="Times New Roman"/>
          <w:sz w:val="24"/>
          <w:szCs w:val="24"/>
        </w:rPr>
        <w:t>) received HBOT</w:t>
      </w:r>
      <w:r w:rsidR="0039208E">
        <w:rPr>
          <w:rFonts w:ascii="Times New Roman" w:eastAsia="Google Sans Text" w:hAnsi="Times New Roman" w:cs="Times New Roman"/>
          <w:sz w:val="24"/>
          <w:szCs w:val="24"/>
        </w:rPr>
        <w:t xml:space="preserve"> </w:t>
      </w:r>
      <w:r w:rsidR="0039208E" w:rsidRPr="005B39B6">
        <w:rPr>
          <w:rFonts w:ascii="Times New Roman" w:eastAsia="Google Sans Text" w:hAnsi="Times New Roman" w:cs="Times New Roman"/>
          <w:sz w:val="24"/>
          <w:szCs w:val="24"/>
        </w:rPr>
        <w:t xml:space="preserve">in a chamber pressurized to 2.0 Atmospheres Absolute (ATA) </w:t>
      </w:r>
      <w:r w:rsidR="0039208E" w:rsidRPr="005B39B6">
        <w:rPr>
          <w:rFonts w:ascii="Times New Roman" w:eastAsia="Google Sans Text" w:hAnsi="Times New Roman" w:cs="Times New Roman"/>
          <w:sz w:val="24"/>
          <w:szCs w:val="24"/>
          <w:vertAlign w:val="superscript"/>
        </w:rPr>
        <w:t>1</w:t>
      </w:r>
      <w:r w:rsidR="0039208E" w:rsidRPr="005B39B6">
        <w:rPr>
          <w:rFonts w:ascii="Times New Roman" w:eastAsia="Google Sans Text" w:hAnsi="Times New Roman" w:cs="Times New Roman"/>
          <w:sz w:val="24"/>
          <w:szCs w:val="24"/>
        </w:rPr>
        <w:t xml:space="preserve"> with 100% medical Oxygen. The protocol consisted of three phases: (1) gradual compression at 0.1 ATA/min; (2) core therapy lasting 60 minutes per session (divided into two 30-minute sessions with a 5-minute interval at 2.0 ATA); </w:t>
      </w:r>
      <w:r w:rsidR="0039208E" w:rsidRPr="005B39B6">
        <w:rPr>
          <w:rFonts w:ascii="Times New Roman" w:eastAsia="Google Sans Text" w:hAnsi="Times New Roman" w:cs="Times New Roman"/>
          <w:sz w:val="24"/>
          <w:szCs w:val="24"/>
          <w:vertAlign w:val="superscript"/>
        </w:rPr>
        <w:t>1</w:t>
      </w:r>
      <w:r w:rsidR="0039208E" w:rsidRPr="005B39B6">
        <w:rPr>
          <w:rFonts w:ascii="Times New Roman" w:eastAsia="Google Sans Text" w:hAnsi="Times New Roman" w:cs="Times New Roman"/>
          <w:sz w:val="24"/>
          <w:szCs w:val="24"/>
        </w:rPr>
        <w:t xml:space="preserve"> and (3) slow decompression at 0.1 ATA/min. Treatment was administered five times per week for four weeks (a total of 20 sessions).</w:t>
      </w:r>
      <w:r w:rsidR="0039208E" w:rsidRPr="005B39B6">
        <w:rPr>
          <w:rFonts w:ascii="Times New Roman" w:eastAsia="Google Sans Text" w:hAnsi="Times New Roman" w:cs="Times New Roman"/>
          <w:sz w:val="24"/>
          <w:szCs w:val="24"/>
          <w:vertAlign w:val="superscript"/>
        </w:rPr>
        <w:t>1</w:t>
      </w:r>
      <w:r w:rsidR="0039208E" w:rsidRPr="005B39B6">
        <w:rPr>
          <w:rFonts w:ascii="Times New Roman" w:eastAsia="Google Sans Text" w:hAnsi="Times New Roman" w:cs="Times New Roman"/>
          <w:sz w:val="24"/>
          <w:szCs w:val="24"/>
        </w:rPr>
        <w:t xml:space="preserve"> Animals were fasted 4–6 hours before each session and monitored closely.</w:t>
      </w:r>
      <w:r w:rsidRPr="005B39B6">
        <w:rPr>
          <w:rFonts w:ascii="Times New Roman" w:eastAsia="Google Sans Text" w:hAnsi="Times New Roman" w:cs="Times New Roman"/>
          <w:sz w:val="24"/>
          <w:szCs w:val="24"/>
        </w:rPr>
        <w:t xml:space="preserve"> </w:t>
      </w:r>
      <w:r w:rsidR="0039208E">
        <w:rPr>
          <w:rFonts w:ascii="Times New Roman" w:eastAsia="Google Sans Text" w:hAnsi="Times New Roman" w:cs="Times New Roman"/>
          <w:sz w:val="24"/>
          <w:szCs w:val="24"/>
        </w:rPr>
        <w:t>W</w:t>
      </w:r>
      <w:r w:rsidRPr="005B39B6">
        <w:rPr>
          <w:rFonts w:ascii="Times New Roman" w:eastAsia="Google Sans Text" w:hAnsi="Times New Roman" w:cs="Times New Roman"/>
          <w:sz w:val="24"/>
          <w:szCs w:val="24"/>
        </w:rPr>
        <w:t>hile the control groups (</w:t>
      </w:r>
      <w:proofErr w:type="gramStart"/>
      <w:r w:rsidR="00CA48D1" w:rsidRPr="005B39B6">
        <w:rPr>
          <w:rFonts w:ascii="Times New Roman" w:eastAsia="Google Sans Text" w:hAnsi="Times New Roman" w:cs="Times New Roman"/>
          <w:sz w:val="24"/>
          <w:szCs w:val="24"/>
        </w:rPr>
        <w:t>C</w:t>
      </w:r>
      <w:r w:rsidRPr="005B39B6">
        <w:rPr>
          <w:rFonts w:ascii="Times New Roman" w:eastAsia="Google Sans Text" w:hAnsi="Times New Roman" w:cs="Times New Roman"/>
          <w:sz w:val="24"/>
          <w:szCs w:val="24"/>
        </w:rPr>
        <w:t>(</w:t>
      </w:r>
      <w:proofErr w:type="gramEnd"/>
      <w:r w:rsidRPr="005B39B6">
        <w:rPr>
          <w:rFonts w:ascii="Times New Roman" w:eastAsia="Google Sans Text" w:hAnsi="Times New Roman" w:cs="Times New Roman"/>
          <w:sz w:val="24"/>
          <w:szCs w:val="24"/>
        </w:rPr>
        <w:t xml:space="preserve">+) and </w:t>
      </w:r>
      <w:proofErr w:type="gramStart"/>
      <w:r w:rsidR="00CA48D1" w:rsidRPr="005B39B6">
        <w:rPr>
          <w:rFonts w:ascii="Times New Roman" w:eastAsia="Google Sans Text" w:hAnsi="Times New Roman" w:cs="Times New Roman"/>
          <w:sz w:val="24"/>
          <w:szCs w:val="24"/>
        </w:rPr>
        <w:t>C</w:t>
      </w:r>
      <w:r w:rsidRPr="005B39B6">
        <w:rPr>
          <w:rFonts w:ascii="Times New Roman" w:eastAsia="Google Sans Text" w:hAnsi="Times New Roman" w:cs="Times New Roman"/>
          <w:sz w:val="24"/>
          <w:szCs w:val="24"/>
        </w:rPr>
        <w:t>(</w:t>
      </w:r>
      <w:proofErr w:type="gramEnd"/>
      <w:r w:rsidRPr="005B39B6">
        <w:rPr>
          <w:rFonts w:ascii="Times New Roman" w:eastAsia="Google Sans Text" w:hAnsi="Times New Roman" w:cs="Times New Roman"/>
          <w:sz w:val="24"/>
          <w:szCs w:val="24"/>
        </w:rPr>
        <w:t>-)) underwent a rigorous Handling Control Protocol to isolate the effects of hyperoxia from routine handling and environmental stress</w:t>
      </w:r>
      <w:r w:rsidR="00EA2E41" w:rsidRPr="005B39B6">
        <w:rPr>
          <w:rFonts w:ascii="Times New Roman" w:eastAsia="Google Sans Text" w:hAnsi="Times New Roman" w:cs="Times New Roman"/>
          <w:sz w:val="24"/>
          <w:szCs w:val="24"/>
        </w:rPr>
        <w:t>.</w:t>
      </w:r>
    </w:p>
    <w:p w14:paraId="5D095811" w14:textId="4EB476A4" w:rsidR="009F04CE" w:rsidRPr="005B39B6" w:rsidRDefault="009F04CE" w:rsidP="00417AC0">
      <w:pPr>
        <w:pStyle w:val="Heading2"/>
        <w:spacing w:before="0" w:after="120" w:line="360" w:lineRule="auto"/>
        <w:ind w:left="284"/>
        <w:jc w:val="both"/>
        <w:rPr>
          <w:rFonts w:ascii="Times New Roman" w:eastAsia="Google Sans" w:hAnsi="Times New Roman" w:cs="Times New Roman"/>
          <w:sz w:val="24"/>
          <w:szCs w:val="24"/>
        </w:rPr>
      </w:pPr>
      <w:r w:rsidRPr="005B39B6">
        <w:rPr>
          <w:rFonts w:ascii="Times New Roman" w:eastAsia="Google Sans" w:hAnsi="Times New Roman" w:cs="Times New Roman"/>
          <w:sz w:val="24"/>
          <w:szCs w:val="24"/>
        </w:rPr>
        <w:t xml:space="preserve">2.4 Evaluation of Spatial Working Memory with </w:t>
      </w:r>
      <w:r w:rsidR="00EA2E41" w:rsidRPr="005B39B6">
        <w:rPr>
          <w:rFonts w:ascii="Times New Roman" w:eastAsia="Google Sans" w:hAnsi="Times New Roman" w:cs="Times New Roman"/>
          <w:sz w:val="24"/>
          <w:szCs w:val="24"/>
        </w:rPr>
        <w:t xml:space="preserve">the </w:t>
      </w:r>
      <w:r w:rsidRPr="005B39B6">
        <w:rPr>
          <w:rFonts w:ascii="Times New Roman" w:eastAsia="Google Sans" w:hAnsi="Times New Roman" w:cs="Times New Roman"/>
          <w:sz w:val="24"/>
          <w:szCs w:val="24"/>
        </w:rPr>
        <w:t>Y-Maze Test</w:t>
      </w:r>
    </w:p>
    <w:p w14:paraId="56AF67BD" w14:textId="36B0A076" w:rsidR="009F04CE" w:rsidRDefault="009F04CE" w:rsidP="00FA71E9">
      <w:pPr>
        <w:pBdr>
          <w:top w:val="nil"/>
          <w:left w:val="nil"/>
          <w:bottom w:val="nil"/>
          <w:right w:val="nil"/>
          <w:between w:val="nil"/>
        </w:pBdr>
        <w:spacing w:after="240" w:line="360" w:lineRule="auto"/>
        <w:ind w:left="720" w:firstLine="436"/>
        <w:jc w:val="both"/>
        <w:rPr>
          <w:rFonts w:ascii="Times New Roman" w:eastAsia="Google Sans Text" w:hAnsi="Times New Roman" w:cs="Times New Roman"/>
          <w:sz w:val="24"/>
          <w:szCs w:val="24"/>
        </w:rPr>
      </w:pPr>
      <w:r w:rsidRPr="005B39B6">
        <w:rPr>
          <w:rFonts w:ascii="Times New Roman" w:eastAsia="Google Sans Text" w:hAnsi="Times New Roman" w:cs="Times New Roman"/>
          <w:sz w:val="24"/>
          <w:szCs w:val="24"/>
        </w:rPr>
        <w:t xml:space="preserve">Spatial Working Memory was evaluated using the Spontaneous Alternation Test (SAT) in a Y-maze apparatus. The test parameters were recorded via video camera to document the sequence and number of arm entries. The percentage of spontaneous alternations was calculated as: (Number of spontaneous alternations / Total number of entries – 2) </w:t>
      </w:r>
      <w:r w:rsidR="008F6EEB">
        <w:rPr>
          <w:rFonts w:ascii="Times New Roman" w:eastAsia="Google Sans Text" w:hAnsi="Times New Roman" w:cs="Times New Roman"/>
          <w:sz w:val="24"/>
          <w:szCs w:val="24"/>
        </w:rPr>
        <w:t>X</w:t>
      </w:r>
      <w:r w:rsidRPr="005B39B6">
        <w:rPr>
          <w:rFonts w:ascii="Times New Roman" w:eastAsia="Google Sans Text" w:hAnsi="Times New Roman" w:cs="Times New Roman"/>
          <w:sz w:val="24"/>
          <w:szCs w:val="24"/>
        </w:rPr>
        <w:t xml:space="preserve"> 100%. Testing was conducted at three critical time points: Pre-test (Week 0), Post-induction (Week 5), and Post-HBOT (Week 9).</w:t>
      </w:r>
    </w:p>
    <w:p w14:paraId="5E1A91B5" w14:textId="77777777" w:rsidR="00055B84" w:rsidRPr="005B39B6" w:rsidRDefault="00055B84" w:rsidP="00FA71E9">
      <w:pPr>
        <w:pBdr>
          <w:top w:val="nil"/>
          <w:left w:val="nil"/>
          <w:bottom w:val="nil"/>
          <w:right w:val="nil"/>
          <w:between w:val="nil"/>
        </w:pBdr>
        <w:spacing w:after="240" w:line="360" w:lineRule="auto"/>
        <w:ind w:left="720" w:firstLine="436"/>
        <w:jc w:val="both"/>
        <w:rPr>
          <w:rFonts w:ascii="Times New Roman" w:eastAsia="Google Sans Text" w:hAnsi="Times New Roman" w:cs="Times New Roman"/>
          <w:sz w:val="24"/>
          <w:szCs w:val="24"/>
        </w:rPr>
      </w:pPr>
    </w:p>
    <w:p w14:paraId="00E67291" w14:textId="632B77C3" w:rsidR="009F04CE" w:rsidRPr="005B39B6" w:rsidRDefault="009F04CE" w:rsidP="00417AC0">
      <w:pPr>
        <w:pStyle w:val="Heading2"/>
        <w:spacing w:before="0" w:after="120" w:line="360" w:lineRule="auto"/>
        <w:ind w:left="284"/>
        <w:jc w:val="both"/>
        <w:rPr>
          <w:rFonts w:ascii="Times New Roman" w:eastAsia="Google Sans" w:hAnsi="Times New Roman" w:cs="Times New Roman"/>
          <w:sz w:val="24"/>
          <w:szCs w:val="24"/>
        </w:rPr>
      </w:pPr>
      <w:r w:rsidRPr="005B39B6">
        <w:rPr>
          <w:rFonts w:ascii="Times New Roman" w:eastAsia="Google Sans" w:hAnsi="Times New Roman" w:cs="Times New Roman"/>
          <w:sz w:val="24"/>
          <w:szCs w:val="24"/>
        </w:rPr>
        <w:lastRenderedPageBreak/>
        <w:t>2.5 Saliva Sample Collection and Biochemical Preparation</w:t>
      </w:r>
    </w:p>
    <w:p w14:paraId="12E2CA77" w14:textId="2F1D14D6" w:rsidR="009F04CE" w:rsidRPr="008F6EEB" w:rsidRDefault="008F6EEB" w:rsidP="008F6EEB">
      <w:pPr>
        <w:spacing w:line="360" w:lineRule="auto"/>
        <w:ind w:firstLine="720"/>
        <w:jc w:val="both"/>
        <w:rPr>
          <w:rFonts w:ascii="Times New Roman" w:eastAsia="Google Sans Text" w:hAnsi="Times New Roman" w:cs="Times New Roman"/>
          <w:sz w:val="24"/>
          <w:szCs w:val="24"/>
        </w:rPr>
      </w:pPr>
      <w:r w:rsidRPr="008F6EEB">
        <w:rPr>
          <w:rFonts w:ascii="Times New Roman" w:eastAsia="Google Sans Text" w:hAnsi="Times New Roman" w:cs="Times New Roman"/>
          <w:sz w:val="24"/>
          <w:szCs w:val="24"/>
        </w:rPr>
        <w:t>Saliva sampling was performed in the fifth week after P. gingivalis induction for C+</w:t>
      </w:r>
      <w:r w:rsidR="00A875CA">
        <w:rPr>
          <w:rFonts w:ascii="Times New Roman" w:eastAsia="Google Sans Text" w:hAnsi="Times New Roman" w:cs="Times New Roman"/>
          <w:sz w:val="24"/>
          <w:szCs w:val="24"/>
        </w:rPr>
        <w:t>,</w:t>
      </w:r>
      <w:r w:rsidRPr="008F6EEB">
        <w:rPr>
          <w:rFonts w:ascii="Times New Roman" w:eastAsia="Google Sans Text" w:hAnsi="Times New Roman" w:cs="Times New Roman"/>
          <w:sz w:val="24"/>
          <w:szCs w:val="24"/>
        </w:rPr>
        <w:t xml:space="preserve"> and four </w:t>
      </w:r>
      <w:r w:rsidR="00A875CA">
        <w:rPr>
          <w:rFonts w:ascii="Times New Roman" w:eastAsia="Google Sans Text" w:hAnsi="Times New Roman" w:cs="Times New Roman"/>
          <w:sz w:val="24"/>
          <w:szCs w:val="24"/>
        </w:rPr>
        <w:t>weeks</w:t>
      </w:r>
      <w:r w:rsidRPr="008F6EEB">
        <w:rPr>
          <w:rFonts w:ascii="Times New Roman" w:eastAsia="Google Sans Text" w:hAnsi="Times New Roman" w:cs="Times New Roman"/>
          <w:sz w:val="24"/>
          <w:szCs w:val="24"/>
        </w:rPr>
        <w:t xml:space="preserve"> after HBOT administration for T groups</w:t>
      </w:r>
      <w:r w:rsidR="006657C4" w:rsidRPr="006657C4">
        <w:t xml:space="preserve"> </w:t>
      </w:r>
      <w:r w:rsidR="006657C4" w:rsidRPr="006657C4">
        <w:rPr>
          <w:rFonts w:ascii="Times New Roman" w:eastAsia="Google Sans Text" w:hAnsi="Times New Roman" w:cs="Times New Roman"/>
          <w:sz w:val="24"/>
          <w:szCs w:val="24"/>
        </w:rPr>
        <w:t>Rats were anesthetized using a combination of ketamine (80 mg/kg BW) and xylazine (10 mg/kg BW), administered intraperitoneally, prior to saliva collection.</w:t>
      </w:r>
      <w:r w:rsidR="006657C4" w:rsidRPr="006657C4">
        <w:rPr>
          <w:rFonts w:ascii="Times New Roman" w:eastAsia="Google Sans Text" w:hAnsi="Times New Roman" w:cs="Times New Roman"/>
          <w:sz w:val="24"/>
          <w:szCs w:val="24"/>
        </w:rPr>
        <w:t xml:space="preserve"> </w:t>
      </w:r>
      <w:r w:rsidRPr="008F6EEB">
        <w:rPr>
          <w:rFonts w:ascii="Times New Roman" w:eastAsia="Google Sans Text" w:hAnsi="Times New Roman" w:cs="Times New Roman"/>
          <w:sz w:val="24"/>
          <w:szCs w:val="24"/>
        </w:rPr>
        <w:t xml:space="preserve">Saliva secretion was stimulated with pilocarpine nitrate (Sigma, 5 mg/kg BW, IP). Saliva was placed in plastic containers precoated with a 2% sodium </w:t>
      </w:r>
      <w:proofErr w:type="spellStart"/>
      <w:r w:rsidRPr="008F6EEB">
        <w:rPr>
          <w:rFonts w:ascii="Times New Roman" w:eastAsia="Google Sans Text" w:hAnsi="Times New Roman" w:cs="Times New Roman"/>
          <w:sz w:val="24"/>
          <w:szCs w:val="24"/>
        </w:rPr>
        <w:t>azide</w:t>
      </w:r>
      <w:proofErr w:type="spellEnd"/>
      <w:r w:rsidRPr="008F6EEB">
        <w:rPr>
          <w:rFonts w:ascii="Times New Roman" w:eastAsia="Google Sans Text" w:hAnsi="Times New Roman" w:cs="Times New Roman"/>
          <w:sz w:val="24"/>
          <w:szCs w:val="24"/>
        </w:rPr>
        <w:t xml:space="preserve"> solution and immediately placed on ice and centrifuged at low speed at 600×g for 10 minutes at 4°C. Aliquoted samples were frozen at -80°C after treatment with a protease inhibitor cocktail (Roche).  Aβ and </w:t>
      </w:r>
      <w:proofErr w:type="spellStart"/>
      <w:r w:rsidRPr="008F6EEB">
        <w:rPr>
          <w:rFonts w:ascii="Times New Roman" w:eastAsia="Google Sans Text" w:hAnsi="Times New Roman" w:cs="Times New Roman"/>
          <w:sz w:val="24"/>
          <w:szCs w:val="24"/>
        </w:rPr>
        <w:t>MAPTau</w:t>
      </w:r>
      <w:proofErr w:type="spellEnd"/>
      <w:r w:rsidRPr="008F6EEB">
        <w:rPr>
          <w:rFonts w:ascii="Times New Roman" w:eastAsia="Google Sans Text" w:hAnsi="Times New Roman" w:cs="Times New Roman"/>
          <w:sz w:val="24"/>
          <w:szCs w:val="24"/>
        </w:rPr>
        <w:t xml:space="preserve"> levels were measured using </w:t>
      </w:r>
      <w:proofErr w:type="gramStart"/>
      <w:r w:rsidRPr="008F6EEB">
        <w:rPr>
          <w:rFonts w:ascii="Times New Roman" w:eastAsia="Google Sans Text" w:hAnsi="Times New Roman" w:cs="Times New Roman"/>
          <w:sz w:val="24"/>
          <w:szCs w:val="24"/>
        </w:rPr>
        <w:t>Rat  A</w:t>
      </w:r>
      <w:proofErr w:type="gramEnd"/>
      <w:r w:rsidRPr="008F6EEB">
        <w:rPr>
          <w:rFonts w:ascii="Times New Roman" w:eastAsia="Google Sans Text" w:hAnsi="Times New Roman" w:cs="Times New Roman"/>
          <w:sz w:val="24"/>
          <w:szCs w:val="24"/>
        </w:rPr>
        <w:t xml:space="preserve">β 1-42 ELISA Kit, 96T from Reed Biotech, and </w:t>
      </w:r>
      <w:r w:rsidRPr="005B39B6">
        <w:rPr>
          <w:rFonts w:ascii="Times New Roman" w:eastAsia="Google Sans Text" w:hAnsi="Times New Roman" w:cs="Times New Roman"/>
          <w:sz w:val="24"/>
          <w:szCs w:val="24"/>
        </w:rPr>
        <w:t xml:space="preserve">Rat </w:t>
      </w:r>
      <w:proofErr w:type="spellStart"/>
      <w:proofErr w:type="gramStart"/>
      <w:r w:rsidRPr="005B39B6">
        <w:rPr>
          <w:rFonts w:ascii="Times New Roman" w:eastAsia="Google Sans Text" w:hAnsi="Times New Roman" w:cs="Times New Roman"/>
          <w:sz w:val="24"/>
          <w:szCs w:val="24"/>
        </w:rPr>
        <w:t>MAPt</w:t>
      </w:r>
      <w:proofErr w:type="spellEnd"/>
      <w:r w:rsidRPr="005B39B6">
        <w:rPr>
          <w:rFonts w:ascii="Times New Roman" w:eastAsia="Google Sans Text" w:hAnsi="Times New Roman" w:cs="Times New Roman"/>
          <w:sz w:val="24"/>
          <w:szCs w:val="24"/>
        </w:rPr>
        <w:t>(</w:t>
      </w:r>
      <w:proofErr w:type="gramEnd"/>
      <w:r w:rsidRPr="005B39B6">
        <w:rPr>
          <w:rFonts w:ascii="Times New Roman" w:eastAsia="Google Sans Text" w:hAnsi="Times New Roman" w:cs="Times New Roman"/>
          <w:sz w:val="24"/>
          <w:szCs w:val="24"/>
        </w:rPr>
        <w:t>Microtubule Associated Protein Tau) ELISA Kit</w:t>
      </w:r>
      <w:r>
        <w:rPr>
          <w:rFonts w:ascii="Times New Roman" w:eastAsia="Google Sans Text" w:hAnsi="Times New Roman" w:cs="Times New Roman"/>
          <w:sz w:val="24"/>
          <w:szCs w:val="24"/>
        </w:rPr>
        <w:t xml:space="preserve">, 96T </w:t>
      </w:r>
      <w:r w:rsidR="00A875CA">
        <w:rPr>
          <w:rFonts w:ascii="Times New Roman" w:eastAsia="Google Sans Text" w:hAnsi="Times New Roman" w:cs="Times New Roman"/>
          <w:sz w:val="24"/>
          <w:szCs w:val="24"/>
        </w:rPr>
        <w:t>from</w:t>
      </w:r>
      <w:r>
        <w:rPr>
          <w:rFonts w:ascii="Times New Roman" w:eastAsia="Google Sans Text" w:hAnsi="Times New Roman" w:cs="Times New Roman"/>
          <w:sz w:val="24"/>
          <w:szCs w:val="24"/>
        </w:rPr>
        <w:t xml:space="preserve"> Reed Biotech</w:t>
      </w:r>
      <w:r w:rsidR="00A875CA">
        <w:rPr>
          <w:rFonts w:ascii="Times New Roman" w:eastAsia="Google Sans Text" w:hAnsi="Times New Roman" w:cs="Times New Roman"/>
          <w:sz w:val="24"/>
          <w:szCs w:val="24"/>
        </w:rPr>
        <w:t>,</w:t>
      </w:r>
      <w:r w:rsidRPr="008F6EEB">
        <w:rPr>
          <w:rFonts w:ascii="Times New Roman" w:eastAsia="Google Sans Text" w:hAnsi="Times New Roman" w:cs="Times New Roman"/>
          <w:sz w:val="24"/>
          <w:szCs w:val="24"/>
        </w:rPr>
        <w:t xml:space="preserve"> respectively.</w:t>
      </w:r>
    </w:p>
    <w:p w14:paraId="770F2E82" w14:textId="7388C30A" w:rsidR="009F04CE" w:rsidRPr="005B39B6" w:rsidRDefault="009F04CE" w:rsidP="008F6EEB">
      <w:pPr>
        <w:pStyle w:val="Heading2"/>
        <w:numPr>
          <w:ilvl w:val="1"/>
          <w:numId w:val="15"/>
        </w:numPr>
        <w:spacing w:before="0" w:after="120" w:line="360" w:lineRule="auto"/>
        <w:jc w:val="both"/>
        <w:rPr>
          <w:rFonts w:ascii="Times New Roman" w:eastAsia="Google Sans" w:hAnsi="Times New Roman" w:cs="Times New Roman"/>
          <w:sz w:val="24"/>
          <w:szCs w:val="24"/>
        </w:rPr>
      </w:pPr>
      <w:r w:rsidRPr="005B39B6">
        <w:rPr>
          <w:rFonts w:ascii="Times New Roman" w:eastAsia="Google Sans" w:hAnsi="Times New Roman" w:cs="Times New Roman"/>
          <w:sz w:val="24"/>
          <w:szCs w:val="24"/>
        </w:rPr>
        <w:t>Statistical Analysis</w:t>
      </w:r>
    </w:p>
    <w:p w14:paraId="1FA5ACC8" w14:textId="77777777" w:rsidR="002B45C2" w:rsidRPr="005B39B6" w:rsidRDefault="002B45C2" w:rsidP="00BB05C4">
      <w:pPr>
        <w:spacing w:line="360" w:lineRule="auto"/>
        <w:ind w:left="360" w:firstLine="360"/>
        <w:jc w:val="both"/>
        <w:rPr>
          <w:rFonts w:ascii="Times New Roman" w:hAnsi="Times New Roman" w:cs="Times New Roman"/>
          <w:sz w:val="24"/>
          <w:szCs w:val="24"/>
        </w:rPr>
      </w:pPr>
      <w:r w:rsidRPr="005B39B6">
        <w:rPr>
          <w:rFonts w:ascii="Times New Roman" w:hAnsi="Times New Roman" w:cs="Times New Roman"/>
          <w:sz w:val="24"/>
          <w:szCs w:val="24"/>
        </w:rPr>
        <w:t>Observation data are presented as mean ± SD. Normality and homogeneity tests were performed using the Shapiro-Wilk and Levene tests, respectively. A paired T-test was then performed to compare the two groups, where a p-value &lt; 0.05 was considered significant. Statistical analysis was performed using SPSS Statistics for Windows, version 17.0 (SPSS Inc., Chicago, Illinois, USA).</w:t>
      </w:r>
    </w:p>
    <w:p w14:paraId="0DC7972C" w14:textId="3F037FAB" w:rsidR="00EA2E41" w:rsidRPr="005B39B6" w:rsidRDefault="00EA2E41" w:rsidP="008F6EEB">
      <w:pPr>
        <w:pStyle w:val="Heading1"/>
        <w:numPr>
          <w:ilvl w:val="0"/>
          <w:numId w:val="15"/>
        </w:numPr>
        <w:rPr>
          <w:rFonts w:ascii="Times New Roman" w:hAnsi="Times New Roman" w:cs="Times New Roman"/>
          <w:sz w:val="24"/>
          <w:szCs w:val="24"/>
        </w:rPr>
      </w:pPr>
      <w:r w:rsidRPr="005B39B6">
        <w:rPr>
          <w:rFonts w:ascii="Times New Roman" w:hAnsi="Times New Roman" w:cs="Times New Roman"/>
          <w:sz w:val="24"/>
          <w:szCs w:val="24"/>
        </w:rPr>
        <w:t>Results</w:t>
      </w:r>
    </w:p>
    <w:p w14:paraId="16D0D7D4" w14:textId="0ECD6EEF" w:rsidR="00D973DB" w:rsidRPr="005B39B6" w:rsidRDefault="00D973DB" w:rsidP="002B45C2">
      <w:pPr>
        <w:spacing w:line="360" w:lineRule="auto"/>
        <w:ind w:right="-279"/>
        <w:rPr>
          <w:rFonts w:ascii="Times New Roman" w:hAnsi="Times New Roman" w:cs="Times New Roman"/>
          <w:sz w:val="24"/>
          <w:szCs w:val="24"/>
        </w:rPr>
      </w:pPr>
      <w:r w:rsidRPr="005B39B6">
        <w:rPr>
          <w:rFonts w:ascii="Times New Roman" w:hAnsi="Times New Roman" w:cs="Times New Roman"/>
          <w:sz w:val="24"/>
          <w:szCs w:val="24"/>
        </w:rPr>
        <w:t>The Shapiro-Wilk test results show that all research variables in groups C-, C+</w:t>
      </w:r>
      <w:r w:rsidR="008E3CE9">
        <w:rPr>
          <w:rFonts w:ascii="Times New Roman" w:hAnsi="Times New Roman" w:cs="Times New Roman"/>
          <w:sz w:val="24"/>
          <w:szCs w:val="24"/>
        </w:rPr>
        <w:t>,</w:t>
      </w:r>
      <w:r w:rsidRPr="005B39B6">
        <w:rPr>
          <w:rFonts w:ascii="Times New Roman" w:hAnsi="Times New Roman" w:cs="Times New Roman"/>
          <w:sz w:val="24"/>
          <w:szCs w:val="24"/>
        </w:rPr>
        <w:t xml:space="preserve"> and T are normally distributed (p &lt; 0.05).</w:t>
      </w:r>
    </w:p>
    <w:p w14:paraId="1BC33865" w14:textId="77777777" w:rsidR="006D142B" w:rsidRPr="005B39B6" w:rsidRDefault="006D142B" w:rsidP="00F9552D">
      <w:pPr>
        <w:rPr>
          <w:rFonts w:ascii="Times New Roman" w:hAnsi="Times New Roman" w:cs="Times New Roman"/>
          <w:sz w:val="24"/>
          <w:szCs w:val="24"/>
        </w:rPr>
      </w:pPr>
    </w:p>
    <w:tbl>
      <w:tblPr>
        <w:tblStyle w:val="TableGrid"/>
        <w:tblW w:w="9522" w:type="dxa"/>
        <w:tblBorders>
          <w:left w:val="none" w:sz="0" w:space="0" w:color="auto"/>
          <w:right w:val="none" w:sz="0" w:space="0" w:color="auto"/>
          <w:insideV w:val="none" w:sz="0" w:space="0" w:color="auto"/>
        </w:tblBorders>
        <w:tblLook w:val="04A0" w:firstRow="1" w:lastRow="0" w:firstColumn="1" w:lastColumn="0" w:noHBand="0" w:noVBand="1"/>
      </w:tblPr>
      <w:tblGrid>
        <w:gridCol w:w="2774"/>
        <w:gridCol w:w="1061"/>
        <w:gridCol w:w="3904"/>
        <w:gridCol w:w="1783"/>
      </w:tblGrid>
      <w:tr w:rsidR="006D142B" w:rsidRPr="005B39B6" w14:paraId="401A6568" w14:textId="77777777" w:rsidTr="002B45C2">
        <w:trPr>
          <w:trHeight w:val="206"/>
          <w:tblHeader/>
        </w:trPr>
        <w:tc>
          <w:tcPr>
            <w:tcW w:w="2774" w:type="dxa"/>
            <w:tcBorders>
              <w:top w:val="single" w:sz="4" w:space="0" w:color="auto"/>
              <w:left w:val="nil"/>
              <w:bottom w:val="single" w:sz="4" w:space="0" w:color="auto"/>
              <w:right w:val="nil"/>
            </w:tcBorders>
            <w:vAlign w:val="center"/>
            <w:hideMark/>
          </w:tcPr>
          <w:p w14:paraId="63D57C2E" w14:textId="64EEF838" w:rsidR="006D142B" w:rsidRPr="005B39B6" w:rsidRDefault="006D142B" w:rsidP="006D142B">
            <w:pPr>
              <w:jc w:val="center"/>
              <w:rPr>
                <w:rFonts w:ascii="Times New Roman" w:hAnsi="Times New Roman" w:cs="Times New Roman"/>
                <w:sz w:val="24"/>
                <w:szCs w:val="24"/>
              </w:rPr>
            </w:pPr>
            <w:r w:rsidRPr="005B39B6">
              <w:rPr>
                <w:rFonts w:ascii="Times New Roman" w:hAnsi="Times New Roman" w:cs="Times New Roman"/>
                <w:sz w:val="24"/>
                <w:szCs w:val="24"/>
              </w:rPr>
              <w:t>Groups</w:t>
            </w:r>
          </w:p>
        </w:tc>
        <w:tc>
          <w:tcPr>
            <w:tcW w:w="1061" w:type="dxa"/>
            <w:tcBorders>
              <w:top w:val="single" w:sz="4" w:space="0" w:color="auto"/>
              <w:left w:val="nil"/>
              <w:bottom w:val="single" w:sz="4" w:space="0" w:color="auto"/>
              <w:right w:val="nil"/>
            </w:tcBorders>
            <w:hideMark/>
          </w:tcPr>
          <w:p w14:paraId="1009E707" w14:textId="77777777" w:rsidR="006D142B" w:rsidRPr="005B39B6" w:rsidRDefault="006D142B" w:rsidP="006D142B">
            <w:pPr>
              <w:rPr>
                <w:rFonts w:ascii="Times New Roman" w:hAnsi="Times New Roman" w:cs="Times New Roman"/>
                <w:sz w:val="24"/>
                <w:szCs w:val="24"/>
              </w:rPr>
            </w:pPr>
            <w:r w:rsidRPr="005B39B6">
              <w:rPr>
                <w:rFonts w:ascii="Times New Roman" w:hAnsi="Times New Roman" w:cs="Times New Roman"/>
                <w:sz w:val="24"/>
                <w:szCs w:val="24"/>
              </w:rPr>
              <w:t>n</w:t>
            </w:r>
          </w:p>
        </w:tc>
        <w:tc>
          <w:tcPr>
            <w:tcW w:w="3904" w:type="dxa"/>
            <w:tcBorders>
              <w:top w:val="single" w:sz="4" w:space="0" w:color="auto"/>
              <w:left w:val="nil"/>
              <w:bottom w:val="single" w:sz="4" w:space="0" w:color="auto"/>
              <w:right w:val="nil"/>
            </w:tcBorders>
            <w:hideMark/>
          </w:tcPr>
          <w:p w14:paraId="66F0A3C0" w14:textId="1D4845B5" w:rsidR="006D142B" w:rsidRPr="005B39B6" w:rsidRDefault="006D142B" w:rsidP="006D142B">
            <w:pPr>
              <w:rPr>
                <w:rFonts w:ascii="Times New Roman" w:hAnsi="Times New Roman" w:cs="Times New Roman"/>
                <w:sz w:val="24"/>
                <w:szCs w:val="24"/>
              </w:rPr>
            </w:pPr>
            <w:r w:rsidRPr="005B39B6">
              <w:rPr>
                <w:rFonts w:ascii="Times New Roman" w:hAnsi="Times New Roman" w:cs="Times New Roman"/>
                <w:sz w:val="24"/>
                <w:szCs w:val="24"/>
              </w:rPr>
              <w:t xml:space="preserve">Mean </w:t>
            </w:r>
            <w:r w:rsidRPr="005B39B6">
              <w:rPr>
                <w:rFonts w:ascii="Times New Roman" w:hAnsi="Times New Roman" w:cs="Times New Roman"/>
                <w:sz w:val="24"/>
                <w:szCs w:val="24"/>
              </w:rPr>
              <w:sym w:font="Symbol" w:char="F0B1"/>
            </w:r>
            <w:r w:rsidRPr="005B39B6">
              <w:rPr>
                <w:rFonts w:ascii="Times New Roman" w:hAnsi="Times New Roman" w:cs="Times New Roman"/>
                <w:sz w:val="24"/>
                <w:szCs w:val="24"/>
              </w:rPr>
              <w:t xml:space="preserve"> Standard deviation</w:t>
            </w:r>
          </w:p>
        </w:tc>
        <w:tc>
          <w:tcPr>
            <w:tcW w:w="1783" w:type="dxa"/>
            <w:tcBorders>
              <w:top w:val="single" w:sz="4" w:space="0" w:color="auto"/>
              <w:left w:val="nil"/>
              <w:bottom w:val="single" w:sz="4" w:space="0" w:color="auto"/>
              <w:right w:val="nil"/>
            </w:tcBorders>
            <w:hideMark/>
          </w:tcPr>
          <w:p w14:paraId="38C6DD09" w14:textId="37FEB202" w:rsidR="006D142B" w:rsidRPr="005B39B6" w:rsidRDefault="006D142B" w:rsidP="006D142B">
            <w:pPr>
              <w:rPr>
                <w:rFonts w:ascii="Times New Roman" w:hAnsi="Times New Roman" w:cs="Times New Roman"/>
                <w:sz w:val="24"/>
                <w:szCs w:val="24"/>
              </w:rPr>
            </w:pPr>
            <w:r w:rsidRPr="005B39B6">
              <w:rPr>
                <w:rFonts w:ascii="Times New Roman" w:hAnsi="Times New Roman" w:cs="Times New Roman"/>
                <w:sz w:val="24"/>
                <w:szCs w:val="24"/>
              </w:rPr>
              <w:t>p-value</w:t>
            </w:r>
          </w:p>
        </w:tc>
      </w:tr>
      <w:tr w:rsidR="006D142B" w:rsidRPr="005B39B6" w14:paraId="6F043A46" w14:textId="77777777" w:rsidTr="002B45C2">
        <w:trPr>
          <w:trHeight w:val="191"/>
        </w:trPr>
        <w:tc>
          <w:tcPr>
            <w:tcW w:w="2774" w:type="dxa"/>
            <w:tcBorders>
              <w:top w:val="single" w:sz="4" w:space="0" w:color="auto"/>
              <w:left w:val="nil"/>
              <w:bottom w:val="nil"/>
              <w:right w:val="nil"/>
            </w:tcBorders>
            <w:vAlign w:val="center"/>
            <w:hideMark/>
          </w:tcPr>
          <w:p w14:paraId="4FB11707" w14:textId="1DC9A0D0" w:rsidR="006D142B" w:rsidRPr="005B39B6" w:rsidRDefault="006D142B" w:rsidP="006D142B">
            <w:pPr>
              <w:rPr>
                <w:rFonts w:ascii="Times New Roman" w:hAnsi="Times New Roman" w:cs="Times New Roman"/>
                <w:sz w:val="24"/>
                <w:szCs w:val="24"/>
              </w:rPr>
            </w:pPr>
            <w:r w:rsidRPr="005B39B6">
              <w:rPr>
                <w:rFonts w:ascii="Times New Roman" w:hAnsi="Times New Roman" w:cs="Times New Roman"/>
                <w:sz w:val="24"/>
                <w:szCs w:val="24"/>
              </w:rPr>
              <w:t>Amyloid β (</w:t>
            </w:r>
            <w:proofErr w:type="spellStart"/>
            <w:r w:rsidRPr="005B39B6">
              <w:rPr>
                <w:rFonts w:ascii="Times New Roman" w:hAnsi="Times New Roman" w:cs="Times New Roman"/>
                <w:sz w:val="24"/>
                <w:szCs w:val="24"/>
              </w:rPr>
              <w:t>pg</w:t>
            </w:r>
            <w:proofErr w:type="spellEnd"/>
            <w:r w:rsidRPr="005B39B6">
              <w:rPr>
                <w:rFonts w:ascii="Times New Roman" w:hAnsi="Times New Roman" w:cs="Times New Roman"/>
                <w:sz w:val="24"/>
                <w:szCs w:val="24"/>
              </w:rPr>
              <w:t>/mL)</w:t>
            </w:r>
          </w:p>
        </w:tc>
        <w:tc>
          <w:tcPr>
            <w:tcW w:w="1061" w:type="dxa"/>
            <w:tcBorders>
              <w:top w:val="single" w:sz="4" w:space="0" w:color="auto"/>
              <w:left w:val="nil"/>
              <w:bottom w:val="nil"/>
              <w:right w:val="nil"/>
            </w:tcBorders>
          </w:tcPr>
          <w:p w14:paraId="57CD55FC" w14:textId="77777777" w:rsidR="006D142B" w:rsidRPr="005B39B6" w:rsidRDefault="006D142B" w:rsidP="006D142B">
            <w:pPr>
              <w:rPr>
                <w:rFonts w:ascii="Times New Roman" w:hAnsi="Times New Roman" w:cs="Times New Roman"/>
                <w:sz w:val="24"/>
                <w:szCs w:val="24"/>
              </w:rPr>
            </w:pPr>
          </w:p>
        </w:tc>
        <w:tc>
          <w:tcPr>
            <w:tcW w:w="3904" w:type="dxa"/>
            <w:tcBorders>
              <w:top w:val="single" w:sz="4" w:space="0" w:color="auto"/>
              <w:left w:val="nil"/>
              <w:bottom w:val="nil"/>
              <w:right w:val="nil"/>
            </w:tcBorders>
          </w:tcPr>
          <w:p w14:paraId="7B689AB5" w14:textId="77777777" w:rsidR="006D142B" w:rsidRPr="005B39B6" w:rsidRDefault="006D142B" w:rsidP="006D142B">
            <w:pPr>
              <w:rPr>
                <w:rFonts w:ascii="Times New Roman" w:hAnsi="Times New Roman" w:cs="Times New Roman"/>
                <w:sz w:val="24"/>
                <w:szCs w:val="24"/>
              </w:rPr>
            </w:pPr>
          </w:p>
        </w:tc>
        <w:tc>
          <w:tcPr>
            <w:tcW w:w="1783" w:type="dxa"/>
            <w:tcBorders>
              <w:top w:val="single" w:sz="4" w:space="0" w:color="auto"/>
              <w:left w:val="nil"/>
              <w:bottom w:val="nil"/>
              <w:right w:val="nil"/>
            </w:tcBorders>
          </w:tcPr>
          <w:p w14:paraId="7703FCC0" w14:textId="77777777" w:rsidR="006D142B" w:rsidRPr="005B39B6" w:rsidRDefault="006D142B" w:rsidP="006D142B">
            <w:pPr>
              <w:rPr>
                <w:rFonts w:ascii="Times New Roman" w:hAnsi="Times New Roman" w:cs="Times New Roman"/>
                <w:sz w:val="24"/>
                <w:szCs w:val="24"/>
              </w:rPr>
            </w:pPr>
          </w:p>
        </w:tc>
      </w:tr>
      <w:tr w:rsidR="006D142B" w:rsidRPr="005B39B6" w14:paraId="241B54C6" w14:textId="77777777" w:rsidTr="002B45C2">
        <w:trPr>
          <w:trHeight w:val="390"/>
        </w:trPr>
        <w:tc>
          <w:tcPr>
            <w:tcW w:w="2774" w:type="dxa"/>
            <w:tcBorders>
              <w:top w:val="nil"/>
              <w:left w:val="nil"/>
              <w:bottom w:val="nil"/>
              <w:right w:val="nil"/>
            </w:tcBorders>
            <w:vAlign w:val="center"/>
            <w:hideMark/>
          </w:tcPr>
          <w:p w14:paraId="103C7842" w14:textId="461492E1" w:rsidR="006D142B" w:rsidRPr="005B39B6" w:rsidRDefault="006D142B" w:rsidP="006D142B">
            <w:pPr>
              <w:jc w:val="center"/>
              <w:rPr>
                <w:rFonts w:ascii="Times New Roman" w:hAnsi="Times New Roman" w:cs="Times New Roman"/>
                <w:sz w:val="24"/>
                <w:szCs w:val="24"/>
              </w:rPr>
            </w:pPr>
            <w:r w:rsidRPr="005B39B6">
              <w:rPr>
                <w:rFonts w:ascii="Times New Roman" w:hAnsi="Times New Roman" w:cs="Times New Roman"/>
                <w:sz w:val="24"/>
                <w:szCs w:val="24"/>
              </w:rPr>
              <w:t>C-</w:t>
            </w:r>
          </w:p>
        </w:tc>
        <w:tc>
          <w:tcPr>
            <w:tcW w:w="1061" w:type="dxa"/>
            <w:tcBorders>
              <w:top w:val="nil"/>
              <w:left w:val="nil"/>
              <w:bottom w:val="nil"/>
              <w:right w:val="nil"/>
            </w:tcBorders>
            <w:hideMark/>
          </w:tcPr>
          <w:p w14:paraId="7ADE33F2" w14:textId="77777777" w:rsidR="006D142B" w:rsidRPr="005B39B6" w:rsidRDefault="006D142B" w:rsidP="006D142B">
            <w:pPr>
              <w:rPr>
                <w:rFonts w:ascii="Times New Roman" w:hAnsi="Times New Roman" w:cs="Times New Roman"/>
                <w:sz w:val="24"/>
                <w:szCs w:val="24"/>
              </w:rPr>
            </w:pPr>
            <w:r w:rsidRPr="005B39B6">
              <w:rPr>
                <w:rFonts w:ascii="Times New Roman" w:hAnsi="Times New Roman" w:cs="Times New Roman"/>
                <w:sz w:val="24"/>
                <w:szCs w:val="24"/>
              </w:rPr>
              <w:t>11</w:t>
            </w:r>
          </w:p>
        </w:tc>
        <w:tc>
          <w:tcPr>
            <w:tcW w:w="3904" w:type="dxa"/>
            <w:tcBorders>
              <w:top w:val="nil"/>
              <w:left w:val="nil"/>
              <w:bottom w:val="nil"/>
              <w:right w:val="nil"/>
            </w:tcBorders>
            <w:hideMark/>
          </w:tcPr>
          <w:p w14:paraId="397BBF0E" w14:textId="77777777" w:rsidR="006D142B" w:rsidRPr="005B39B6" w:rsidRDefault="006D142B" w:rsidP="006D142B">
            <w:pPr>
              <w:rPr>
                <w:rFonts w:ascii="Times New Roman" w:hAnsi="Times New Roman" w:cs="Times New Roman"/>
                <w:sz w:val="24"/>
                <w:szCs w:val="24"/>
              </w:rPr>
            </w:pPr>
            <w:r w:rsidRPr="005B39B6">
              <w:rPr>
                <w:rFonts w:ascii="Times New Roman" w:hAnsi="Times New Roman" w:cs="Times New Roman"/>
                <w:sz w:val="24"/>
                <w:szCs w:val="24"/>
              </w:rPr>
              <w:t xml:space="preserve">46,13 </w:t>
            </w:r>
            <w:r w:rsidRPr="005B39B6">
              <w:rPr>
                <w:rFonts w:ascii="Times New Roman" w:hAnsi="Times New Roman" w:cs="Times New Roman"/>
                <w:sz w:val="24"/>
                <w:szCs w:val="24"/>
              </w:rPr>
              <w:sym w:font="Symbol" w:char="F0B1"/>
            </w:r>
            <w:r w:rsidRPr="005B39B6">
              <w:rPr>
                <w:rFonts w:ascii="Times New Roman" w:hAnsi="Times New Roman" w:cs="Times New Roman"/>
                <w:sz w:val="24"/>
                <w:szCs w:val="24"/>
              </w:rPr>
              <w:t xml:space="preserve"> 5,214</w:t>
            </w:r>
            <w:r w:rsidRPr="005B39B6">
              <w:rPr>
                <w:rFonts w:ascii="Times New Roman" w:hAnsi="Times New Roman" w:cs="Times New Roman"/>
                <w:sz w:val="24"/>
                <w:szCs w:val="24"/>
                <w:vertAlign w:val="superscript"/>
              </w:rPr>
              <w:t xml:space="preserve"> a</w:t>
            </w:r>
          </w:p>
        </w:tc>
        <w:tc>
          <w:tcPr>
            <w:tcW w:w="1783" w:type="dxa"/>
            <w:tcBorders>
              <w:top w:val="nil"/>
              <w:left w:val="nil"/>
              <w:bottom w:val="nil"/>
              <w:right w:val="nil"/>
            </w:tcBorders>
          </w:tcPr>
          <w:p w14:paraId="5B5D448A" w14:textId="77777777" w:rsidR="006D142B" w:rsidRPr="005B39B6" w:rsidRDefault="006D142B" w:rsidP="006D142B">
            <w:pPr>
              <w:rPr>
                <w:rFonts w:ascii="Times New Roman" w:hAnsi="Times New Roman" w:cs="Times New Roman"/>
                <w:sz w:val="24"/>
                <w:szCs w:val="24"/>
              </w:rPr>
            </w:pPr>
          </w:p>
        </w:tc>
      </w:tr>
      <w:tr w:rsidR="006D142B" w:rsidRPr="005B39B6" w14:paraId="6316B86D" w14:textId="77777777" w:rsidTr="002B45C2">
        <w:trPr>
          <w:trHeight w:val="383"/>
        </w:trPr>
        <w:tc>
          <w:tcPr>
            <w:tcW w:w="2774" w:type="dxa"/>
            <w:tcBorders>
              <w:top w:val="nil"/>
              <w:left w:val="nil"/>
              <w:bottom w:val="nil"/>
              <w:right w:val="nil"/>
            </w:tcBorders>
            <w:vAlign w:val="center"/>
            <w:hideMark/>
          </w:tcPr>
          <w:p w14:paraId="47900652" w14:textId="0916E7D8" w:rsidR="006D142B" w:rsidRPr="005B39B6" w:rsidRDefault="006D142B" w:rsidP="006D142B">
            <w:pPr>
              <w:jc w:val="center"/>
              <w:rPr>
                <w:rFonts w:ascii="Times New Roman" w:hAnsi="Times New Roman" w:cs="Times New Roman"/>
                <w:sz w:val="24"/>
                <w:szCs w:val="24"/>
              </w:rPr>
            </w:pPr>
            <w:r w:rsidRPr="005B39B6">
              <w:rPr>
                <w:rFonts w:ascii="Times New Roman" w:hAnsi="Times New Roman" w:cs="Times New Roman"/>
                <w:sz w:val="24"/>
                <w:szCs w:val="24"/>
              </w:rPr>
              <w:t>C+</w:t>
            </w:r>
          </w:p>
        </w:tc>
        <w:tc>
          <w:tcPr>
            <w:tcW w:w="1061" w:type="dxa"/>
            <w:tcBorders>
              <w:top w:val="nil"/>
              <w:left w:val="nil"/>
              <w:bottom w:val="nil"/>
              <w:right w:val="nil"/>
            </w:tcBorders>
            <w:hideMark/>
          </w:tcPr>
          <w:p w14:paraId="7B4F622F" w14:textId="77777777" w:rsidR="006D142B" w:rsidRPr="005B39B6" w:rsidRDefault="006D142B" w:rsidP="006D142B">
            <w:pPr>
              <w:rPr>
                <w:rFonts w:ascii="Times New Roman" w:hAnsi="Times New Roman" w:cs="Times New Roman"/>
                <w:sz w:val="24"/>
                <w:szCs w:val="24"/>
              </w:rPr>
            </w:pPr>
            <w:r w:rsidRPr="005B39B6">
              <w:rPr>
                <w:rFonts w:ascii="Times New Roman" w:hAnsi="Times New Roman" w:cs="Times New Roman"/>
                <w:sz w:val="24"/>
                <w:szCs w:val="24"/>
              </w:rPr>
              <w:t>11</w:t>
            </w:r>
          </w:p>
        </w:tc>
        <w:tc>
          <w:tcPr>
            <w:tcW w:w="3904" w:type="dxa"/>
            <w:tcBorders>
              <w:top w:val="nil"/>
              <w:left w:val="nil"/>
              <w:bottom w:val="nil"/>
              <w:right w:val="nil"/>
            </w:tcBorders>
            <w:hideMark/>
          </w:tcPr>
          <w:p w14:paraId="2F76A295" w14:textId="77777777" w:rsidR="006D142B" w:rsidRPr="005B39B6" w:rsidRDefault="006D142B" w:rsidP="006D142B">
            <w:pPr>
              <w:rPr>
                <w:rFonts w:ascii="Times New Roman" w:hAnsi="Times New Roman" w:cs="Times New Roman"/>
                <w:sz w:val="24"/>
                <w:szCs w:val="24"/>
              </w:rPr>
            </w:pPr>
            <w:r w:rsidRPr="005B39B6">
              <w:rPr>
                <w:rFonts w:ascii="Times New Roman" w:hAnsi="Times New Roman" w:cs="Times New Roman"/>
                <w:sz w:val="24"/>
                <w:szCs w:val="24"/>
              </w:rPr>
              <w:t xml:space="preserve">188,41 </w:t>
            </w:r>
            <w:r w:rsidRPr="005B39B6">
              <w:rPr>
                <w:rFonts w:ascii="Times New Roman" w:hAnsi="Times New Roman" w:cs="Times New Roman"/>
                <w:sz w:val="24"/>
                <w:szCs w:val="24"/>
              </w:rPr>
              <w:sym w:font="Symbol" w:char="F0B1"/>
            </w:r>
            <w:r w:rsidRPr="005B39B6">
              <w:rPr>
                <w:rFonts w:ascii="Times New Roman" w:hAnsi="Times New Roman" w:cs="Times New Roman"/>
                <w:sz w:val="24"/>
                <w:szCs w:val="24"/>
              </w:rPr>
              <w:t xml:space="preserve"> 36,111</w:t>
            </w:r>
            <w:r w:rsidRPr="005B39B6">
              <w:rPr>
                <w:rFonts w:ascii="Times New Roman" w:hAnsi="Times New Roman" w:cs="Times New Roman"/>
                <w:sz w:val="24"/>
                <w:szCs w:val="24"/>
                <w:vertAlign w:val="superscript"/>
              </w:rPr>
              <w:t xml:space="preserve"> b</w:t>
            </w:r>
          </w:p>
        </w:tc>
        <w:tc>
          <w:tcPr>
            <w:tcW w:w="1783" w:type="dxa"/>
            <w:tcBorders>
              <w:top w:val="nil"/>
              <w:left w:val="nil"/>
              <w:bottom w:val="nil"/>
              <w:right w:val="nil"/>
            </w:tcBorders>
            <w:hideMark/>
          </w:tcPr>
          <w:p w14:paraId="7547EB31" w14:textId="77777777" w:rsidR="006D142B" w:rsidRPr="005B39B6" w:rsidRDefault="006D142B" w:rsidP="006D142B">
            <w:pPr>
              <w:rPr>
                <w:rFonts w:ascii="Times New Roman" w:hAnsi="Times New Roman" w:cs="Times New Roman"/>
                <w:sz w:val="24"/>
                <w:szCs w:val="24"/>
              </w:rPr>
            </w:pPr>
            <w:r w:rsidRPr="005B39B6">
              <w:rPr>
                <w:rFonts w:ascii="Times New Roman" w:hAnsi="Times New Roman" w:cs="Times New Roman"/>
                <w:sz w:val="24"/>
                <w:szCs w:val="24"/>
              </w:rPr>
              <w:t>&lt; 0,001</w:t>
            </w:r>
          </w:p>
        </w:tc>
      </w:tr>
      <w:tr w:rsidR="006D142B" w:rsidRPr="005B39B6" w14:paraId="34DB96AD" w14:textId="77777777" w:rsidTr="002B45C2">
        <w:trPr>
          <w:trHeight w:val="390"/>
        </w:trPr>
        <w:tc>
          <w:tcPr>
            <w:tcW w:w="2774" w:type="dxa"/>
            <w:tcBorders>
              <w:top w:val="nil"/>
              <w:left w:val="nil"/>
              <w:bottom w:val="single" w:sz="4" w:space="0" w:color="auto"/>
              <w:right w:val="nil"/>
            </w:tcBorders>
            <w:vAlign w:val="center"/>
            <w:hideMark/>
          </w:tcPr>
          <w:p w14:paraId="79AE10B9" w14:textId="4EC91080" w:rsidR="006D142B" w:rsidRPr="005B39B6" w:rsidRDefault="006D142B" w:rsidP="006D142B">
            <w:pPr>
              <w:jc w:val="center"/>
              <w:rPr>
                <w:rFonts w:ascii="Times New Roman" w:hAnsi="Times New Roman" w:cs="Times New Roman"/>
                <w:sz w:val="24"/>
                <w:szCs w:val="24"/>
              </w:rPr>
            </w:pPr>
            <w:r w:rsidRPr="005B39B6">
              <w:rPr>
                <w:rFonts w:ascii="Times New Roman" w:hAnsi="Times New Roman" w:cs="Times New Roman"/>
                <w:sz w:val="24"/>
                <w:szCs w:val="24"/>
              </w:rPr>
              <w:t>T</w:t>
            </w:r>
          </w:p>
        </w:tc>
        <w:tc>
          <w:tcPr>
            <w:tcW w:w="1061" w:type="dxa"/>
            <w:tcBorders>
              <w:top w:val="nil"/>
              <w:left w:val="nil"/>
              <w:bottom w:val="single" w:sz="4" w:space="0" w:color="auto"/>
              <w:right w:val="nil"/>
            </w:tcBorders>
            <w:hideMark/>
          </w:tcPr>
          <w:p w14:paraId="25C49553" w14:textId="77777777" w:rsidR="006D142B" w:rsidRPr="005B39B6" w:rsidRDefault="006D142B" w:rsidP="006D142B">
            <w:pPr>
              <w:rPr>
                <w:rFonts w:ascii="Times New Roman" w:hAnsi="Times New Roman" w:cs="Times New Roman"/>
                <w:sz w:val="24"/>
                <w:szCs w:val="24"/>
              </w:rPr>
            </w:pPr>
            <w:r w:rsidRPr="005B39B6">
              <w:rPr>
                <w:rFonts w:ascii="Times New Roman" w:hAnsi="Times New Roman" w:cs="Times New Roman"/>
                <w:sz w:val="24"/>
                <w:szCs w:val="24"/>
              </w:rPr>
              <w:t>11</w:t>
            </w:r>
          </w:p>
        </w:tc>
        <w:tc>
          <w:tcPr>
            <w:tcW w:w="3904" w:type="dxa"/>
            <w:tcBorders>
              <w:top w:val="nil"/>
              <w:left w:val="nil"/>
              <w:bottom w:val="single" w:sz="4" w:space="0" w:color="auto"/>
              <w:right w:val="nil"/>
            </w:tcBorders>
            <w:hideMark/>
          </w:tcPr>
          <w:p w14:paraId="01A15E68" w14:textId="77777777" w:rsidR="006D142B" w:rsidRPr="005B39B6" w:rsidRDefault="006D142B" w:rsidP="006D142B">
            <w:pPr>
              <w:rPr>
                <w:rFonts w:ascii="Times New Roman" w:hAnsi="Times New Roman" w:cs="Times New Roman"/>
                <w:sz w:val="24"/>
                <w:szCs w:val="24"/>
              </w:rPr>
            </w:pPr>
            <w:r w:rsidRPr="005B39B6">
              <w:rPr>
                <w:rFonts w:ascii="Times New Roman" w:hAnsi="Times New Roman" w:cs="Times New Roman"/>
                <w:sz w:val="24"/>
                <w:szCs w:val="24"/>
              </w:rPr>
              <w:t xml:space="preserve">63,21 </w:t>
            </w:r>
            <w:r w:rsidRPr="005B39B6">
              <w:rPr>
                <w:rFonts w:ascii="Times New Roman" w:hAnsi="Times New Roman" w:cs="Times New Roman"/>
                <w:sz w:val="24"/>
                <w:szCs w:val="24"/>
              </w:rPr>
              <w:sym w:font="Symbol" w:char="F0B1"/>
            </w:r>
            <w:r w:rsidRPr="005B39B6">
              <w:rPr>
                <w:rFonts w:ascii="Times New Roman" w:hAnsi="Times New Roman" w:cs="Times New Roman"/>
                <w:sz w:val="24"/>
                <w:szCs w:val="24"/>
              </w:rPr>
              <w:t xml:space="preserve"> 8,193</w:t>
            </w:r>
            <w:r w:rsidRPr="005B39B6">
              <w:rPr>
                <w:rFonts w:ascii="Times New Roman" w:hAnsi="Times New Roman" w:cs="Times New Roman"/>
                <w:sz w:val="24"/>
                <w:szCs w:val="24"/>
                <w:vertAlign w:val="superscript"/>
              </w:rPr>
              <w:t xml:space="preserve"> c</w:t>
            </w:r>
          </w:p>
        </w:tc>
        <w:tc>
          <w:tcPr>
            <w:tcW w:w="1783" w:type="dxa"/>
            <w:tcBorders>
              <w:top w:val="nil"/>
              <w:left w:val="nil"/>
              <w:bottom w:val="single" w:sz="4" w:space="0" w:color="auto"/>
              <w:right w:val="nil"/>
            </w:tcBorders>
          </w:tcPr>
          <w:p w14:paraId="26AF79AD" w14:textId="77777777" w:rsidR="006D142B" w:rsidRPr="005B39B6" w:rsidRDefault="006D142B" w:rsidP="006D142B">
            <w:pPr>
              <w:rPr>
                <w:rFonts w:ascii="Times New Roman" w:hAnsi="Times New Roman" w:cs="Times New Roman"/>
                <w:sz w:val="24"/>
                <w:szCs w:val="24"/>
              </w:rPr>
            </w:pPr>
          </w:p>
        </w:tc>
      </w:tr>
      <w:tr w:rsidR="006D142B" w:rsidRPr="005B39B6" w14:paraId="1FB5A517" w14:textId="77777777" w:rsidTr="002B45C2">
        <w:trPr>
          <w:trHeight w:val="191"/>
        </w:trPr>
        <w:tc>
          <w:tcPr>
            <w:tcW w:w="2774" w:type="dxa"/>
            <w:tcBorders>
              <w:top w:val="single" w:sz="4" w:space="0" w:color="auto"/>
              <w:left w:val="nil"/>
              <w:bottom w:val="nil"/>
              <w:right w:val="nil"/>
            </w:tcBorders>
            <w:vAlign w:val="center"/>
            <w:hideMark/>
          </w:tcPr>
          <w:p w14:paraId="25E8905E" w14:textId="77777777" w:rsidR="006D142B" w:rsidRPr="005B39B6" w:rsidRDefault="006D142B" w:rsidP="006D142B">
            <w:pPr>
              <w:rPr>
                <w:rFonts w:ascii="Times New Roman" w:hAnsi="Times New Roman" w:cs="Times New Roman"/>
                <w:sz w:val="24"/>
                <w:szCs w:val="24"/>
              </w:rPr>
            </w:pPr>
            <w:proofErr w:type="spellStart"/>
            <w:r w:rsidRPr="005B39B6">
              <w:rPr>
                <w:rFonts w:ascii="Times New Roman" w:hAnsi="Times New Roman" w:cs="Times New Roman"/>
                <w:sz w:val="24"/>
                <w:szCs w:val="24"/>
              </w:rPr>
              <w:t>MAPTau</w:t>
            </w:r>
            <w:proofErr w:type="spellEnd"/>
          </w:p>
        </w:tc>
        <w:tc>
          <w:tcPr>
            <w:tcW w:w="1061" w:type="dxa"/>
            <w:tcBorders>
              <w:top w:val="single" w:sz="4" w:space="0" w:color="auto"/>
              <w:left w:val="nil"/>
              <w:bottom w:val="nil"/>
              <w:right w:val="nil"/>
            </w:tcBorders>
          </w:tcPr>
          <w:p w14:paraId="65F728E8" w14:textId="77777777" w:rsidR="006D142B" w:rsidRPr="005B39B6" w:rsidRDefault="006D142B" w:rsidP="006D142B">
            <w:pPr>
              <w:rPr>
                <w:rFonts w:ascii="Times New Roman" w:hAnsi="Times New Roman" w:cs="Times New Roman"/>
                <w:sz w:val="24"/>
                <w:szCs w:val="24"/>
              </w:rPr>
            </w:pPr>
          </w:p>
        </w:tc>
        <w:tc>
          <w:tcPr>
            <w:tcW w:w="3904" w:type="dxa"/>
            <w:tcBorders>
              <w:top w:val="single" w:sz="4" w:space="0" w:color="auto"/>
              <w:left w:val="nil"/>
              <w:bottom w:val="nil"/>
              <w:right w:val="nil"/>
            </w:tcBorders>
          </w:tcPr>
          <w:p w14:paraId="55E9466A" w14:textId="77777777" w:rsidR="006D142B" w:rsidRPr="005B39B6" w:rsidRDefault="006D142B" w:rsidP="006D142B">
            <w:pPr>
              <w:rPr>
                <w:rFonts w:ascii="Times New Roman" w:hAnsi="Times New Roman" w:cs="Times New Roman"/>
                <w:sz w:val="24"/>
                <w:szCs w:val="24"/>
              </w:rPr>
            </w:pPr>
          </w:p>
        </w:tc>
        <w:tc>
          <w:tcPr>
            <w:tcW w:w="1783" w:type="dxa"/>
            <w:tcBorders>
              <w:top w:val="single" w:sz="4" w:space="0" w:color="auto"/>
              <w:left w:val="nil"/>
              <w:bottom w:val="nil"/>
              <w:right w:val="nil"/>
            </w:tcBorders>
          </w:tcPr>
          <w:p w14:paraId="713F2D31" w14:textId="77777777" w:rsidR="006D142B" w:rsidRPr="005B39B6" w:rsidRDefault="006D142B" w:rsidP="006D142B">
            <w:pPr>
              <w:rPr>
                <w:rFonts w:ascii="Times New Roman" w:hAnsi="Times New Roman" w:cs="Times New Roman"/>
                <w:sz w:val="24"/>
                <w:szCs w:val="24"/>
              </w:rPr>
            </w:pPr>
          </w:p>
        </w:tc>
      </w:tr>
      <w:tr w:rsidR="006D142B" w:rsidRPr="005B39B6" w14:paraId="3EBAE0AD" w14:textId="77777777" w:rsidTr="002B45C2">
        <w:trPr>
          <w:trHeight w:val="390"/>
        </w:trPr>
        <w:tc>
          <w:tcPr>
            <w:tcW w:w="2774" w:type="dxa"/>
            <w:tcBorders>
              <w:top w:val="nil"/>
              <w:left w:val="nil"/>
              <w:bottom w:val="nil"/>
              <w:right w:val="nil"/>
            </w:tcBorders>
            <w:vAlign w:val="center"/>
            <w:hideMark/>
          </w:tcPr>
          <w:p w14:paraId="168B399A" w14:textId="7D1B9A2C" w:rsidR="006D142B" w:rsidRPr="005B39B6" w:rsidRDefault="006D142B" w:rsidP="006D142B">
            <w:pPr>
              <w:jc w:val="center"/>
              <w:rPr>
                <w:rFonts w:ascii="Times New Roman" w:hAnsi="Times New Roman" w:cs="Times New Roman"/>
                <w:sz w:val="24"/>
                <w:szCs w:val="24"/>
              </w:rPr>
            </w:pPr>
            <w:r w:rsidRPr="005B39B6">
              <w:rPr>
                <w:rFonts w:ascii="Times New Roman" w:hAnsi="Times New Roman" w:cs="Times New Roman"/>
                <w:sz w:val="24"/>
                <w:szCs w:val="24"/>
              </w:rPr>
              <w:t>C-</w:t>
            </w:r>
          </w:p>
        </w:tc>
        <w:tc>
          <w:tcPr>
            <w:tcW w:w="1061" w:type="dxa"/>
            <w:tcBorders>
              <w:top w:val="nil"/>
              <w:left w:val="nil"/>
              <w:bottom w:val="nil"/>
              <w:right w:val="nil"/>
            </w:tcBorders>
            <w:hideMark/>
          </w:tcPr>
          <w:p w14:paraId="762D7F0A" w14:textId="77777777" w:rsidR="006D142B" w:rsidRPr="005B39B6" w:rsidRDefault="006D142B" w:rsidP="006D142B">
            <w:pPr>
              <w:rPr>
                <w:rFonts w:ascii="Times New Roman" w:hAnsi="Times New Roman" w:cs="Times New Roman"/>
                <w:sz w:val="24"/>
                <w:szCs w:val="24"/>
              </w:rPr>
            </w:pPr>
            <w:r w:rsidRPr="005B39B6">
              <w:rPr>
                <w:rFonts w:ascii="Times New Roman" w:hAnsi="Times New Roman" w:cs="Times New Roman"/>
                <w:sz w:val="24"/>
                <w:szCs w:val="24"/>
              </w:rPr>
              <w:t>11</w:t>
            </w:r>
          </w:p>
        </w:tc>
        <w:tc>
          <w:tcPr>
            <w:tcW w:w="3904" w:type="dxa"/>
            <w:tcBorders>
              <w:top w:val="nil"/>
              <w:left w:val="nil"/>
              <w:bottom w:val="nil"/>
              <w:right w:val="nil"/>
            </w:tcBorders>
            <w:hideMark/>
          </w:tcPr>
          <w:p w14:paraId="4A6FA861" w14:textId="77777777" w:rsidR="006D142B" w:rsidRPr="005B39B6" w:rsidRDefault="006D142B" w:rsidP="006D142B">
            <w:pPr>
              <w:rPr>
                <w:rFonts w:ascii="Times New Roman" w:hAnsi="Times New Roman" w:cs="Times New Roman"/>
                <w:sz w:val="24"/>
                <w:szCs w:val="24"/>
                <w:vertAlign w:val="superscript"/>
              </w:rPr>
            </w:pPr>
            <w:r w:rsidRPr="005B39B6">
              <w:rPr>
                <w:rFonts w:ascii="Times New Roman" w:hAnsi="Times New Roman" w:cs="Times New Roman"/>
                <w:sz w:val="24"/>
                <w:szCs w:val="24"/>
              </w:rPr>
              <w:t xml:space="preserve">0,15 </w:t>
            </w:r>
            <w:r w:rsidRPr="005B39B6">
              <w:rPr>
                <w:rFonts w:ascii="Times New Roman" w:hAnsi="Times New Roman" w:cs="Times New Roman"/>
                <w:sz w:val="24"/>
                <w:szCs w:val="24"/>
              </w:rPr>
              <w:sym w:font="Symbol" w:char="F0B1"/>
            </w:r>
            <w:r w:rsidRPr="005B39B6">
              <w:rPr>
                <w:rFonts w:ascii="Times New Roman" w:hAnsi="Times New Roman" w:cs="Times New Roman"/>
                <w:sz w:val="24"/>
                <w:szCs w:val="24"/>
              </w:rPr>
              <w:t xml:space="preserve"> 0,058</w:t>
            </w:r>
            <w:r w:rsidRPr="005B39B6">
              <w:rPr>
                <w:rFonts w:ascii="Times New Roman" w:hAnsi="Times New Roman" w:cs="Times New Roman"/>
                <w:sz w:val="24"/>
                <w:szCs w:val="24"/>
                <w:vertAlign w:val="superscript"/>
              </w:rPr>
              <w:t xml:space="preserve"> a</w:t>
            </w:r>
          </w:p>
        </w:tc>
        <w:tc>
          <w:tcPr>
            <w:tcW w:w="1783" w:type="dxa"/>
            <w:tcBorders>
              <w:top w:val="nil"/>
              <w:left w:val="nil"/>
              <w:bottom w:val="nil"/>
              <w:right w:val="nil"/>
            </w:tcBorders>
          </w:tcPr>
          <w:p w14:paraId="389B73EB" w14:textId="77777777" w:rsidR="006D142B" w:rsidRPr="005B39B6" w:rsidRDefault="006D142B" w:rsidP="006D142B">
            <w:pPr>
              <w:rPr>
                <w:rFonts w:ascii="Times New Roman" w:hAnsi="Times New Roman" w:cs="Times New Roman"/>
                <w:sz w:val="24"/>
                <w:szCs w:val="24"/>
              </w:rPr>
            </w:pPr>
          </w:p>
        </w:tc>
      </w:tr>
      <w:tr w:rsidR="006D142B" w:rsidRPr="005B39B6" w14:paraId="46F54F6D" w14:textId="77777777" w:rsidTr="002B45C2">
        <w:trPr>
          <w:trHeight w:val="390"/>
        </w:trPr>
        <w:tc>
          <w:tcPr>
            <w:tcW w:w="2774" w:type="dxa"/>
            <w:tcBorders>
              <w:top w:val="nil"/>
              <w:left w:val="nil"/>
              <w:bottom w:val="nil"/>
              <w:right w:val="nil"/>
            </w:tcBorders>
            <w:vAlign w:val="center"/>
            <w:hideMark/>
          </w:tcPr>
          <w:p w14:paraId="224A32AD" w14:textId="3DDB7851" w:rsidR="006D142B" w:rsidRPr="005B39B6" w:rsidRDefault="006D142B" w:rsidP="006D142B">
            <w:pPr>
              <w:jc w:val="center"/>
              <w:rPr>
                <w:rFonts w:ascii="Times New Roman" w:hAnsi="Times New Roman" w:cs="Times New Roman"/>
                <w:sz w:val="24"/>
                <w:szCs w:val="24"/>
              </w:rPr>
            </w:pPr>
            <w:r w:rsidRPr="005B39B6">
              <w:rPr>
                <w:rFonts w:ascii="Times New Roman" w:hAnsi="Times New Roman" w:cs="Times New Roman"/>
                <w:sz w:val="24"/>
                <w:szCs w:val="24"/>
              </w:rPr>
              <w:t>C+</w:t>
            </w:r>
          </w:p>
        </w:tc>
        <w:tc>
          <w:tcPr>
            <w:tcW w:w="1061" w:type="dxa"/>
            <w:tcBorders>
              <w:top w:val="nil"/>
              <w:left w:val="nil"/>
              <w:bottom w:val="nil"/>
              <w:right w:val="nil"/>
            </w:tcBorders>
            <w:hideMark/>
          </w:tcPr>
          <w:p w14:paraId="1386EAEC" w14:textId="77777777" w:rsidR="006D142B" w:rsidRPr="005B39B6" w:rsidRDefault="006D142B" w:rsidP="006D142B">
            <w:pPr>
              <w:rPr>
                <w:rFonts w:ascii="Times New Roman" w:hAnsi="Times New Roman" w:cs="Times New Roman"/>
                <w:sz w:val="24"/>
                <w:szCs w:val="24"/>
              </w:rPr>
            </w:pPr>
            <w:r w:rsidRPr="005B39B6">
              <w:rPr>
                <w:rFonts w:ascii="Times New Roman" w:hAnsi="Times New Roman" w:cs="Times New Roman"/>
                <w:sz w:val="24"/>
                <w:szCs w:val="24"/>
              </w:rPr>
              <w:t>11</w:t>
            </w:r>
          </w:p>
        </w:tc>
        <w:tc>
          <w:tcPr>
            <w:tcW w:w="3904" w:type="dxa"/>
            <w:tcBorders>
              <w:top w:val="nil"/>
              <w:left w:val="nil"/>
              <w:bottom w:val="nil"/>
              <w:right w:val="nil"/>
            </w:tcBorders>
            <w:hideMark/>
          </w:tcPr>
          <w:p w14:paraId="39EF0B91" w14:textId="77777777" w:rsidR="006D142B" w:rsidRPr="005B39B6" w:rsidRDefault="006D142B" w:rsidP="006D142B">
            <w:pPr>
              <w:rPr>
                <w:rFonts w:ascii="Times New Roman" w:hAnsi="Times New Roman" w:cs="Times New Roman"/>
                <w:sz w:val="24"/>
                <w:szCs w:val="24"/>
                <w:vertAlign w:val="superscript"/>
              </w:rPr>
            </w:pPr>
            <w:r w:rsidRPr="005B39B6">
              <w:rPr>
                <w:rFonts w:ascii="Times New Roman" w:hAnsi="Times New Roman" w:cs="Times New Roman"/>
                <w:sz w:val="24"/>
                <w:szCs w:val="24"/>
              </w:rPr>
              <w:t xml:space="preserve">0,52 </w:t>
            </w:r>
            <w:r w:rsidRPr="005B39B6">
              <w:rPr>
                <w:rFonts w:ascii="Times New Roman" w:hAnsi="Times New Roman" w:cs="Times New Roman"/>
                <w:sz w:val="24"/>
                <w:szCs w:val="24"/>
              </w:rPr>
              <w:sym w:font="Symbol" w:char="F0B1"/>
            </w:r>
            <w:r w:rsidRPr="005B39B6">
              <w:rPr>
                <w:rFonts w:ascii="Times New Roman" w:hAnsi="Times New Roman" w:cs="Times New Roman"/>
                <w:sz w:val="24"/>
                <w:szCs w:val="24"/>
              </w:rPr>
              <w:t xml:space="preserve"> 0,232</w:t>
            </w:r>
            <w:r w:rsidRPr="005B39B6">
              <w:rPr>
                <w:rFonts w:ascii="Times New Roman" w:hAnsi="Times New Roman" w:cs="Times New Roman"/>
                <w:sz w:val="24"/>
                <w:szCs w:val="24"/>
                <w:vertAlign w:val="superscript"/>
              </w:rPr>
              <w:t xml:space="preserve"> b</w:t>
            </w:r>
          </w:p>
        </w:tc>
        <w:tc>
          <w:tcPr>
            <w:tcW w:w="1783" w:type="dxa"/>
            <w:tcBorders>
              <w:top w:val="nil"/>
              <w:left w:val="nil"/>
              <w:bottom w:val="nil"/>
              <w:right w:val="nil"/>
            </w:tcBorders>
            <w:hideMark/>
          </w:tcPr>
          <w:p w14:paraId="229B9D7B" w14:textId="77777777" w:rsidR="006D142B" w:rsidRPr="005B39B6" w:rsidRDefault="006D142B" w:rsidP="006D142B">
            <w:pPr>
              <w:rPr>
                <w:rFonts w:ascii="Times New Roman" w:hAnsi="Times New Roman" w:cs="Times New Roman"/>
                <w:sz w:val="24"/>
                <w:szCs w:val="24"/>
              </w:rPr>
            </w:pPr>
            <w:r w:rsidRPr="005B39B6">
              <w:rPr>
                <w:rFonts w:ascii="Times New Roman" w:hAnsi="Times New Roman" w:cs="Times New Roman"/>
                <w:sz w:val="24"/>
                <w:szCs w:val="24"/>
              </w:rPr>
              <w:t>&lt; 0,001</w:t>
            </w:r>
          </w:p>
        </w:tc>
      </w:tr>
      <w:tr w:rsidR="006D142B" w:rsidRPr="005B39B6" w14:paraId="3A3B84C1" w14:textId="77777777" w:rsidTr="002B45C2">
        <w:trPr>
          <w:trHeight w:val="383"/>
        </w:trPr>
        <w:tc>
          <w:tcPr>
            <w:tcW w:w="2774" w:type="dxa"/>
            <w:tcBorders>
              <w:top w:val="nil"/>
              <w:left w:val="nil"/>
              <w:bottom w:val="single" w:sz="4" w:space="0" w:color="auto"/>
              <w:right w:val="nil"/>
            </w:tcBorders>
            <w:vAlign w:val="center"/>
            <w:hideMark/>
          </w:tcPr>
          <w:p w14:paraId="4BF4D6F9" w14:textId="128ADFD6" w:rsidR="006D142B" w:rsidRPr="005B39B6" w:rsidRDefault="006D142B" w:rsidP="006D142B">
            <w:pPr>
              <w:jc w:val="center"/>
              <w:rPr>
                <w:rFonts w:ascii="Times New Roman" w:hAnsi="Times New Roman" w:cs="Times New Roman"/>
                <w:sz w:val="24"/>
                <w:szCs w:val="24"/>
              </w:rPr>
            </w:pPr>
            <w:r w:rsidRPr="005B39B6">
              <w:rPr>
                <w:rFonts w:ascii="Times New Roman" w:hAnsi="Times New Roman" w:cs="Times New Roman"/>
                <w:sz w:val="24"/>
                <w:szCs w:val="24"/>
              </w:rPr>
              <w:t>T</w:t>
            </w:r>
          </w:p>
        </w:tc>
        <w:tc>
          <w:tcPr>
            <w:tcW w:w="1061" w:type="dxa"/>
            <w:tcBorders>
              <w:top w:val="nil"/>
              <w:left w:val="nil"/>
              <w:bottom w:val="single" w:sz="4" w:space="0" w:color="auto"/>
              <w:right w:val="nil"/>
            </w:tcBorders>
            <w:hideMark/>
          </w:tcPr>
          <w:p w14:paraId="0AE7E826" w14:textId="77777777" w:rsidR="006D142B" w:rsidRPr="005B39B6" w:rsidRDefault="006D142B" w:rsidP="006D142B">
            <w:pPr>
              <w:rPr>
                <w:rFonts w:ascii="Times New Roman" w:hAnsi="Times New Roman" w:cs="Times New Roman"/>
                <w:sz w:val="24"/>
                <w:szCs w:val="24"/>
              </w:rPr>
            </w:pPr>
            <w:r w:rsidRPr="005B39B6">
              <w:rPr>
                <w:rFonts w:ascii="Times New Roman" w:hAnsi="Times New Roman" w:cs="Times New Roman"/>
                <w:sz w:val="24"/>
                <w:szCs w:val="24"/>
              </w:rPr>
              <w:t>11</w:t>
            </w:r>
          </w:p>
        </w:tc>
        <w:tc>
          <w:tcPr>
            <w:tcW w:w="3904" w:type="dxa"/>
            <w:tcBorders>
              <w:top w:val="nil"/>
              <w:left w:val="nil"/>
              <w:bottom w:val="single" w:sz="4" w:space="0" w:color="auto"/>
              <w:right w:val="nil"/>
            </w:tcBorders>
            <w:hideMark/>
          </w:tcPr>
          <w:p w14:paraId="7DC1BD89" w14:textId="77777777" w:rsidR="006D142B" w:rsidRPr="005B39B6" w:rsidRDefault="006D142B" w:rsidP="006D142B">
            <w:pPr>
              <w:rPr>
                <w:rFonts w:ascii="Times New Roman" w:hAnsi="Times New Roman" w:cs="Times New Roman"/>
                <w:sz w:val="24"/>
                <w:szCs w:val="24"/>
                <w:vertAlign w:val="superscript"/>
              </w:rPr>
            </w:pPr>
            <w:r w:rsidRPr="005B39B6">
              <w:rPr>
                <w:rFonts w:ascii="Times New Roman" w:hAnsi="Times New Roman" w:cs="Times New Roman"/>
                <w:sz w:val="24"/>
                <w:szCs w:val="24"/>
              </w:rPr>
              <w:t xml:space="preserve">0,26 </w:t>
            </w:r>
            <w:r w:rsidRPr="005B39B6">
              <w:rPr>
                <w:rFonts w:ascii="Times New Roman" w:hAnsi="Times New Roman" w:cs="Times New Roman"/>
                <w:sz w:val="24"/>
                <w:szCs w:val="24"/>
              </w:rPr>
              <w:sym w:font="Symbol" w:char="F0B1"/>
            </w:r>
            <w:r w:rsidRPr="005B39B6">
              <w:rPr>
                <w:rFonts w:ascii="Times New Roman" w:hAnsi="Times New Roman" w:cs="Times New Roman"/>
                <w:sz w:val="24"/>
                <w:szCs w:val="24"/>
              </w:rPr>
              <w:t xml:space="preserve"> 0,080</w:t>
            </w:r>
            <w:r w:rsidRPr="005B39B6">
              <w:rPr>
                <w:rFonts w:ascii="Times New Roman" w:hAnsi="Times New Roman" w:cs="Times New Roman"/>
                <w:sz w:val="24"/>
                <w:szCs w:val="24"/>
                <w:vertAlign w:val="superscript"/>
              </w:rPr>
              <w:t xml:space="preserve"> c</w:t>
            </w:r>
          </w:p>
        </w:tc>
        <w:tc>
          <w:tcPr>
            <w:tcW w:w="1783" w:type="dxa"/>
            <w:tcBorders>
              <w:top w:val="nil"/>
              <w:left w:val="nil"/>
              <w:bottom w:val="single" w:sz="4" w:space="0" w:color="auto"/>
              <w:right w:val="nil"/>
            </w:tcBorders>
          </w:tcPr>
          <w:p w14:paraId="0C9138C5" w14:textId="77777777" w:rsidR="006D142B" w:rsidRPr="005B39B6" w:rsidRDefault="006D142B" w:rsidP="006D142B">
            <w:pPr>
              <w:rPr>
                <w:rFonts w:ascii="Times New Roman" w:hAnsi="Times New Roman" w:cs="Times New Roman"/>
                <w:sz w:val="24"/>
                <w:szCs w:val="24"/>
              </w:rPr>
            </w:pPr>
          </w:p>
        </w:tc>
      </w:tr>
      <w:tr w:rsidR="006D142B" w:rsidRPr="005B39B6" w14:paraId="1BA5DE96" w14:textId="77777777" w:rsidTr="002B45C2">
        <w:trPr>
          <w:trHeight w:val="191"/>
        </w:trPr>
        <w:tc>
          <w:tcPr>
            <w:tcW w:w="2774" w:type="dxa"/>
            <w:tcBorders>
              <w:top w:val="single" w:sz="4" w:space="0" w:color="auto"/>
              <w:left w:val="nil"/>
              <w:bottom w:val="nil"/>
              <w:right w:val="nil"/>
            </w:tcBorders>
            <w:vAlign w:val="center"/>
            <w:hideMark/>
          </w:tcPr>
          <w:p w14:paraId="3E45A444" w14:textId="26AA5490" w:rsidR="006D142B" w:rsidRPr="005B39B6" w:rsidRDefault="006D142B" w:rsidP="006D142B">
            <w:pPr>
              <w:rPr>
                <w:rFonts w:ascii="Times New Roman" w:hAnsi="Times New Roman" w:cs="Times New Roman"/>
                <w:sz w:val="24"/>
                <w:szCs w:val="24"/>
              </w:rPr>
            </w:pPr>
            <w:proofErr w:type="gramStart"/>
            <w:r w:rsidRPr="005B39B6">
              <w:rPr>
                <w:rFonts w:ascii="Times New Roman" w:hAnsi="Times New Roman" w:cs="Times New Roman"/>
                <w:sz w:val="24"/>
                <w:szCs w:val="24"/>
              </w:rPr>
              <w:t>SMW(</w:t>
            </w:r>
            <w:proofErr w:type="gramEnd"/>
            <w:r w:rsidRPr="005B39B6">
              <w:rPr>
                <w:rFonts w:ascii="Times New Roman" w:hAnsi="Times New Roman" w:cs="Times New Roman"/>
                <w:sz w:val="24"/>
                <w:szCs w:val="24"/>
              </w:rPr>
              <w:t>%)</w:t>
            </w:r>
          </w:p>
        </w:tc>
        <w:tc>
          <w:tcPr>
            <w:tcW w:w="1061" w:type="dxa"/>
            <w:tcBorders>
              <w:top w:val="single" w:sz="4" w:space="0" w:color="auto"/>
              <w:left w:val="nil"/>
              <w:bottom w:val="nil"/>
              <w:right w:val="nil"/>
            </w:tcBorders>
          </w:tcPr>
          <w:p w14:paraId="10BBAB35" w14:textId="77777777" w:rsidR="006D142B" w:rsidRPr="005B39B6" w:rsidRDefault="006D142B" w:rsidP="006D142B">
            <w:pPr>
              <w:rPr>
                <w:rFonts w:ascii="Times New Roman" w:hAnsi="Times New Roman" w:cs="Times New Roman"/>
                <w:sz w:val="24"/>
                <w:szCs w:val="24"/>
              </w:rPr>
            </w:pPr>
          </w:p>
        </w:tc>
        <w:tc>
          <w:tcPr>
            <w:tcW w:w="3904" w:type="dxa"/>
            <w:tcBorders>
              <w:top w:val="single" w:sz="4" w:space="0" w:color="auto"/>
              <w:left w:val="nil"/>
              <w:bottom w:val="nil"/>
              <w:right w:val="nil"/>
            </w:tcBorders>
          </w:tcPr>
          <w:p w14:paraId="0AA3D651" w14:textId="77777777" w:rsidR="006D142B" w:rsidRPr="005B39B6" w:rsidRDefault="006D142B" w:rsidP="006D142B">
            <w:pPr>
              <w:rPr>
                <w:rFonts w:ascii="Times New Roman" w:hAnsi="Times New Roman" w:cs="Times New Roman"/>
                <w:sz w:val="24"/>
                <w:szCs w:val="24"/>
              </w:rPr>
            </w:pPr>
          </w:p>
        </w:tc>
        <w:tc>
          <w:tcPr>
            <w:tcW w:w="1783" w:type="dxa"/>
            <w:tcBorders>
              <w:top w:val="single" w:sz="4" w:space="0" w:color="auto"/>
              <w:left w:val="nil"/>
              <w:bottom w:val="nil"/>
              <w:right w:val="nil"/>
            </w:tcBorders>
          </w:tcPr>
          <w:p w14:paraId="4A618E88" w14:textId="77777777" w:rsidR="006D142B" w:rsidRPr="005B39B6" w:rsidRDefault="006D142B" w:rsidP="006D142B">
            <w:pPr>
              <w:rPr>
                <w:rFonts w:ascii="Times New Roman" w:hAnsi="Times New Roman" w:cs="Times New Roman"/>
                <w:sz w:val="24"/>
                <w:szCs w:val="24"/>
              </w:rPr>
            </w:pPr>
          </w:p>
        </w:tc>
      </w:tr>
      <w:tr w:rsidR="006D142B" w:rsidRPr="005B39B6" w14:paraId="4A7B356B" w14:textId="77777777" w:rsidTr="002B45C2">
        <w:trPr>
          <w:trHeight w:val="390"/>
        </w:trPr>
        <w:tc>
          <w:tcPr>
            <w:tcW w:w="2774" w:type="dxa"/>
            <w:tcBorders>
              <w:top w:val="nil"/>
              <w:left w:val="nil"/>
              <w:bottom w:val="nil"/>
              <w:right w:val="nil"/>
            </w:tcBorders>
            <w:vAlign w:val="center"/>
            <w:hideMark/>
          </w:tcPr>
          <w:p w14:paraId="4558D88A" w14:textId="74B9C658" w:rsidR="006D142B" w:rsidRPr="005B39B6" w:rsidRDefault="006D142B" w:rsidP="006D142B">
            <w:pPr>
              <w:jc w:val="center"/>
              <w:rPr>
                <w:rFonts w:ascii="Times New Roman" w:hAnsi="Times New Roman" w:cs="Times New Roman"/>
                <w:sz w:val="24"/>
                <w:szCs w:val="24"/>
              </w:rPr>
            </w:pPr>
            <w:r w:rsidRPr="005B39B6">
              <w:rPr>
                <w:rFonts w:ascii="Times New Roman" w:hAnsi="Times New Roman" w:cs="Times New Roman"/>
                <w:sz w:val="24"/>
                <w:szCs w:val="24"/>
              </w:rPr>
              <w:t>C-</w:t>
            </w:r>
          </w:p>
        </w:tc>
        <w:tc>
          <w:tcPr>
            <w:tcW w:w="1061" w:type="dxa"/>
            <w:tcBorders>
              <w:top w:val="nil"/>
              <w:left w:val="nil"/>
              <w:bottom w:val="nil"/>
              <w:right w:val="nil"/>
            </w:tcBorders>
            <w:hideMark/>
          </w:tcPr>
          <w:p w14:paraId="7C77FAE0" w14:textId="77777777" w:rsidR="006D142B" w:rsidRPr="005B39B6" w:rsidRDefault="006D142B" w:rsidP="006D142B">
            <w:pPr>
              <w:rPr>
                <w:rFonts w:ascii="Times New Roman" w:hAnsi="Times New Roman" w:cs="Times New Roman"/>
                <w:sz w:val="24"/>
                <w:szCs w:val="24"/>
              </w:rPr>
            </w:pPr>
            <w:r w:rsidRPr="005B39B6">
              <w:rPr>
                <w:rFonts w:ascii="Times New Roman" w:hAnsi="Times New Roman" w:cs="Times New Roman"/>
                <w:sz w:val="24"/>
                <w:szCs w:val="24"/>
              </w:rPr>
              <w:t>11</w:t>
            </w:r>
          </w:p>
        </w:tc>
        <w:tc>
          <w:tcPr>
            <w:tcW w:w="3904" w:type="dxa"/>
            <w:tcBorders>
              <w:top w:val="nil"/>
              <w:left w:val="nil"/>
              <w:bottom w:val="nil"/>
              <w:right w:val="nil"/>
            </w:tcBorders>
            <w:hideMark/>
          </w:tcPr>
          <w:p w14:paraId="21E04DED" w14:textId="77777777" w:rsidR="006D142B" w:rsidRPr="005B39B6" w:rsidRDefault="006D142B" w:rsidP="006D142B">
            <w:pPr>
              <w:rPr>
                <w:rFonts w:ascii="Times New Roman" w:hAnsi="Times New Roman" w:cs="Times New Roman"/>
                <w:sz w:val="24"/>
                <w:szCs w:val="24"/>
                <w:vertAlign w:val="superscript"/>
              </w:rPr>
            </w:pPr>
            <w:r w:rsidRPr="005B39B6">
              <w:rPr>
                <w:rFonts w:ascii="Times New Roman" w:hAnsi="Times New Roman" w:cs="Times New Roman"/>
                <w:sz w:val="24"/>
                <w:szCs w:val="24"/>
              </w:rPr>
              <w:t xml:space="preserve">68,00 </w:t>
            </w:r>
            <w:r w:rsidRPr="005B39B6">
              <w:rPr>
                <w:rFonts w:ascii="Times New Roman" w:hAnsi="Times New Roman" w:cs="Times New Roman"/>
                <w:sz w:val="24"/>
                <w:szCs w:val="24"/>
              </w:rPr>
              <w:sym w:font="Symbol" w:char="F0B1"/>
            </w:r>
            <w:r w:rsidRPr="005B39B6">
              <w:rPr>
                <w:rFonts w:ascii="Times New Roman" w:hAnsi="Times New Roman" w:cs="Times New Roman"/>
                <w:sz w:val="24"/>
                <w:szCs w:val="24"/>
              </w:rPr>
              <w:t xml:space="preserve"> 5,079</w:t>
            </w:r>
            <w:r w:rsidRPr="005B39B6">
              <w:rPr>
                <w:rFonts w:ascii="Times New Roman" w:hAnsi="Times New Roman" w:cs="Times New Roman"/>
                <w:sz w:val="24"/>
                <w:szCs w:val="24"/>
                <w:vertAlign w:val="superscript"/>
              </w:rPr>
              <w:t xml:space="preserve"> a</w:t>
            </w:r>
          </w:p>
        </w:tc>
        <w:tc>
          <w:tcPr>
            <w:tcW w:w="1783" w:type="dxa"/>
            <w:tcBorders>
              <w:top w:val="nil"/>
              <w:left w:val="nil"/>
              <w:bottom w:val="nil"/>
              <w:right w:val="nil"/>
            </w:tcBorders>
          </w:tcPr>
          <w:p w14:paraId="351A3BF7" w14:textId="77777777" w:rsidR="006D142B" w:rsidRPr="005B39B6" w:rsidRDefault="006D142B" w:rsidP="006D142B">
            <w:pPr>
              <w:rPr>
                <w:rFonts w:ascii="Times New Roman" w:hAnsi="Times New Roman" w:cs="Times New Roman"/>
                <w:sz w:val="24"/>
                <w:szCs w:val="24"/>
              </w:rPr>
            </w:pPr>
          </w:p>
        </w:tc>
      </w:tr>
      <w:tr w:rsidR="006D142B" w:rsidRPr="005B39B6" w14:paraId="178A4E15" w14:textId="77777777" w:rsidTr="002B45C2">
        <w:trPr>
          <w:trHeight w:val="206"/>
        </w:trPr>
        <w:tc>
          <w:tcPr>
            <w:tcW w:w="2774" w:type="dxa"/>
            <w:tcBorders>
              <w:top w:val="nil"/>
              <w:left w:val="nil"/>
              <w:bottom w:val="nil"/>
              <w:right w:val="nil"/>
            </w:tcBorders>
            <w:vAlign w:val="center"/>
            <w:hideMark/>
          </w:tcPr>
          <w:p w14:paraId="73BD16AB" w14:textId="596BC1A6" w:rsidR="006D142B" w:rsidRPr="005B39B6" w:rsidRDefault="006D142B" w:rsidP="006D142B">
            <w:pPr>
              <w:jc w:val="center"/>
              <w:rPr>
                <w:rFonts w:ascii="Times New Roman" w:hAnsi="Times New Roman" w:cs="Times New Roman"/>
                <w:sz w:val="24"/>
                <w:szCs w:val="24"/>
              </w:rPr>
            </w:pPr>
            <w:r w:rsidRPr="005B39B6">
              <w:rPr>
                <w:rFonts w:ascii="Times New Roman" w:hAnsi="Times New Roman" w:cs="Times New Roman"/>
                <w:sz w:val="24"/>
                <w:szCs w:val="24"/>
              </w:rPr>
              <w:t>C+</w:t>
            </w:r>
          </w:p>
        </w:tc>
        <w:tc>
          <w:tcPr>
            <w:tcW w:w="1061" w:type="dxa"/>
            <w:tcBorders>
              <w:top w:val="nil"/>
              <w:left w:val="nil"/>
              <w:bottom w:val="nil"/>
              <w:right w:val="nil"/>
            </w:tcBorders>
            <w:hideMark/>
          </w:tcPr>
          <w:p w14:paraId="381BA54B" w14:textId="77777777" w:rsidR="006D142B" w:rsidRPr="005B39B6" w:rsidRDefault="006D142B" w:rsidP="006D142B">
            <w:pPr>
              <w:rPr>
                <w:rFonts w:ascii="Times New Roman" w:hAnsi="Times New Roman" w:cs="Times New Roman"/>
                <w:sz w:val="24"/>
                <w:szCs w:val="24"/>
              </w:rPr>
            </w:pPr>
            <w:r w:rsidRPr="005B39B6">
              <w:rPr>
                <w:rFonts w:ascii="Times New Roman" w:hAnsi="Times New Roman" w:cs="Times New Roman"/>
                <w:sz w:val="24"/>
                <w:szCs w:val="24"/>
              </w:rPr>
              <w:t>11</w:t>
            </w:r>
          </w:p>
        </w:tc>
        <w:tc>
          <w:tcPr>
            <w:tcW w:w="3904" w:type="dxa"/>
            <w:tcBorders>
              <w:top w:val="nil"/>
              <w:left w:val="nil"/>
              <w:bottom w:val="nil"/>
              <w:right w:val="nil"/>
            </w:tcBorders>
            <w:hideMark/>
          </w:tcPr>
          <w:p w14:paraId="17A0FBCD" w14:textId="77777777" w:rsidR="006D142B" w:rsidRPr="005B39B6" w:rsidRDefault="006D142B" w:rsidP="006D142B">
            <w:pPr>
              <w:rPr>
                <w:rFonts w:ascii="Times New Roman" w:hAnsi="Times New Roman" w:cs="Times New Roman"/>
                <w:sz w:val="24"/>
                <w:szCs w:val="24"/>
                <w:vertAlign w:val="superscript"/>
              </w:rPr>
            </w:pPr>
            <w:r w:rsidRPr="005B39B6">
              <w:rPr>
                <w:rFonts w:ascii="Times New Roman" w:hAnsi="Times New Roman" w:cs="Times New Roman"/>
                <w:sz w:val="24"/>
                <w:szCs w:val="24"/>
              </w:rPr>
              <w:t xml:space="preserve">31,14 </w:t>
            </w:r>
            <w:r w:rsidRPr="005B39B6">
              <w:rPr>
                <w:rFonts w:ascii="Times New Roman" w:hAnsi="Times New Roman" w:cs="Times New Roman"/>
                <w:sz w:val="24"/>
                <w:szCs w:val="24"/>
              </w:rPr>
              <w:sym w:font="Symbol" w:char="F0B1"/>
            </w:r>
            <w:r w:rsidRPr="005B39B6">
              <w:rPr>
                <w:rFonts w:ascii="Times New Roman" w:hAnsi="Times New Roman" w:cs="Times New Roman"/>
                <w:sz w:val="24"/>
                <w:szCs w:val="24"/>
              </w:rPr>
              <w:t xml:space="preserve"> 18,868</w:t>
            </w:r>
            <w:r w:rsidRPr="005B39B6">
              <w:rPr>
                <w:rFonts w:ascii="Times New Roman" w:hAnsi="Times New Roman" w:cs="Times New Roman"/>
                <w:sz w:val="24"/>
                <w:szCs w:val="24"/>
                <w:vertAlign w:val="superscript"/>
              </w:rPr>
              <w:t xml:space="preserve"> b</w:t>
            </w:r>
          </w:p>
        </w:tc>
        <w:tc>
          <w:tcPr>
            <w:tcW w:w="1783" w:type="dxa"/>
            <w:tcBorders>
              <w:top w:val="nil"/>
              <w:left w:val="nil"/>
              <w:bottom w:val="nil"/>
              <w:right w:val="nil"/>
            </w:tcBorders>
            <w:hideMark/>
          </w:tcPr>
          <w:p w14:paraId="15E89AE0" w14:textId="77777777" w:rsidR="006D142B" w:rsidRPr="005B39B6" w:rsidRDefault="006D142B" w:rsidP="006D142B">
            <w:pPr>
              <w:rPr>
                <w:rFonts w:ascii="Times New Roman" w:hAnsi="Times New Roman" w:cs="Times New Roman"/>
                <w:sz w:val="24"/>
                <w:szCs w:val="24"/>
              </w:rPr>
            </w:pPr>
            <w:r w:rsidRPr="005B39B6">
              <w:rPr>
                <w:rFonts w:ascii="Times New Roman" w:hAnsi="Times New Roman" w:cs="Times New Roman"/>
                <w:sz w:val="24"/>
                <w:szCs w:val="24"/>
              </w:rPr>
              <w:t>&lt; 0,001</w:t>
            </w:r>
          </w:p>
        </w:tc>
      </w:tr>
      <w:tr w:rsidR="006D142B" w:rsidRPr="005B39B6" w14:paraId="7699D9D2" w14:textId="77777777" w:rsidTr="002B45C2">
        <w:trPr>
          <w:trHeight w:val="390"/>
        </w:trPr>
        <w:tc>
          <w:tcPr>
            <w:tcW w:w="2774" w:type="dxa"/>
            <w:tcBorders>
              <w:top w:val="nil"/>
              <w:left w:val="nil"/>
              <w:bottom w:val="single" w:sz="4" w:space="0" w:color="auto"/>
              <w:right w:val="nil"/>
            </w:tcBorders>
            <w:vAlign w:val="center"/>
            <w:hideMark/>
          </w:tcPr>
          <w:p w14:paraId="2FE232C7" w14:textId="15F0EF80" w:rsidR="006D142B" w:rsidRPr="005B39B6" w:rsidRDefault="006D142B" w:rsidP="006D142B">
            <w:pPr>
              <w:jc w:val="center"/>
              <w:rPr>
                <w:rFonts w:ascii="Times New Roman" w:hAnsi="Times New Roman" w:cs="Times New Roman"/>
                <w:sz w:val="24"/>
                <w:szCs w:val="24"/>
              </w:rPr>
            </w:pPr>
            <w:r w:rsidRPr="005B39B6">
              <w:rPr>
                <w:rFonts w:ascii="Times New Roman" w:hAnsi="Times New Roman" w:cs="Times New Roman"/>
                <w:sz w:val="24"/>
                <w:szCs w:val="24"/>
              </w:rPr>
              <w:lastRenderedPageBreak/>
              <w:t>T</w:t>
            </w:r>
          </w:p>
        </w:tc>
        <w:tc>
          <w:tcPr>
            <w:tcW w:w="1061" w:type="dxa"/>
            <w:tcBorders>
              <w:top w:val="nil"/>
              <w:left w:val="nil"/>
              <w:bottom w:val="single" w:sz="4" w:space="0" w:color="auto"/>
              <w:right w:val="nil"/>
            </w:tcBorders>
            <w:hideMark/>
          </w:tcPr>
          <w:p w14:paraId="13C2CA26" w14:textId="77777777" w:rsidR="006D142B" w:rsidRPr="005B39B6" w:rsidRDefault="006D142B" w:rsidP="006D142B">
            <w:pPr>
              <w:rPr>
                <w:rFonts w:ascii="Times New Roman" w:hAnsi="Times New Roman" w:cs="Times New Roman"/>
                <w:sz w:val="24"/>
                <w:szCs w:val="24"/>
              </w:rPr>
            </w:pPr>
            <w:r w:rsidRPr="005B39B6">
              <w:rPr>
                <w:rFonts w:ascii="Times New Roman" w:hAnsi="Times New Roman" w:cs="Times New Roman"/>
                <w:sz w:val="24"/>
                <w:szCs w:val="24"/>
              </w:rPr>
              <w:t>11</w:t>
            </w:r>
          </w:p>
        </w:tc>
        <w:tc>
          <w:tcPr>
            <w:tcW w:w="3904" w:type="dxa"/>
            <w:tcBorders>
              <w:top w:val="nil"/>
              <w:left w:val="nil"/>
              <w:bottom w:val="single" w:sz="4" w:space="0" w:color="auto"/>
              <w:right w:val="nil"/>
            </w:tcBorders>
            <w:hideMark/>
          </w:tcPr>
          <w:p w14:paraId="32D1BCB7" w14:textId="77777777" w:rsidR="006D142B" w:rsidRPr="005B39B6" w:rsidRDefault="006D142B" w:rsidP="006D142B">
            <w:pPr>
              <w:rPr>
                <w:rFonts w:ascii="Times New Roman" w:hAnsi="Times New Roman" w:cs="Times New Roman"/>
                <w:sz w:val="24"/>
                <w:szCs w:val="24"/>
                <w:vertAlign w:val="superscript"/>
              </w:rPr>
            </w:pPr>
            <w:r w:rsidRPr="005B39B6">
              <w:rPr>
                <w:rFonts w:ascii="Times New Roman" w:hAnsi="Times New Roman" w:cs="Times New Roman"/>
                <w:sz w:val="24"/>
                <w:szCs w:val="24"/>
              </w:rPr>
              <w:t xml:space="preserve">52,09 </w:t>
            </w:r>
            <w:r w:rsidRPr="005B39B6">
              <w:rPr>
                <w:rFonts w:ascii="Times New Roman" w:hAnsi="Times New Roman" w:cs="Times New Roman"/>
                <w:sz w:val="24"/>
                <w:szCs w:val="24"/>
              </w:rPr>
              <w:sym w:font="Symbol" w:char="F0B1"/>
            </w:r>
            <w:r w:rsidRPr="005B39B6">
              <w:rPr>
                <w:rFonts w:ascii="Times New Roman" w:hAnsi="Times New Roman" w:cs="Times New Roman"/>
                <w:sz w:val="24"/>
                <w:szCs w:val="24"/>
              </w:rPr>
              <w:t xml:space="preserve"> 14,033</w:t>
            </w:r>
            <w:r w:rsidRPr="005B39B6">
              <w:rPr>
                <w:rFonts w:ascii="Times New Roman" w:hAnsi="Times New Roman" w:cs="Times New Roman"/>
                <w:sz w:val="24"/>
                <w:szCs w:val="24"/>
                <w:vertAlign w:val="superscript"/>
              </w:rPr>
              <w:t xml:space="preserve"> c</w:t>
            </w:r>
          </w:p>
        </w:tc>
        <w:tc>
          <w:tcPr>
            <w:tcW w:w="1783" w:type="dxa"/>
            <w:tcBorders>
              <w:top w:val="nil"/>
              <w:left w:val="nil"/>
              <w:bottom w:val="single" w:sz="4" w:space="0" w:color="auto"/>
              <w:right w:val="nil"/>
            </w:tcBorders>
          </w:tcPr>
          <w:p w14:paraId="33419910" w14:textId="77777777" w:rsidR="006D142B" w:rsidRPr="005B39B6" w:rsidRDefault="006D142B" w:rsidP="006D142B">
            <w:pPr>
              <w:keepNext/>
              <w:rPr>
                <w:rFonts w:ascii="Times New Roman" w:hAnsi="Times New Roman" w:cs="Times New Roman"/>
                <w:sz w:val="24"/>
                <w:szCs w:val="24"/>
              </w:rPr>
            </w:pPr>
          </w:p>
        </w:tc>
      </w:tr>
    </w:tbl>
    <w:p w14:paraId="5BC06856" w14:textId="0CEE8E96" w:rsidR="00F9552D" w:rsidRPr="005B39B6" w:rsidRDefault="00D973DB" w:rsidP="006D142B">
      <w:pPr>
        <w:pStyle w:val="Caption"/>
        <w:rPr>
          <w:rFonts w:ascii="Times New Roman" w:hAnsi="Times New Roman" w:cs="Times New Roman"/>
          <w:b/>
          <w:bCs/>
          <w:color w:val="auto"/>
          <w:sz w:val="24"/>
          <w:szCs w:val="24"/>
        </w:rPr>
      </w:pPr>
      <w:r w:rsidRPr="005B39B6">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36E0BDAD" wp14:editId="34089EA4">
                <wp:simplePos x="0" y="0"/>
                <wp:positionH relativeFrom="column">
                  <wp:posOffset>2921000</wp:posOffset>
                </wp:positionH>
                <wp:positionV relativeFrom="paragraph">
                  <wp:posOffset>2066290</wp:posOffset>
                </wp:positionV>
                <wp:extent cx="254000" cy="323850"/>
                <wp:effectExtent l="0" t="0" r="12700" b="19050"/>
                <wp:wrapNone/>
                <wp:docPr id="1884701336" name="Text Box 2"/>
                <wp:cNvGraphicFramePr/>
                <a:graphic xmlns:a="http://schemas.openxmlformats.org/drawingml/2006/main">
                  <a:graphicData uri="http://schemas.microsoft.com/office/word/2010/wordprocessingShape">
                    <wps:wsp>
                      <wps:cNvSpPr txBox="1"/>
                      <wps:spPr>
                        <a:xfrm>
                          <a:off x="0" y="0"/>
                          <a:ext cx="254000" cy="323850"/>
                        </a:xfrm>
                        <a:prstGeom prst="rect">
                          <a:avLst/>
                        </a:prstGeom>
                        <a:solidFill>
                          <a:schemeClr val="lt1"/>
                        </a:solidFill>
                        <a:ln w="6350">
                          <a:solidFill>
                            <a:prstClr val="black"/>
                          </a:solidFill>
                        </a:ln>
                      </wps:spPr>
                      <wps:txbx>
                        <w:txbxContent>
                          <w:p w14:paraId="12087E6A" w14:textId="1616B2EC" w:rsidR="00D973DB" w:rsidRPr="00D973DB" w:rsidRDefault="00D973DB">
                            <w:pPr>
                              <w:rPr>
                                <w:rFonts w:ascii="Times New Roman" w:hAnsi="Times New Roman" w:cs="Times New Roman"/>
                              </w:rPr>
                            </w:pPr>
                            <w:r w:rsidRPr="00D973DB">
                              <w:rPr>
                                <w:rFonts w:ascii="Times New Roman" w:hAnsi="Times New Roman" w:cs="Times New Roman"/>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6E0BDAD" id="_x0000_t202" coordsize="21600,21600" o:spt="202" path="m,l,21600r21600,l21600,xe">
                <v:stroke joinstyle="miter"/>
                <v:path gradientshapeok="t" o:connecttype="rect"/>
              </v:shapetype>
              <v:shape id="Text Box 2" o:spid="_x0000_s1026" type="#_x0000_t202" style="position:absolute;margin-left:230pt;margin-top:162.7pt;width:20pt;height:25.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" fillcolor="white [3201]" strokeweight=".5pt">
                <v:textbox>
                  <w:txbxContent>
                    <w:p w14:paraId="12087E6A" w14:textId="1616B2EC" w:rsidR="00D973DB" w:rsidRPr="00D973DB" w:rsidRDefault="00D973DB">
                      <w:pPr>
                        <w:rPr>
                          <w:rFonts w:ascii="Times New Roman" w:hAnsi="Times New Roman" w:cs="Times New Roman"/>
                        </w:rPr>
                      </w:pPr>
                      <w:r w:rsidRPr="00D973DB">
                        <w:rPr>
                          <w:rFonts w:ascii="Times New Roman" w:hAnsi="Times New Roman" w:cs="Times New Roman"/>
                        </w:rPr>
                        <w:t>B</w:t>
                      </w:r>
                    </w:p>
                  </w:txbxContent>
                </v:textbox>
              </v:shape>
            </w:pict>
          </mc:Fallback>
        </mc:AlternateContent>
      </w:r>
      <w:r w:rsidRPr="005B39B6">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4AF2F74C" wp14:editId="0C3F8C86">
                <wp:simplePos x="0" y="0"/>
                <wp:positionH relativeFrom="column">
                  <wp:posOffset>-6350</wp:posOffset>
                </wp:positionH>
                <wp:positionV relativeFrom="paragraph">
                  <wp:posOffset>2028190</wp:posOffset>
                </wp:positionV>
                <wp:extent cx="260350" cy="349250"/>
                <wp:effectExtent l="0" t="0" r="25400" b="12700"/>
                <wp:wrapNone/>
                <wp:docPr id="1396267638" name="Text Box 1"/>
                <wp:cNvGraphicFramePr/>
                <a:graphic xmlns:a="http://schemas.openxmlformats.org/drawingml/2006/main">
                  <a:graphicData uri="http://schemas.microsoft.com/office/word/2010/wordprocessingShape">
                    <wps:wsp>
                      <wps:cNvSpPr txBox="1"/>
                      <wps:spPr>
                        <a:xfrm>
                          <a:off x="0" y="0"/>
                          <a:ext cx="260350" cy="349250"/>
                        </a:xfrm>
                        <a:prstGeom prst="rect">
                          <a:avLst/>
                        </a:prstGeom>
                        <a:solidFill>
                          <a:schemeClr val="lt1"/>
                        </a:solidFill>
                        <a:ln w="6350">
                          <a:solidFill>
                            <a:prstClr val="black"/>
                          </a:solidFill>
                        </a:ln>
                      </wps:spPr>
                      <wps:txbx>
                        <w:txbxContent>
                          <w:p w14:paraId="6C8FDA61" w14:textId="7CFE9D1C" w:rsidR="00D973DB" w:rsidRPr="00D973DB" w:rsidRDefault="00D973DB">
                            <w:pPr>
                              <w:rPr>
                                <w:rFonts w:ascii="Times New Roman" w:hAnsi="Times New Roman" w:cs="Times New Roman"/>
                              </w:rPr>
                            </w:pPr>
                            <w:r w:rsidRPr="00D973DB">
                              <w:rPr>
                                <w:rFonts w:ascii="Times New Roman" w:hAnsi="Times New Roman" w:cs="Times New Roma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F2F74C" id="Text Box 1" o:spid="_x0000_s1027" type="#_x0000_t202" style="position:absolute;margin-left:-.5pt;margin-top:159.7pt;width:20.5pt;height:2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" fillcolor="white [3201]" strokeweight=".5pt">
                <v:textbox>
                  <w:txbxContent>
                    <w:p w14:paraId="6C8FDA61" w14:textId="7CFE9D1C" w:rsidR="00D973DB" w:rsidRPr="00D973DB" w:rsidRDefault="00D973DB">
                      <w:pPr>
                        <w:rPr>
                          <w:rFonts w:ascii="Times New Roman" w:hAnsi="Times New Roman" w:cs="Times New Roman"/>
                        </w:rPr>
                      </w:pPr>
                      <w:r w:rsidRPr="00D973DB">
                        <w:rPr>
                          <w:rFonts w:ascii="Times New Roman" w:hAnsi="Times New Roman" w:cs="Times New Roman"/>
                        </w:rPr>
                        <w:t>A</w:t>
                      </w:r>
                    </w:p>
                  </w:txbxContent>
                </v:textbox>
              </v:shape>
            </w:pict>
          </mc:Fallback>
        </mc:AlternateContent>
      </w:r>
      <w:r w:rsidR="001B48F3" w:rsidRPr="005B39B6">
        <w:rPr>
          <w:rFonts w:ascii="Times New Roman" w:hAnsi="Times New Roman" w:cs="Times New Roman"/>
          <w:noProof/>
          <w:sz w:val="24"/>
          <w:szCs w:val="24"/>
        </w:rPr>
        <w:drawing>
          <wp:anchor distT="0" distB="0" distL="114300" distR="114300" simplePos="0" relativeHeight="251659264" behindDoc="0" locked="0" layoutInCell="1" allowOverlap="1" wp14:anchorId="3822958D" wp14:editId="3AB4B07C">
            <wp:simplePos x="0" y="0"/>
            <wp:positionH relativeFrom="margin">
              <wp:posOffset>2889250</wp:posOffset>
            </wp:positionH>
            <wp:positionV relativeFrom="paragraph">
              <wp:posOffset>529590</wp:posOffset>
            </wp:positionV>
            <wp:extent cx="3054350" cy="1911350"/>
            <wp:effectExtent l="0" t="0" r="12700" b="12700"/>
            <wp:wrapTopAndBottom/>
            <wp:docPr id="14991854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14:sizeRelH relativeFrom="page">
              <wp14:pctWidth>0</wp14:pctWidth>
            </wp14:sizeRelH>
            <wp14:sizeRelV relativeFrom="page">
              <wp14:pctHeight>0</wp14:pctHeight>
            </wp14:sizeRelV>
          </wp:anchor>
        </w:drawing>
      </w:r>
      <w:r w:rsidR="001B48F3" w:rsidRPr="005B39B6">
        <w:rPr>
          <w:rFonts w:ascii="Times New Roman" w:hAnsi="Times New Roman" w:cs="Times New Roman"/>
          <w:noProof/>
          <w:sz w:val="24"/>
          <w:szCs w:val="24"/>
        </w:rPr>
        <w:drawing>
          <wp:anchor distT="0" distB="0" distL="114300" distR="114300" simplePos="0" relativeHeight="251658240" behindDoc="0" locked="0" layoutInCell="1" allowOverlap="1" wp14:anchorId="1FCA4482" wp14:editId="526C9585">
            <wp:simplePos x="0" y="0"/>
            <wp:positionH relativeFrom="column">
              <wp:posOffset>-25400</wp:posOffset>
            </wp:positionH>
            <wp:positionV relativeFrom="paragraph">
              <wp:posOffset>523240</wp:posOffset>
            </wp:positionV>
            <wp:extent cx="2895600" cy="1917700"/>
            <wp:effectExtent l="0" t="0" r="0" b="6350"/>
            <wp:wrapTopAndBottom/>
            <wp:docPr id="56897005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r w:rsidR="006D142B" w:rsidRPr="005B39B6">
        <w:rPr>
          <w:rFonts w:ascii="Times New Roman" w:hAnsi="Times New Roman" w:cs="Times New Roman"/>
          <w:b/>
          <w:bCs/>
          <w:color w:val="auto"/>
          <w:sz w:val="24"/>
          <w:szCs w:val="24"/>
        </w:rPr>
        <w:t xml:space="preserve">Table </w:t>
      </w:r>
      <w:r w:rsidR="006D142B" w:rsidRPr="005B39B6">
        <w:rPr>
          <w:rFonts w:ascii="Times New Roman" w:hAnsi="Times New Roman" w:cs="Times New Roman"/>
          <w:b/>
          <w:bCs/>
          <w:color w:val="auto"/>
          <w:sz w:val="24"/>
          <w:szCs w:val="24"/>
        </w:rPr>
        <w:fldChar w:fldCharType="begin"/>
      </w:r>
      <w:r w:rsidR="006D142B" w:rsidRPr="005B39B6">
        <w:rPr>
          <w:rFonts w:ascii="Times New Roman" w:hAnsi="Times New Roman" w:cs="Times New Roman"/>
          <w:b/>
          <w:bCs/>
          <w:color w:val="auto"/>
          <w:sz w:val="24"/>
          <w:szCs w:val="24"/>
        </w:rPr>
        <w:instrText xml:space="preserve"> SEQ Table \* ARABIC </w:instrText>
      </w:r>
      <w:r w:rsidR="006D142B" w:rsidRPr="005B39B6">
        <w:rPr>
          <w:rFonts w:ascii="Times New Roman" w:hAnsi="Times New Roman" w:cs="Times New Roman"/>
          <w:b/>
          <w:bCs/>
          <w:color w:val="auto"/>
          <w:sz w:val="24"/>
          <w:szCs w:val="24"/>
        </w:rPr>
        <w:fldChar w:fldCharType="separate"/>
      </w:r>
      <w:r w:rsidR="006D142B" w:rsidRPr="005B39B6">
        <w:rPr>
          <w:rFonts w:ascii="Times New Roman" w:hAnsi="Times New Roman" w:cs="Times New Roman"/>
          <w:b/>
          <w:bCs/>
          <w:noProof/>
          <w:color w:val="auto"/>
          <w:sz w:val="24"/>
          <w:szCs w:val="24"/>
        </w:rPr>
        <w:t>1</w:t>
      </w:r>
      <w:r w:rsidR="006D142B" w:rsidRPr="005B39B6">
        <w:rPr>
          <w:rFonts w:ascii="Times New Roman" w:hAnsi="Times New Roman" w:cs="Times New Roman"/>
          <w:b/>
          <w:bCs/>
          <w:color w:val="auto"/>
          <w:sz w:val="24"/>
          <w:szCs w:val="24"/>
        </w:rPr>
        <w:fldChar w:fldCharType="end"/>
      </w:r>
      <w:r w:rsidR="006D142B" w:rsidRPr="005B39B6">
        <w:rPr>
          <w:rFonts w:ascii="Times New Roman" w:hAnsi="Times New Roman" w:cs="Times New Roman"/>
          <w:b/>
          <w:bCs/>
          <w:color w:val="auto"/>
          <w:sz w:val="24"/>
          <w:szCs w:val="24"/>
        </w:rPr>
        <w:t xml:space="preserve">. Differences </w:t>
      </w:r>
      <w:proofErr w:type="gramStart"/>
      <w:r w:rsidR="006D142B" w:rsidRPr="005B39B6">
        <w:rPr>
          <w:rFonts w:ascii="Times New Roman" w:hAnsi="Times New Roman" w:cs="Times New Roman"/>
          <w:b/>
          <w:bCs/>
          <w:color w:val="auto"/>
          <w:sz w:val="24"/>
          <w:szCs w:val="24"/>
        </w:rPr>
        <w:t>in  A</w:t>
      </w:r>
      <w:proofErr w:type="gramEnd"/>
      <w:r w:rsidR="006D142B" w:rsidRPr="005B39B6">
        <w:rPr>
          <w:rFonts w:ascii="Times New Roman" w:hAnsi="Times New Roman" w:cs="Times New Roman"/>
          <w:b/>
          <w:bCs/>
          <w:color w:val="auto"/>
          <w:sz w:val="24"/>
          <w:szCs w:val="24"/>
        </w:rPr>
        <w:t xml:space="preserve">β levels, </w:t>
      </w:r>
      <w:proofErr w:type="spellStart"/>
      <w:r w:rsidR="006D142B" w:rsidRPr="005B39B6">
        <w:rPr>
          <w:rFonts w:ascii="Times New Roman" w:hAnsi="Times New Roman" w:cs="Times New Roman"/>
          <w:b/>
          <w:bCs/>
          <w:color w:val="auto"/>
          <w:sz w:val="24"/>
          <w:szCs w:val="24"/>
        </w:rPr>
        <w:t>MAPTau</w:t>
      </w:r>
      <w:proofErr w:type="spellEnd"/>
      <w:r w:rsidR="006D142B" w:rsidRPr="005B39B6">
        <w:rPr>
          <w:rFonts w:ascii="Times New Roman" w:hAnsi="Times New Roman" w:cs="Times New Roman"/>
          <w:b/>
          <w:bCs/>
          <w:color w:val="auto"/>
          <w:sz w:val="24"/>
          <w:szCs w:val="24"/>
        </w:rPr>
        <w:t>, and SWM values between the control (C- &amp; C+) and treatment (T) groups at week 9.</w:t>
      </w:r>
    </w:p>
    <w:p w14:paraId="47E55E20" w14:textId="08DC2543" w:rsidR="001B48F3" w:rsidRPr="005B39B6" w:rsidRDefault="001B48F3" w:rsidP="001B48F3">
      <w:pPr>
        <w:rPr>
          <w:rFonts w:ascii="Times New Roman" w:hAnsi="Times New Roman" w:cs="Times New Roman"/>
          <w:sz w:val="24"/>
          <w:szCs w:val="24"/>
        </w:rPr>
      </w:pPr>
    </w:p>
    <w:p w14:paraId="67E8CFFD" w14:textId="69801B50" w:rsidR="00FA71E9" w:rsidRPr="005B39B6" w:rsidRDefault="00D973DB" w:rsidP="00D973DB">
      <w:pPr>
        <w:keepNext/>
        <w:rPr>
          <w:rFonts w:ascii="Times New Roman" w:hAnsi="Times New Roman" w:cs="Times New Roman"/>
          <w:sz w:val="24"/>
          <w:szCs w:val="24"/>
        </w:rPr>
      </w:pPr>
      <w:r w:rsidRPr="005B39B6">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63972340" wp14:editId="7EBD1303">
                <wp:simplePos x="0" y="0"/>
                <wp:positionH relativeFrom="column">
                  <wp:posOffset>25400</wp:posOffset>
                </wp:positionH>
                <wp:positionV relativeFrom="paragraph">
                  <wp:posOffset>1547495</wp:posOffset>
                </wp:positionV>
                <wp:extent cx="247650" cy="260350"/>
                <wp:effectExtent l="0" t="0" r="19050" b="25400"/>
                <wp:wrapNone/>
                <wp:docPr id="1380943887" name="Text Box 3"/>
                <wp:cNvGraphicFramePr/>
                <a:graphic xmlns:a="http://schemas.openxmlformats.org/drawingml/2006/main">
                  <a:graphicData uri="http://schemas.microsoft.com/office/word/2010/wordprocessingShape">
                    <wps:wsp>
                      <wps:cNvSpPr txBox="1"/>
                      <wps:spPr>
                        <a:xfrm>
                          <a:off x="0" y="0"/>
                          <a:ext cx="247650" cy="260350"/>
                        </a:xfrm>
                        <a:prstGeom prst="rect">
                          <a:avLst/>
                        </a:prstGeom>
                        <a:solidFill>
                          <a:schemeClr val="lt1"/>
                        </a:solidFill>
                        <a:ln w="6350">
                          <a:solidFill>
                            <a:prstClr val="black"/>
                          </a:solidFill>
                        </a:ln>
                      </wps:spPr>
                      <wps:txbx>
                        <w:txbxContent>
                          <w:p w14:paraId="0874BE69" w14:textId="150FD6D5" w:rsidR="00D973DB" w:rsidRPr="00D973DB" w:rsidRDefault="00D973DB">
                            <w:pPr>
                              <w:rPr>
                                <w:rFonts w:ascii="Times New Roman" w:hAnsi="Times New Roman" w:cs="Times New Roman"/>
                              </w:rPr>
                            </w:pPr>
                            <w:r w:rsidRPr="00D973DB">
                              <w:rPr>
                                <w:rFonts w:ascii="Times New Roman" w:hAnsi="Times New Roman" w:cs="Times New Roman"/>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972340" id="Text Box 3" o:spid="_x0000_s1028" type="#_x0000_t202" style="position:absolute;margin-left:2pt;margin-top:121.85pt;width:19.5pt;height:2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" fillcolor="white [3201]" strokeweight=".5pt">
                <v:textbox>
                  <w:txbxContent>
                    <w:p w14:paraId="0874BE69" w14:textId="150FD6D5" w:rsidR="00D973DB" w:rsidRPr="00D973DB" w:rsidRDefault="00D973DB">
                      <w:pPr>
                        <w:rPr>
                          <w:rFonts w:ascii="Times New Roman" w:hAnsi="Times New Roman" w:cs="Times New Roman"/>
                        </w:rPr>
                      </w:pPr>
                      <w:r w:rsidRPr="00D973DB">
                        <w:rPr>
                          <w:rFonts w:ascii="Times New Roman" w:hAnsi="Times New Roman" w:cs="Times New Roman"/>
                        </w:rPr>
                        <w:t>C</w:t>
                      </w:r>
                    </w:p>
                  </w:txbxContent>
                </v:textbox>
              </v:shape>
            </w:pict>
          </mc:Fallback>
        </mc:AlternateContent>
      </w:r>
      <w:r w:rsidRPr="005B39B6">
        <w:rPr>
          <w:rFonts w:ascii="Times New Roman" w:hAnsi="Times New Roman" w:cs="Times New Roman"/>
          <w:noProof/>
          <w:sz w:val="24"/>
          <w:szCs w:val="24"/>
        </w:rPr>
        <w:drawing>
          <wp:inline distT="0" distB="0" distL="0" distR="0" wp14:anchorId="5CC655E8" wp14:editId="33F2E445">
            <wp:extent cx="2870200" cy="1860550"/>
            <wp:effectExtent l="0" t="0" r="6350" b="6350"/>
            <wp:docPr id="77663109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A3B1C35" w14:textId="3C54AD43" w:rsidR="00A875CA" w:rsidRPr="00055B84" w:rsidRDefault="00D973DB" w:rsidP="00055B84">
      <w:pPr>
        <w:pStyle w:val="Caption"/>
        <w:rPr>
          <w:rFonts w:ascii="Times New Roman" w:hAnsi="Times New Roman" w:cs="Times New Roman"/>
          <w:b/>
          <w:bCs/>
          <w:color w:val="auto"/>
          <w:sz w:val="24"/>
          <w:szCs w:val="24"/>
        </w:rPr>
      </w:pPr>
      <w:r w:rsidRPr="005B39B6">
        <w:rPr>
          <w:rFonts w:ascii="Times New Roman" w:hAnsi="Times New Roman" w:cs="Times New Roman"/>
          <w:b/>
          <w:bCs/>
          <w:color w:val="auto"/>
          <w:sz w:val="24"/>
          <w:szCs w:val="24"/>
        </w:rPr>
        <w:t xml:space="preserve">Figure </w:t>
      </w:r>
      <w:r w:rsidRPr="005B39B6">
        <w:rPr>
          <w:rFonts w:ascii="Times New Roman" w:hAnsi="Times New Roman" w:cs="Times New Roman"/>
          <w:b/>
          <w:bCs/>
          <w:color w:val="auto"/>
          <w:sz w:val="24"/>
          <w:szCs w:val="24"/>
        </w:rPr>
        <w:fldChar w:fldCharType="begin"/>
      </w:r>
      <w:r w:rsidRPr="005B39B6">
        <w:rPr>
          <w:rFonts w:ascii="Times New Roman" w:hAnsi="Times New Roman" w:cs="Times New Roman"/>
          <w:b/>
          <w:bCs/>
          <w:color w:val="auto"/>
          <w:sz w:val="24"/>
          <w:szCs w:val="24"/>
        </w:rPr>
        <w:instrText xml:space="preserve"> SEQ Figure \* ARABIC </w:instrText>
      </w:r>
      <w:r w:rsidRPr="005B39B6">
        <w:rPr>
          <w:rFonts w:ascii="Times New Roman" w:hAnsi="Times New Roman" w:cs="Times New Roman"/>
          <w:b/>
          <w:bCs/>
          <w:color w:val="auto"/>
          <w:sz w:val="24"/>
          <w:szCs w:val="24"/>
        </w:rPr>
        <w:fldChar w:fldCharType="separate"/>
      </w:r>
      <w:r w:rsidRPr="005B39B6">
        <w:rPr>
          <w:rFonts w:ascii="Times New Roman" w:hAnsi="Times New Roman" w:cs="Times New Roman"/>
          <w:b/>
          <w:bCs/>
          <w:color w:val="auto"/>
          <w:sz w:val="24"/>
          <w:szCs w:val="24"/>
        </w:rPr>
        <w:t>1</w:t>
      </w:r>
      <w:r w:rsidRPr="005B39B6">
        <w:rPr>
          <w:rFonts w:ascii="Times New Roman" w:hAnsi="Times New Roman" w:cs="Times New Roman"/>
          <w:b/>
          <w:bCs/>
          <w:color w:val="auto"/>
          <w:sz w:val="24"/>
          <w:szCs w:val="24"/>
        </w:rPr>
        <w:fldChar w:fldCharType="end"/>
      </w:r>
      <w:r w:rsidRPr="005B39B6">
        <w:rPr>
          <w:rFonts w:ascii="Times New Roman" w:hAnsi="Times New Roman" w:cs="Times New Roman"/>
          <w:b/>
          <w:bCs/>
          <w:color w:val="auto"/>
          <w:sz w:val="24"/>
          <w:szCs w:val="24"/>
        </w:rPr>
        <w:t xml:space="preserve">. </w:t>
      </w:r>
      <w:r w:rsidR="00A875CA" w:rsidRPr="00A875CA">
        <w:rPr>
          <w:rFonts w:ascii="Times New Roman" w:hAnsi="Times New Roman" w:cs="Times New Roman"/>
          <w:b/>
          <w:bCs/>
          <w:color w:val="auto"/>
          <w:sz w:val="24"/>
          <w:szCs w:val="24"/>
        </w:rPr>
        <w:t xml:space="preserve">P. gingivalis increased Aβ (A) and </w:t>
      </w:r>
      <w:proofErr w:type="spellStart"/>
      <w:r w:rsidR="00A875CA" w:rsidRPr="00A875CA">
        <w:rPr>
          <w:rFonts w:ascii="Times New Roman" w:hAnsi="Times New Roman" w:cs="Times New Roman"/>
          <w:b/>
          <w:bCs/>
          <w:color w:val="auto"/>
          <w:sz w:val="24"/>
          <w:szCs w:val="24"/>
        </w:rPr>
        <w:t>MAPTau</w:t>
      </w:r>
      <w:proofErr w:type="spellEnd"/>
      <w:r w:rsidR="00A875CA" w:rsidRPr="00A875CA">
        <w:rPr>
          <w:rFonts w:ascii="Times New Roman" w:hAnsi="Times New Roman" w:cs="Times New Roman"/>
          <w:b/>
          <w:bCs/>
          <w:color w:val="auto"/>
          <w:sz w:val="24"/>
          <w:szCs w:val="24"/>
        </w:rPr>
        <w:t xml:space="preserve"> (B) and reduced SWM (C) (p &lt; 0.005). HBOT decreased Aβ (A) and </w:t>
      </w:r>
      <w:proofErr w:type="spellStart"/>
      <w:r w:rsidR="00A875CA" w:rsidRPr="00A875CA">
        <w:rPr>
          <w:rFonts w:ascii="Times New Roman" w:hAnsi="Times New Roman" w:cs="Times New Roman"/>
          <w:b/>
          <w:bCs/>
          <w:color w:val="auto"/>
          <w:sz w:val="24"/>
          <w:szCs w:val="24"/>
        </w:rPr>
        <w:t>MAPTau</w:t>
      </w:r>
      <w:proofErr w:type="spellEnd"/>
      <w:r w:rsidR="00A875CA" w:rsidRPr="00A875CA">
        <w:rPr>
          <w:rFonts w:ascii="Times New Roman" w:hAnsi="Times New Roman" w:cs="Times New Roman"/>
          <w:b/>
          <w:bCs/>
          <w:color w:val="auto"/>
          <w:sz w:val="24"/>
          <w:szCs w:val="24"/>
        </w:rPr>
        <w:t xml:space="preserve"> (B) and increased SWM (C) (p &lt; 0.005).</w:t>
      </w:r>
    </w:p>
    <w:p w14:paraId="582F5C2F" w14:textId="49F12C7D" w:rsidR="00EA2E41" w:rsidRPr="005B39B6" w:rsidRDefault="00EA2E41" w:rsidP="008F6EEB">
      <w:pPr>
        <w:pStyle w:val="Heading1"/>
        <w:numPr>
          <w:ilvl w:val="0"/>
          <w:numId w:val="15"/>
        </w:numPr>
        <w:rPr>
          <w:rFonts w:ascii="Times New Roman" w:hAnsi="Times New Roman" w:cs="Times New Roman"/>
          <w:sz w:val="24"/>
          <w:szCs w:val="24"/>
        </w:rPr>
      </w:pPr>
      <w:r w:rsidRPr="005B39B6">
        <w:rPr>
          <w:rFonts w:ascii="Times New Roman" w:hAnsi="Times New Roman" w:cs="Times New Roman"/>
          <w:sz w:val="24"/>
          <w:szCs w:val="24"/>
        </w:rPr>
        <w:t>Discussion</w:t>
      </w:r>
    </w:p>
    <w:p w14:paraId="278991D1" w14:textId="77777777" w:rsidR="00055B84" w:rsidRPr="00055B84" w:rsidRDefault="00055B84" w:rsidP="006657C4">
      <w:pPr>
        <w:pStyle w:val="ListParagraph"/>
        <w:spacing w:line="360" w:lineRule="auto"/>
        <w:ind w:left="1080" w:firstLine="360"/>
        <w:jc w:val="both"/>
        <w:rPr>
          <w:rFonts w:ascii="Times New Roman" w:hAnsi="Times New Roman" w:cs="Times New Roman"/>
          <w:sz w:val="24"/>
          <w:szCs w:val="24"/>
          <w:lang w:val="id-ID"/>
        </w:rPr>
      </w:pPr>
      <w:r w:rsidRPr="00055B84">
        <w:rPr>
          <w:rFonts w:ascii="Times New Roman" w:hAnsi="Times New Roman" w:cs="Times New Roman"/>
          <w:sz w:val="24"/>
          <w:szCs w:val="24"/>
          <w:lang w:val="id-ID"/>
        </w:rPr>
        <w:t>This study used male Sprague-Dawley rats that were first induced with Porphyromonas gingivalis for 5 weeks to establish a chronic inflammatory condition that impairs cognitive function. Following this induction period, the rats received hyperbaric oxygen therapy (HBOT) at 2 ATA for four consecutive weeks.</w:t>
      </w:r>
    </w:p>
    <w:p w14:paraId="0CC2EA71" w14:textId="77777777" w:rsidR="00055B84" w:rsidRDefault="00055B84" w:rsidP="006657C4">
      <w:pPr>
        <w:pStyle w:val="ListParagraph"/>
        <w:spacing w:line="360" w:lineRule="auto"/>
        <w:ind w:left="1080" w:firstLine="360"/>
        <w:jc w:val="both"/>
        <w:rPr>
          <w:rFonts w:ascii="Times New Roman" w:hAnsi="Times New Roman" w:cs="Times New Roman"/>
          <w:sz w:val="24"/>
          <w:szCs w:val="24"/>
          <w:lang w:val="id-ID"/>
        </w:rPr>
      </w:pPr>
      <w:r w:rsidRPr="00055B84">
        <w:rPr>
          <w:rFonts w:ascii="Times New Roman" w:hAnsi="Times New Roman" w:cs="Times New Roman"/>
          <w:sz w:val="24"/>
          <w:szCs w:val="24"/>
        </w:rPr>
        <w:t xml:space="preserve">Amyloid-β </w:t>
      </w:r>
      <w:r w:rsidRPr="00055B84">
        <w:rPr>
          <w:rFonts w:ascii="Times New Roman" w:hAnsi="Times New Roman" w:cs="Times New Roman"/>
          <w:sz w:val="24"/>
          <w:szCs w:val="24"/>
          <w:lang w:val="id-ID"/>
        </w:rPr>
        <w:t>(</w:t>
      </w:r>
      <w:r w:rsidRPr="00055B84">
        <w:rPr>
          <w:rFonts w:ascii="Times New Roman" w:hAnsi="Times New Roman" w:cs="Times New Roman"/>
          <w:sz w:val="24"/>
          <w:szCs w:val="24"/>
        </w:rPr>
        <w:t>Aβ</w:t>
      </w:r>
      <w:r w:rsidRPr="00055B84">
        <w:rPr>
          <w:rFonts w:ascii="Times New Roman" w:hAnsi="Times New Roman" w:cs="Times New Roman"/>
          <w:sz w:val="24"/>
          <w:szCs w:val="24"/>
          <w:lang w:val="id-ID"/>
        </w:rPr>
        <w:t xml:space="preserve">) levels increased significantly following </w:t>
      </w:r>
      <w:r w:rsidRPr="00055B84">
        <w:rPr>
          <w:rFonts w:ascii="Times New Roman" w:hAnsi="Times New Roman" w:cs="Times New Roman"/>
          <w:i/>
          <w:iCs/>
          <w:sz w:val="24"/>
          <w:szCs w:val="24"/>
          <w:lang w:val="id-ID"/>
        </w:rPr>
        <w:t xml:space="preserve">P. gingivalis </w:t>
      </w:r>
      <w:r w:rsidRPr="00055B84">
        <w:rPr>
          <w:rFonts w:ascii="Times New Roman" w:hAnsi="Times New Roman" w:cs="Times New Roman"/>
          <w:sz w:val="24"/>
          <w:szCs w:val="24"/>
          <w:lang w:val="id-ID"/>
        </w:rPr>
        <w:t xml:space="preserve">induction, confirming the role of chronic inflammation in shifting Amyloid Precursor Protein (APP) processing toward the amyloidogenic pathway. At the molecular level, </w:t>
      </w:r>
      <w:r w:rsidRPr="00055B84">
        <w:rPr>
          <w:rFonts w:ascii="Times New Roman" w:hAnsi="Times New Roman" w:cs="Times New Roman"/>
          <w:sz w:val="24"/>
          <w:szCs w:val="24"/>
        </w:rPr>
        <w:t>Aβ</w:t>
      </w:r>
      <w:r w:rsidRPr="00055B84">
        <w:rPr>
          <w:rFonts w:ascii="Times New Roman" w:hAnsi="Times New Roman" w:cs="Times New Roman"/>
          <w:sz w:val="24"/>
          <w:szCs w:val="24"/>
          <w:lang w:val="id-ID"/>
        </w:rPr>
        <w:t xml:space="preserve"> oligomers are not only neurotoxic but also act as active mediators that exacerbate pathology through a feed-forward mechanism. </w:t>
      </w:r>
      <w:r w:rsidRPr="00055B84">
        <w:rPr>
          <w:rFonts w:ascii="Times New Roman" w:hAnsi="Times New Roman" w:cs="Times New Roman"/>
          <w:sz w:val="24"/>
          <w:szCs w:val="24"/>
        </w:rPr>
        <w:t xml:space="preserve">Aβ </w:t>
      </w:r>
      <w:r w:rsidRPr="00055B84">
        <w:rPr>
          <w:rFonts w:ascii="Times New Roman" w:hAnsi="Times New Roman" w:cs="Times New Roman"/>
          <w:sz w:val="24"/>
          <w:szCs w:val="24"/>
          <w:lang w:val="id-ID"/>
        </w:rPr>
        <w:t xml:space="preserve">induces increased production of </w:t>
      </w:r>
      <w:r w:rsidRPr="00055B84">
        <w:rPr>
          <w:rFonts w:ascii="Times New Roman" w:hAnsi="Times New Roman" w:cs="Times New Roman"/>
          <w:sz w:val="24"/>
          <w:szCs w:val="24"/>
          <w:lang w:val="id-ID"/>
        </w:rPr>
        <w:lastRenderedPageBreak/>
        <w:t xml:space="preserve">reactive oxygen species (ROS), which triggers phosphorylation of eukaryotic initiation </w:t>
      </w:r>
      <w:r w:rsidRPr="00055B84">
        <w:rPr>
          <w:rFonts w:ascii="Times New Roman" w:hAnsi="Times New Roman" w:cs="Times New Roman"/>
          <w:sz w:val="24"/>
          <w:szCs w:val="24"/>
        </w:rPr>
        <w:t xml:space="preserve">factor-2α </w:t>
      </w:r>
      <w:r w:rsidRPr="00055B84">
        <w:rPr>
          <w:rFonts w:ascii="Times New Roman" w:hAnsi="Times New Roman" w:cs="Times New Roman"/>
          <w:sz w:val="24"/>
          <w:szCs w:val="24"/>
          <w:lang w:val="id-ID"/>
        </w:rPr>
        <w:t>(</w:t>
      </w:r>
      <w:r w:rsidRPr="00055B84">
        <w:rPr>
          <w:rFonts w:ascii="Times New Roman" w:hAnsi="Times New Roman" w:cs="Times New Roman"/>
          <w:sz w:val="24"/>
          <w:szCs w:val="24"/>
        </w:rPr>
        <w:t>eIF2α</w:t>
      </w:r>
      <w:r w:rsidRPr="00055B84">
        <w:rPr>
          <w:rFonts w:ascii="Times New Roman" w:hAnsi="Times New Roman" w:cs="Times New Roman"/>
          <w:sz w:val="24"/>
          <w:szCs w:val="24"/>
          <w:lang w:val="id-ID"/>
        </w:rPr>
        <w:t>), thereby enhancing the translational efficiency of β-secretase (BACE1) without requiring an increase in its genetic transcription. This translational regulation leads to increased processing of APP into the C99 fragment and subsequently generates more aggregative Aβ42, thereby accelerating the accumulation of amyloid plaques (Picón-Pagès et al., 2020).</w:t>
      </w:r>
    </w:p>
    <w:p w14:paraId="7ACBA78A" w14:textId="77777777" w:rsidR="00055B84" w:rsidRDefault="00055B84" w:rsidP="006657C4">
      <w:pPr>
        <w:pStyle w:val="ListParagraph"/>
        <w:spacing w:line="360" w:lineRule="auto"/>
        <w:ind w:left="1080" w:firstLine="360"/>
        <w:jc w:val="both"/>
        <w:rPr>
          <w:rFonts w:ascii="Times New Roman" w:hAnsi="Times New Roman" w:cs="Times New Roman"/>
          <w:sz w:val="24"/>
          <w:szCs w:val="24"/>
          <w:lang w:val="id-ID"/>
        </w:rPr>
      </w:pPr>
      <w:r w:rsidRPr="00055B84">
        <w:rPr>
          <w:rFonts w:ascii="Times New Roman" w:hAnsi="Times New Roman" w:cs="Times New Roman"/>
          <w:sz w:val="24"/>
          <w:szCs w:val="24"/>
          <w:lang w:val="id-ID"/>
        </w:rPr>
        <w:t xml:space="preserve">Additionally, epigenetic dysregulation contributes to increased </w:t>
      </w:r>
      <w:r w:rsidRPr="00055B84">
        <w:rPr>
          <w:rFonts w:ascii="Times New Roman" w:hAnsi="Times New Roman" w:cs="Times New Roman"/>
          <w:sz w:val="24"/>
          <w:szCs w:val="24"/>
        </w:rPr>
        <w:t>Aβ</w:t>
      </w:r>
      <w:r w:rsidRPr="00055B84">
        <w:rPr>
          <w:rFonts w:ascii="Times New Roman" w:hAnsi="Times New Roman" w:cs="Times New Roman"/>
          <w:sz w:val="24"/>
          <w:szCs w:val="24"/>
          <w:lang w:val="id-ID"/>
        </w:rPr>
        <w:t xml:space="preserve"> production. Reduced expression of neuroprotective microRNAs such as miR-34a-5p, miR-125b-5p, miR-15b, and miR-149 eliminates post-transcriptional control over BACE1 mRNA, leading to mRNA stabilization and increased translation of the enzyme. The loss of these regulatory mechanisms persistently reinforces the amyloidogenic pathway and increases neuronal susceptibility to oxidative stress and synaptic dysfunction (Sayad et al., 2022). Overall, the interaction between oxidative stress, translation control via </w:t>
      </w:r>
      <w:r w:rsidRPr="00055B84">
        <w:rPr>
          <w:rFonts w:ascii="Times New Roman" w:hAnsi="Times New Roman" w:cs="Times New Roman"/>
          <w:sz w:val="24"/>
          <w:szCs w:val="24"/>
        </w:rPr>
        <w:t>eIF2α</w:t>
      </w:r>
      <w:r w:rsidRPr="00055B84">
        <w:rPr>
          <w:rFonts w:ascii="Times New Roman" w:hAnsi="Times New Roman" w:cs="Times New Roman"/>
          <w:sz w:val="24"/>
          <w:szCs w:val="24"/>
          <w:lang w:val="id-ID"/>
        </w:rPr>
        <w:t xml:space="preserve">, and microRNA dysregulation creates a molecular environment that strongly promotes </w:t>
      </w:r>
      <w:r w:rsidRPr="00055B84">
        <w:rPr>
          <w:rFonts w:ascii="Times New Roman" w:hAnsi="Times New Roman" w:cs="Times New Roman"/>
          <w:sz w:val="24"/>
          <w:szCs w:val="24"/>
        </w:rPr>
        <w:t>Aβ</w:t>
      </w:r>
      <w:r w:rsidRPr="00055B84">
        <w:rPr>
          <w:rFonts w:ascii="Times New Roman" w:hAnsi="Times New Roman" w:cs="Times New Roman"/>
          <w:sz w:val="24"/>
          <w:szCs w:val="24"/>
          <w:lang w:val="id-ID"/>
        </w:rPr>
        <w:t xml:space="preserve"> overproduction and the progression of neurodegeneration.</w:t>
      </w:r>
    </w:p>
    <w:p w14:paraId="454CB14D" w14:textId="77777777" w:rsidR="00055B84" w:rsidRDefault="00055B84" w:rsidP="006657C4">
      <w:pPr>
        <w:pStyle w:val="ListParagraph"/>
        <w:spacing w:line="360" w:lineRule="auto"/>
        <w:ind w:left="1080" w:firstLine="360"/>
        <w:jc w:val="both"/>
        <w:rPr>
          <w:rFonts w:ascii="Times New Roman" w:hAnsi="Times New Roman" w:cs="Times New Roman"/>
          <w:sz w:val="24"/>
          <w:szCs w:val="24"/>
          <w:lang w:val="id-ID"/>
        </w:rPr>
      </w:pPr>
      <w:r w:rsidRPr="00055B84">
        <w:rPr>
          <w:rFonts w:ascii="Times New Roman" w:hAnsi="Times New Roman" w:cs="Times New Roman"/>
          <w:sz w:val="24"/>
          <w:szCs w:val="24"/>
          <w:lang w:val="id-ID"/>
        </w:rPr>
        <w:t xml:space="preserve">The synergistic worsening of these conditions not only increases </w:t>
      </w:r>
      <w:r w:rsidRPr="00055B84">
        <w:rPr>
          <w:rFonts w:ascii="Times New Roman" w:hAnsi="Times New Roman" w:cs="Times New Roman"/>
          <w:sz w:val="24"/>
          <w:szCs w:val="24"/>
        </w:rPr>
        <w:t>Aβ</w:t>
      </w:r>
      <w:r w:rsidRPr="00055B84">
        <w:rPr>
          <w:rFonts w:ascii="Times New Roman" w:hAnsi="Times New Roman" w:cs="Times New Roman"/>
          <w:sz w:val="24"/>
          <w:szCs w:val="24"/>
          <w:lang w:val="id-ID"/>
        </w:rPr>
        <w:t xml:space="preserve"> production but also impairs its clearance mechanisms, thereby accelerating </w:t>
      </w:r>
      <w:r w:rsidRPr="00055B84">
        <w:rPr>
          <w:rFonts w:ascii="Times New Roman" w:hAnsi="Times New Roman" w:cs="Times New Roman"/>
          <w:sz w:val="24"/>
          <w:szCs w:val="24"/>
        </w:rPr>
        <w:t>Aβ</w:t>
      </w:r>
      <w:r w:rsidRPr="00055B84">
        <w:rPr>
          <w:rFonts w:ascii="Times New Roman" w:hAnsi="Times New Roman" w:cs="Times New Roman"/>
          <w:sz w:val="24"/>
          <w:szCs w:val="24"/>
          <w:lang w:val="id-ID"/>
        </w:rPr>
        <w:t xml:space="preserve"> accumulation in AD-related neurodegenerative conditions. This dysfunction involves a combination of increased amyloidogenic enzyme activity, disruption of the proteostasis degradation system, and reduced phagocytosis efficiency by microglia in a pro-inflammatory environment.</w:t>
      </w:r>
    </w:p>
    <w:p w14:paraId="4A722DBA" w14:textId="77777777" w:rsidR="00055B84" w:rsidRDefault="00055B84" w:rsidP="006657C4">
      <w:pPr>
        <w:pStyle w:val="ListParagraph"/>
        <w:spacing w:line="360" w:lineRule="auto"/>
        <w:ind w:left="1080" w:firstLine="360"/>
        <w:jc w:val="both"/>
        <w:rPr>
          <w:rFonts w:ascii="Times New Roman" w:hAnsi="Times New Roman" w:cs="Times New Roman"/>
          <w:sz w:val="24"/>
          <w:szCs w:val="24"/>
          <w:lang w:val="id-ID"/>
        </w:rPr>
      </w:pPr>
      <w:r w:rsidRPr="00055B84">
        <w:rPr>
          <w:rFonts w:ascii="Times New Roman" w:hAnsi="Times New Roman" w:cs="Times New Roman"/>
          <w:sz w:val="24"/>
          <w:szCs w:val="24"/>
          <w:lang w:val="id-ID"/>
        </w:rPr>
        <w:t xml:space="preserve">Hyperbaric Oxygen Therapy (HBOT) significantly reduces </w:t>
      </w:r>
      <w:r w:rsidRPr="00055B84">
        <w:rPr>
          <w:rFonts w:ascii="Times New Roman" w:hAnsi="Times New Roman" w:cs="Times New Roman"/>
          <w:sz w:val="24"/>
          <w:szCs w:val="24"/>
        </w:rPr>
        <w:t>amyloid-β</w:t>
      </w:r>
      <w:r w:rsidRPr="00055B84">
        <w:rPr>
          <w:rFonts w:ascii="Times New Roman" w:hAnsi="Times New Roman" w:cs="Times New Roman"/>
          <w:sz w:val="24"/>
          <w:szCs w:val="24"/>
          <w:lang w:val="id-ID"/>
        </w:rPr>
        <w:t xml:space="preserve"> levels, suggesting that modulation of hypoxia, neuroinflammation, and redox imbalance can interrupt the pathogen-induced pathological cascade. Molecularly, the increased oxygen pressure in HBOT improves mitochondrial function and reduces the production of reactive oxygen species (ROS), thereby inhibiting the activation of cellular stress pathways that contribute to increased BACE1 (Liu et al., 2023; Mukaetova-Ladinska et al., 2023).</w:t>
      </w:r>
    </w:p>
    <w:p w14:paraId="4AAD8BE5" w14:textId="77777777" w:rsidR="00055B84" w:rsidRDefault="00055B84" w:rsidP="006657C4">
      <w:pPr>
        <w:pStyle w:val="ListParagraph"/>
        <w:spacing w:line="360" w:lineRule="auto"/>
        <w:ind w:left="1080" w:firstLine="360"/>
        <w:jc w:val="both"/>
        <w:rPr>
          <w:rFonts w:ascii="Times New Roman" w:hAnsi="Times New Roman" w:cs="Times New Roman"/>
          <w:sz w:val="24"/>
          <w:szCs w:val="24"/>
          <w:lang w:val="id-ID"/>
        </w:rPr>
      </w:pPr>
      <w:r w:rsidRPr="00055B84">
        <w:rPr>
          <w:rFonts w:ascii="Times New Roman" w:hAnsi="Times New Roman" w:cs="Times New Roman"/>
          <w:sz w:val="24"/>
          <w:szCs w:val="24"/>
          <w:lang w:val="id-ID"/>
        </w:rPr>
        <w:t xml:space="preserve">Furthermore, HBOT has been shown to reduce the expression </w:t>
      </w:r>
      <w:r w:rsidRPr="00055B84">
        <w:rPr>
          <w:rFonts w:ascii="Times New Roman" w:hAnsi="Times New Roman" w:cs="Times New Roman"/>
          <w:sz w:val="24"/>
          <w:szCs w:val="24"/>
        </w:rPr>
        <w:t xml:space="preserve">of </w:t>
      </w:r>
      <w:r w:rsidRPr="00055B84">
        <w:rPr>
          <w:rFonts w:ascii="Times New Roman" w:hAnsi="Times New Roman" w:cs="Times New Roman"/>
          <w:sz w:val="24"/>
          <w:szCs w:val="24"/>
          <w:lang w:val="id-ID"/>
        </w:rPr>
        <w:t xml:space="preserve">β-secretase (BACE1) and the γ-secretase component, presenilin-1, which directly reduces the processing of amyloid precursor protein (APP) via the amyloidogenic pathway. This </w:t>
      </w:r>
      <w:r w:rsidRPr="00055B84">
        <w:rPr>
          <w:rFonts w:ascii="Times New Roman" w:hAnsi="Times New Roman" w:cs="Times New Roman"/>
          <w:sz w:val="24"/>
          <w:szCs w:val="24"/>
          <w:lang w:val="id-ID"/>
        </w:rPr>
        <w:lastRenderedPageBreak/>
        <w:t>reduction results in decreased formation of the C99 fragment (</w:t>
      </w:r>
      <w:r w:rsidRPr="00055B84">
        <w:rPr>
          <w:rFonts w:ascii="Times New Roman" w:hAnsi="Times New Roman" w:cs="Times New Roman"/>
          <w:sz w:val="24"/>
          <w:szCs w:val="24"/>
        </w:rPr>
        <w:t>CTFβ</w:t>
      </w:r>
      <w:r w:rsidRPr="00055B84">
        <w:rPr>
          <w:rFonts w:ascii="Times New Roman" w:hAnsi="Times New Roman" w:cs="Times New Roman"/>
          <w:sz w:val="24"/>
          <w:szCs w:val="24"/>
          <w:lang w:val="id-ID"/>
        </w:rPr>
        <w:t>) by the β-secretase pathway ( ), which is the primary substrate for the formation of Aβ42—a highly aggregative and neurotoxic peptide (Shapira et al., 2021).</w:t>
      </w:r>
    </w:p>
    <w:p w14:paraId="170B8259" w14:textId="77777777" w:rsidR="00055B84" w:rsidRDefault="00055B84" w:rsidP="006657C4">
      <w:pPr>
        <w:pStyle w:val="ListParagraph"/>
        <w:spacing w:line="360" w:lineRule="auto"/>
        <w:ind w:left="1080" w:firstLine="360"/>
        <w:jc w:val="both"/>
        <w:rPr>
          <w:rFonts w:ascii="Times New Roman" w:hAnsi="Times New Roman" w:cs="Times New Roman"/>
          <w:sz w:val="24"/>
          <w:szCs w:val="24"/>
          <w:lang w:val="id-ID"/>
        </w:rPr>
      </w:pPr>
      <w:r w:rsidRPr="00055B84">
        <w:rPr>
          <w:rFonts w:ascii="Times New Roman" w:hAnsi="Times New Roman" w:cs="Times New Roman"/>
          <w:sz w:val="24"/>
          <w:szCs w:val="24"/>
          <w:lang w:val="id-ID"/>
        </w:rPr>
        <w:t xml:space="preserve">In addition to suppressing production, HBOT also enhances </w:t>
      </w:r>
      <w:r w:rsidRPr="00055B84">
        <w:rPr>
          <w:rFonts w:ascii="Times New Roman" w:hAnsi="Times New Roman" w:cs="Times New Roman"/>
          <w:sz w:val="24"/>
          <w:szCs w:val="24"/>
        </w:rPr>
        <w:t>Aβ</w:t>
      </w:r>
      <w:r w:rsidRPr="00055B84">
        <w:rPr>
          <w:rFonts w:ascii="Times New Roman" w:hAnsi="Times New Roman" w:cs="Times New Roman"/>
          <w:sz w:val="24"/>
          <w:szCs w:val="24"/>
          <w:lang w:val="id-ID"/>
        </w:rPr>
        <w:t xml:space="preserve"> clearance through the improvement of proteostasis mechanisms, including increased activity of the autophagy-lysosomal pathway and the ubiquitin-proteasome system, as well as enhanced phagocytic function of microglia. These effects contribute to a reduction in overall amyloid burden, both by decreasing the volume of existing plaques and by inhibiting the nucleation and growth of new plaques (Shapira et al., 2021).</w:t>
      </w:r>
    </w:p>
    <w:p w14:paraId="220F7CA3" w14:textId="77777777" w:rsidR="00055B84" w:rsidRDefault="00055B84" w:rsidP="006657C4">
      <w:pPr>
        <w:pStyle w:val="ListParagraph"/>
        <w:spacing w:line="360" w:lineRule="auto"/>
        <w:ind w:left="1080" w:firstLine="360"/>
        <w:jc w:val="both"/>
        <w:rPr>
          <w:rFonts w:ascii="Times New Roman" w:hAnsi="Times New Roman" w:cs="Times New Roman"/>
          <w:sz w:val="24"/>
          <w:szCs w:val="24"/>
          <w:lang w:val="id-ID"/>
        </w:rPr>
      </w:pPr>
      <w:r w:rsidRPr="00055B84">
        <w:rPr>
          <w:rFonts w:ascii="Times New Roman" w:hAnsi="Times New Roman" w:cs="Times New Roman"/>
          <w:sz w:val="24"/>
          <w:szCs w:val="24"/>
          <w:lang w:val="id-ID"/>
        </w:rPr>
        <w:t xml:space="preserve">Functionally, this simultaneous modulation of </w:t>
      </w:r>
      <w:r w:rsidRPr="00055B84">
        <w:rPr>
          <w:rFonts w:ascii="Times New Roman" w:hAnsi="Times New Roman" w:cs="Times New Roman"/>
          <w:sz w:val="24"/>
          <w:szCs w:val="24"/>
        </w:rPr>
        <w:t>Aβ</w:t>
      </w:r>
      <w:r w:rsidRPr="00055B84">
        <w:rPr>
          <w:rFonts w:ascii="Times New Roman" w:hAnsi="Times New Roman" w:cs="Times New Roman"/>
          <w:sz w:val="24"/>
          <w:szCs w:val="24"/>
          <w:lang w:val="id-ID"/>
        </w:rPr>
        <w:t xml:space="preserve"> production and clearance correlates with improved cognitive performance, suggesting that HBOT intervention can target the core of amyloid pathogenesis at the molecular level while simultaneously exerting a translational impact on neuronal function.</w:t>
      </w:r>
    </w:p>
    <w:p w14:paraId="58E550B3" w14:textId="77777777" w:rsidR="00055B84" w:rsidRDefault="00055B84" w:rsidP="006657C4">
      <w:pPr>
        <w:pStyle w:val="ListParagraph"/>
        <w:spacing w:line="360" w:lineRule="auto"/>
        <w:ind w:left="1080" w:firstLine="360"/>
        <w:jc w:val="both"/>
        <w:rPr>
          <w:rFonts w:ascii="Times New Roman" w:hAnsi="Times New Roman" w:cs="Times New Roman"/>
          <w:sz w:val="24"/>
          <w:szCs w:val="24"/>
        </w:rPr>
      </w:pPr>
      <w:r w:rsidRPr="00055B84">
        <w:rPr>
          <w:rFonts w:ascii="Times New Roman" w:hAnsi="Times New Roman" w:cs="Times New Roman"/>
          <w:sz w:val="24"/>
          <w:szCs w:val="24"/>
          <w:lang w:val="id-ID"/>
        </w:rPr>
        <w:t xml:space="preserve">Tau pathology increases significantly following </w:t>
      </w:r>
      <w:r w:rsidRPr="00055B84">
        <w:rPr>
          <w:rFonts w:ascii="Times New Roman" w:hAnsi="Times New Roman" w:cs="Times New Roman"/>
          <w:i/>
          <w:iCs/>
          <w:sz w:val="24"/>
          <w:szCs w:val="24"/>
          <w:lang w:val="id-ID"/>
        </w:rPr>
        <w:t xml:space="preserve">P. gingivalis </w:t>
      </w:r>
      <w:r w:rsidRPr="00055B84">
        <w:rPr>
          <w:rFonts w:ascii="Times New Roman" w:hAnsi="Times New Roman" w:cs="Times New Roman"/>
          <w:sz w:val="24"/>
          <w:szCs w:val="24"/>
          <w:lang w:val="id-ID"/>
        </w:rPr>
        <w:t xml:space="preserve">induction, reinforcing evidence that chronic bacterial infection and the neuroinflammation it induces play a direct role in driving tau dysfunction leading to cognitive decline (Chen and Yu, 2023). </w:t>
      </w:r>
      <w:r w:rsidRPr="00055B84">
        <w:rPr>
          <w:rFonts w:ascii="Times New Roman" w:hAnsi="Times New Roman" w:cs="Times New Roman"/>
          <w:sz w:val="24"/>
          <w:szCs w:val="24"/>
        </w:rPr>
        <w:t>Physiologically, tau is a microtubule-associated protein whose stability and function depend heavily on a dynamic balance between kinase and phosphatase activity. Tau possesses over 80 potential phosphorylation sites, making it highly susceptible to post-translational dysregulation under pathological conditions.</w:t>
      </w:r>
    </w:p>
    <w:p w14:paraId="655C614B" w14:textId="77777777" w:rsidR="00055B84" w:rsidRDefault="00055B84" w:rsidP="006657C4">
      <w:pPr>
        <w:pStyle w:val="ListParagraph"/>
        <w:spacing w:line="360" w:lineRule="auto"/>
        <w:ind w:left="1080" w:firstLine="360"/>
        <w:jc w:val="both"/>
        <w:rPr>
          <w:rFonts w:ascii="Times New Roman" w:hAnsi="Times New Roman" w:cs="Times New Roman"/>
          <w:sz w:val="24"/>
          <w:szCs w:val="24"/>
        </w:rPr>
      </w:pPr>
      <w:r w:rsidRPr="00055B84">
        <w:rPr>
          <w:rFonts w:ascii="Times New Roman" w:hAnsi="Times New Roman" w:cs="Times New Roman"/>
          <w:sz w:val="24"/>
          <w:szCs w:val="24"/>
        </w:rPr>
        <w:t>In a chronic inflammatory environment, there is excessive activation of various proline-directed kinases, including glycogen synthase kinase-3β (GSK3β), cyclin-dependent kinase-5 (CDK5), dual-specificity tyrosine phosphorylation-regulated kinase 1A (DYRK1A), and casein kinase 1 (CK1), which collectively increase tau phosphorylation at critical serine/threonine residues. Simultaneously, the activity of major phosphatases such as protein phosphatase 2A (PP2A)—which contributes to the majority of tau dephosphorylation—decreases, along with other phosphatases such as PP1, PP5, PP2B, and PTEN, leading to an imbalance that results in pathological tau hyperphosphorylation (Zhang et al., 2024).</w:t>
      </w:r>
    </w:p>
    <w:p w14:paraId="6EAD560A" w14:textId="77777777" w:rsidR="00055B84" w:rsidRDefault="00055B84" w:rsidP="006657C4">
      <w:pPr>
        <w:pStyle w:val="ListParagraph"/>
        <w:spacing w:line="360" w:lineRule="auto"/>
        <w:ind w:left="1080" w:firstLine="360"/>
        <w:jc w:val="both"/>
        <w:rPr>
          <w:rFonts w:ascii="Times New Roman" w:hAnsi="Times New Roman" w:cs="Times New Roman"/>
          <w:sz w:val="24"/>
          <w:szCs w:val="24"/>
        </w:rPr>
      </w:pPr>
      <w:r w:rsidRPr="00055B84">
        <w:rPr>
          <w:rFonts w:ascii="Times New Roman" w:hAnsi="Times New Roman" w:cs="Times New Roman"/>
          <w:sz w:val="24"/>
          <w:szCs w:val="24"/>
        </w:rPr>
        <w:t>Furthermore, pro-inflammatory cytokines such as TNF-α and IL-1β activate the NF-</w:t>
      </w:r>
      <w:r w:rsidRPr="00055B84">
        <w:rPr>
          <w:rFonts w:ascii="Times New Roman" w:hAnsi="Times New Roman" w:cs="Times New Roman"/>
          <w:sz w:val="24"/>
          <w:szCs w:val="24"/>
          <w:lang w:val="sv-SE"/>
        </w:rPr>
        <w:t>κ</w:t>
      </w:r>
      <w:r w:rsidRPr="00055B84">
        <w:rPr>
          <w:rFonts w:ascii="Times New Roman" w:hAnsi="Times New Roman" w:cs="Times New Roman"/>
          <w:sz w:val="24"/>
          <w:szCs w:val="24"/>
        </w:rPr>
        <w:t xml:space="preserve">B </w:t>
      </w:r>
      <w:proofErr w:type="spellStart"/>
      <w:r w:rsidRPr="00055B84">
        <w:rPr>
          <w:rFonts w:ascii="Times New Roman" w:hAnsi="Times New Roman" w:cs="Times New Roman"/>
          <w:sz w:val="24"/>
          <w:szCs w:val="24"/>
        </w:rPr>
        <w:t>signaling</w:t>
      </w:r>
      <w:proofErr w:type="spellEnd"/>
      <w:r w:rsidRPr="00055B84">
        <w:rPr>
          <w:rFonts w:ascii="Times New Roman" w:hAnsi="Times New Roman" w:cs="Times New Roman"/>
          <w:sz w:val="24"/>
          <w:szCs w:val="24"/>
        </w:rPr>
        <w:t xml:space="preserve"> pathway, which interacts with hypoxia-inducible factor-1α (HIF-1α), </w:t>
      </w:r>
      <w:r w:rsidRPr="00055B84">
        <w:rPr>
          <w:rFonts w:ascii="Times New Roman" w:hAnsi="Times New Roman" w:cs="Times New Roman"/>
          <w:sz w:val="24"/>
          <w:szCs w:val="24"/>
        </w:rPr>
        <w:lastRenderedPageBreak/>
        <w:t>forming an inflammation–hypoxia axis that enhances the activation of tau kinases, including GSK3β, CDK5, p38 MAPK, and AMP-activated protein kinase (AMPK) (Tao et al., 2024). Activation of this pathway not only increases tau phosphorylation but also facilitates protein conformational changes, dissociation from microtubules, and the formation of toxic aggregates in the form of phospho-tau oligomers and neurofibrillary tangles.</w:t>
      </w:r>
    </w:p>
    <w:p w14:paraId="4545F5F9" w14:textId="77777777" w:rsidR="00055B84" w:rsidRDefault="00055B84" w:rsidP="006657C4">
      <w:pPr>
        <w:pStyle w:val="ListParagraph"/>
        <w:spacing w:line="360" w:lineRule="auto"/>
        <w:ind w:left="1080" w:firstLine="360"/>
        <w:jc w:val="both"/>
        <w:rPr>
          <w:rFonts w:ascii="Times New Roman" w:hAnsi="Times New Roman" w:cs="Times New Roman"/>
          <w:sz w:val="24"/>
          <w:szCs w:val="24"/>
        </w:rPr>
      </w:pPr>
      <w:r w:rsidRPr="00055B84">
        <w:rPr>
          <w:rFonts w:ascii="Times New Roman" w:hAnsi="Times New Roman" w:cs="Times New Roman"/>
          <w:sz w:val="24"/>
          <w:szCs w:val="24"/>
        </w:rPr>
        <w:t>Overall, the complex interactions between oxidative stress, neuroinflammation, and dysregulation of kinase–phosphatase pathways create a cellular environment highly conducive to the accumulation of pathological tau, which ultimately contributes to synaptic dysfunction and the progression of neurodegeneration.</w:t>
      </w:r>
    </w:p>
    <w:p w14:paraId="459A3AC8" w14:textId="77777777" w:rsidR="00055B84" w:rsidRDefault="00055B84" w:rsidP="006657C4">
      <w:pPr>
        <w:pStyle w:val="ListParagraph"/>
        <w:spacing w:line="360" w:lineRule="auto"/>
        <w:ind w:left="1080" w:firstLine="360"/>
        <w:jc w:val="both"/>
        <w:rPr>
          <w:rFonts w:ascii="Times New Roman" w:hAnsi="Times New Roman" w:cs="Times New Roman"/>
          <w:sz w:val="24"/>
          <w:szCs w:val="24"/>
          <w:lang w:val="id-ID"/>
        </w:rPr>
      </w:pPr>
      <w:r w:rsidRPr="00055B84">
        <w:rPr>
          <w:rFonts w:ascii="Times New Roman" w:hAnsi="Times New Roman" w:cs="Times New Roman"/>
          <w:sz w:val="24"/>
          <w:szCs w:val="24"/>
          <w:lang w:val="id-ID"/>
        </w:rPr>
        <w:t xml:space="preserve">Hyperbaric Oxygen Therapy (HBOT) has been shown to reduce key mediators in the inflammation–hypoxia axis, including hypoxia-inducible </w:t>
      </w:r>
      <w:r w:rsidRPr="00055B84">
        <w:rPr>
          <w:rFonts w:ascii="Times New Roman" w:hAnsi="Times New Roman" w:cs="Times New Roman"/>
          <w:sz w:val="24"/>
          <w:szCs w:val="24"/>
        </w:rPr>
        <w:t xml:space="preserve">factor-1α </w:t>
      </w:r>
      <w:r w:rsidRPr="00055B84">
        <w:rPr>
          <w:rFonts w:ascii="Times New Roman" w:hAnsi="Times New Roman" w:cs="Times New Roman"/>
          <w:sz w:val="24"/>
          <w:szCs w:val="24"/>
          <w:lang w:val="id-ID"/>
        </w:rPr>
        <w:t>(</w:t>
      </w:r>
      <w:r w:rsidRPr="00055B84">
        <w:rPr>
          <w:rFonts w:ascii="Times New Roman" w:hAnsi="Times New Roman" w:cs="Times New Roman"/>
          <w:sz w:val="24"/>
          <w:szCs w:val="24"/>
        </w:rPr>
        <w:t>HIF-1α</w:t>
      </w:r>
      <w:r w:rsidRPr="00055B84">
        <w:rPr>
          <w:rFonts w:ascii="Times New Roman" w:hAnsi="Times New Roman" w:cs="Times New Roman"/>
          <w:sz w:val="24"/>
          <w:szCs w:val="24"/>
          <w:lang w:val="id-ID"/>
        </w:rPr>
        <w:t xml:space="preserve">), </w:t>
      </w:r>
      <w:r w:rsidRPr="00055B84">
        <w:rPr>
          <w:rFonts w:ascii="Times New Roman" w:hAnsi="Times New Roman" w:cs="Times New Roman"/>
          <w:sz w:val="24"/>
          <w:szCs w:val="24"/>
        </w:rPr>
        <w:t>TNF-α</w:t>
      </w:r>
      <w:r w:rsidRPr="00055B84">
        <w:rPr>
          <w:rFonts w:ascii="Times New Roman" w:hAnsi="Times New Roman" w:cs="Times New Roman"/>
          <w:sz w:val="24"/>
          <w:szCs w:val="24"/>
          <w:lang w:val="id-ID"/>
        </w:rPr>
        <w:t xml:space="preserve">, </w:t>
      </w:r>
      <w:r w:rsidRPr="00055B84">
        <w:rPr>
          <w:rFonts w:ascii="Times New Roman" w:hAnsi="Times New Roman" w:cs="Times New Roman"/>
          <w:sz w:val="24"/>
          <w:szCs w:val="24"/>
        </w:rPr>
        <w:t>IL-1β</w:t>
      </w:r>
      <w:r w:rsidRPr="00055B84">
        <w:rPr>
          <w:rFonts w:ascii="Times New Roman" w:hAnsi="Times New Roman" w:cs="Times New Roman"/>
          <w:sz w:val="24"/>
          <w:szCs w:val="24"/>
          <w:lang w:val="id-ID"/>
        </w:rPr>
        <w:t>, and IL-6, which play a central role in maintaining the activation of pro-inflammatory microglia in the hippocampus. The reduction of these mediators contributes to a shift in the microglial phenotype from a pro-inflammatory state toward a more resolutive condition, thereby reducing the release of neurotoxic cytokines and improving the synaptic environment. Functionally, this modulation correlates with significant improvements in learning and memory deficits, indicating that HBOT not only targets molecular pathways but also produces tangible neurocognitive effects (Wang et al., 2024).</w:t>
      </w:r>
    </w:p>
    <w:p w14:paraId="2CC136FD" w14:textId="77777777" w:rsidR="00055B84" w:rsidRDefault="00055B84" w:rsidP="006657C4">
      <w:pPr>
        <w:pStyle w:val="ListParagraph"/>
        <w:spacing w:line="360" w:lineRule="auto"/>
        <w:ind w:left="1080" w:firstLine="360"/>
        <w:jc w:val="both"/>
        <w:rPr>
          <w:rFonts w:ascii="Times New Roman" w:hAnsi="Times New Roman" w:cs="Times New Roman"/>
          <w:sz w:val="24"/>
          <w:szCs w:val="24"/>
          <w:lang w:val="id-ID"/>
        </w:rPr>
      </w:pPr>
      <w:r w:rsidRPr="00055B84">
        <w:rPr>
          <w:rFonts w:ascii="Times New Roman" w:hAnsi="Times New Roman" w:cs="Times New Roman"/>
          <w:sz w:val="24"/>
          <w:szCs w:val="24"/>
          <w:lang w:val="id-ID"/>
        </w:rPr>
        <w:t xml:space="preserve">Furthermore, recent experimental evidence suggests that long-term HBOT exposure can suppress the pathological accumulation of phosphorylated tau through multimodal mechanisms. At the molecular level, the reduction in </w:t>
      </w:r>
      <w:r w:rsidRPr="00055B84">
        <w:rPr>
          <w:rFonts w:ascii="Times New Roman" w:hAnsi="Times New Roman" w:cs="Times New Roman"/>
          <w:sz w:val="24"/>
          <w:szCs w:val="24"/>
        </w:rPr>
        <w:t xml:space="preserve">HIF-1α </w:t>
      </w:r>
      <w:r w:rsidRPr="00055B84">
        <w:rPr>
          <w:rFonts w:ascii="Times New Roman" w:hAnsi="Times New Roman" w:cs="Times New Roman"/>
          <w:sz w:val="24"/>
          <w:szCs w:val="24"/>
          <w:lang w:val="id-ID"/>
        </w:rPr>
        <w:t xml:space="preserve">and pro-inflammatory cytokines inhibits the activation of tau kinases such as </w:t>
      </w:r>
      <w:r w:rsidRPr="00055B84">
        <w:rPr>
          <w:rFonts w:ascii="Times New Roman" w:hAnsi="Times New Roman" w:cs="Times New Roman"/>
          <w:sz w:val="24"/>
          <w:szCs w:val="24"/>
        </w:rPr>
        <w:t>GSK3β</w:t>
      </w:r>
      <w:r w:rsidRPr="00055B84">
        <w:rPr>
          <w:rFonts w:ascii="Times New Roman" w:hAnsi="Times New Roman" w:cs="Times New Roman"/>
          <w:sz w:val="24"/>
          <w:szCs w:val="24"/>
          <w:lang w:val="id-ID"/>
        </w:rPr>
        <w:t>, CDK5, and p38 MAPK, while simultaneously reducing oxidative stress that contributes to the inactivation of phosphatases like PP2A. Additionally, HBOT improves vascular function and cerebral perfusion, which play a role in maintaining neuronal energy homeostasis and supporting proteostasis mechanisms, including the autophagy-lysosomal and ubiquitin-proteasome pathways, thereby accelerating the clearance of misfolded tau (Yang et al., 2024).</w:t>
      </w:r>
    </w:p>
    <w:p w14:paraId="425E59A8" w14:textId="77777777" w:rsidR="00055B84" w:rsidRDefault="00055B84" w:rsidP="006657C4">
      <w:pPr>
        <w:pStyle w:val="ListParagraph"/>
        <w:spacing w:line="360" w:lineRule="auto"/>
        <w:ind w:left="1080" w:firstLine="360"/>
        <w:jc w:val="both"/>
        <w:rPr>
          <w:rFonts w:ascii="Times New Roman" w:hAnsi="Times New Roman" w:cs="Times New Roman"/>
          <w:sz w:val="24"/>
          <w:szCs w:val="24"/>
          <w:lang w:val="id-ID"/>
        </w:rPr>
      </w:pPr>
      <w:r w:rsidRPr="00055B84">
        <w:rPr>
          <w:rFonts w:ascii="Times New Roman" w:hAnsi="Times New Roman" w:cs="Times New Roman"/>
          <w:sz w:val="24"/>
          <w:szCs w:val="24"/>
          <w:lang w:val="id-ID"/>
        </w:rPr>
        <w:t xml:space="preserve">Overall, the combination of anti-inflammatory, anti-hypoxic, and protein </w:t>
      </w:r>
      <w:r w:rsidRPr="00055B84">
        <w:rPr>
          <w:rFonts w:ascii="Times New Roman" w:hAnsi="Times New Roman" w:cs="Times New Roman"/>
          <w:sz w:val="24"/>
          <w:szCs w:val="24"/>
          <w:lang w:val="id-ID"/>
        </w:rPr>
        <w:lastRenderedPageBreak/>
        <w:t>clearance-enhancing effects explains how HBOT is able to interrupt the progression of tau pathology, while improving synaptic and cognitive function in AD-related neurodegenerative models (Yang et al., 2024).</w:t>
      </w:r>
    </w:p>
    <w:p w14:paraId="5852885E" w14:textId="77777777" w:rsidR="00055B84" w:rsidRDefault="00055B84" w:rsidP="006657C4">
      <w:pPr>
        <w:pStyle w:val="ListParagraph"/>
        <w:spacing w:line="360" w:lineRule="auto"/>
        <w:ind w:left="1080" w:firstLine="360"/>
        <w:jc w:val="both"/>
        <w:rPr>
          <w:rFonts w:ascii="Times New Roman" w:hAnsi="Times New Roman" w:cs="Times New Roman"/>
          <w:sz w:val="24"/>
          <w:szCs w:val="24"/>
          <w:lang w:val="id-ID"/>
        </w:rPr>
      </w:pPr>
      <w:r w:rsidRPr="00055B84">
        <w:rPr>
          <w:rFonts w:ascii="Times New Roman" w:hAnsi="Times New Roman" w:cs="Times New Roman"/>
          <w:sz w:val="24"/>
          <w:szCs w:val="24"/>
          <w:lang w:val="id-ID"/>
        </w:rPr>
        <w:t>The accumulation of β-amyloid plaques and tau neurofibrillary tangles (NFTs) disrupts normal neuronal activity, leading to synaptic dysfunction and impaired neurotransmission. As the disease progresses, neurons become increasingly vulnerable to oxidative stress and inflammation, ultimately leading to cell death and widespread neuronal loss, particularly in regions critical for memory and cognition such as the hippocampus and cerebral cortex (Tenchov, Sasso, and Zhou, 2024).</w:t>
      </w:r>
    </w:p>
    <w:p w14:paraId="2E16DD29" w14:textId="77777777" w:rsidR="00055B84" w:rsidRDefault="00055B84" w:rsidP="006657C4">
      <w:pPr>
        <w:pStyle w:val="ListParagraph"/>
        <w:spacing w:line="360" w:lineRule="auto"/>
        <w:ind w:left="1080" w:firstLine="360"/>
        <w:jc w:val="both"/>
        <w:rPr>
          <w:rFonts w:ascii="Times New Roman" w:hAnsi="Times New Roman" w:cs="Times New Roman"/>
          <w:sz w:val="24"/>
          <w:szCs w:val="24"/>
          <w:lang w:val="id-ID"/>
        </w:rPr>
      </w:pPr>
      <w:r w:rsidRPr="00055B84">
        <w:rPr>
          <w:rFonts w:ascii="Times New Roman" w:hAnsi="Times New Roman" w:cs="Times New Roman"/>
          <w:sz w:val="24"/>
          <w:szCs w:val="24"/>
          <w:lang w:val="id-ID"/>
        </w:rPr>
        <w:t>This pattern aligns with evidence that chronic periodontal infection and the neuroinflammation it induces disrupt hippocampus-dependent cognitive processes, including learning and spatial memory, through increased pro-inflammatory cytokines and disruption of synaptic function in key memory circuits (Jin et al., 2023). Mechanistically, gingipain-mediated neurotoxicity and microglial activation resulting from LPS exposure have been shown to disrupt synaptic plasticity and long-term potentiation (LTP), which form the molecular basis of spatial working memory (Chuang, Yang, and Wang, 2024).</w:t>
      </w:r>
    </w:p>
    <w:p w14:paraId="07E870F5" w14:textId="1977E014" w:rsidR="00294E52" w:rsidRPr="006657C4" w:rsidRDefault="00055B84" w:rsidP="006657C4">
      <w:pPr>
        <w:pStyle w:val="ListParagraph"/>
        <w:spacing w:line="360" w:lineRule="auto"/>
        <w:ind w:left="1080" w:firstLine="360"/>
        <w:jc w:val="both"/>
        <w:rPr>
          <w:rFonts w:ascii="Times New Roman" w:hAnsi="Times New Roman" w:cs="Times New Roman"/>
          <w:sz w:val="24"/>
          <w:szCs w:val="24"/>
          <w:lang w:val="id-ID"/>
        </w:rPr>
      </w:pPr>
      <w:r w:rsidRPr="00055B84">
        <w:rPr>
          <w:rFonts w:ascii="Times New Roman" w:hAnsi="Times New Roman" w:cs="Times New Roman"/>
          <w:sz w:val="24"/>
          <w:szCs w:val="24"/>
          <w:lang w:val="id-ID"/>
        </w:rPr>
        <w:t>The improvements observed following HBOT administration suggest that this intervention is capable of targeting these pathogenic pathways, primarily through enhanced cerebral oxygenation, suppression of neuroinflammation, and restoration of mitochondrial and synaptic function in the hippocampal circuit (Fan, Chen, and Fu, 2024). Additionally, HBOT also contributes to restoring cognitive function by reducing microglial activation and oxidative stress, which are key determinants of memory impairment in neurodegenerative and chronic inflammatory conditions (Harch et al., 2020; Mensah and Nathalie, 2023).</w:t>
      </w:r>
    </w:p>
    <w:p w14:paraId="7D01A4D2" w14:textId="48D0C76C" w:rsidR="00EA2E41" w:rsidRDefault="00EA2E41" w:rsidP="006657C4">
      <w:pPr>
        <w:pStyle w:val="Heading1"/>
        <w:numPr>
          <w:ilvl w:val="0"/>
          <w:numId w:val="15"/>
        </w:numPr>
        <w:spacing w:line="360" w:lineRule="auto"/>
        <w:rPr>
          <w:rFonts w:ascii="Times New Roman" w:hAnsi="Times New Roman" w:cs="Times New Roman"/>
          <w:sz w:val="24"/>
          <w:szCs w:val="24"/>
        </w:rPr>
      </w:pPr>
      <w:r w:rsidRPr="00055B84">
        <w:rPr>
          <w:rFonts w:ascii="Times New Roman" w:hAnsi="Times New Roman" w:cs="Times New Roman"/>
          <w:sz w:val="24"/>
          <w:szCs w:val="24"/>
        </w:rPr>
        <w:t xml:space="preserve">Conclusion </w:t>
      </w:r>
    </w:p>
    <w:p w14:paraId="7BCA14B4" w14:textId="77777777" w:rsidR="006657C4" w:rsidRDefault="006657C4" w:rsidP="00F92A0C">
      <w:pPr>
        <w:pStyle w:val="ListParagraph"/>
        <w:widowControl/>
        <w:spacing w:before="100" w:beforeAutospacing="1" w:after="100" w:afterAutospacing="1" w:line="360" w:lineRule="auto"/>
        <w:ind w:left="1080" w:firstLine="360"/>
        <w:jc w:val="both"/>
        <w:rPr>
          <w:rFonts w:ascii="Times New Roman" w:eastAsia="Times New Roman" w:hAnsi="Times New Roman" w:cs="Times New Roman"/>
          <w:sz w:val="24"/>
          <w:szCs w:val="24"/>
        </w:rPr>
      </w:pPr>
      <w:r w:rsidRPr="006657C4">
        <w:rPr>
          <w:rFonts w:ascii="Times New Roman" w:eastAsia="Times New Roman" w:hAnsi="Times New Roman" w:cs="Times New Roman"/>
          <w:sz w:val="24"/>
          <w:szCs w:val="24"/>
        </w:rPr>
        <w:t xml:space="preserve">This study demonstrates that </w:t>
      </w:r>
      <w:r w:rsidRPr="006657C4">
        <w:rPr>
          <w:rFonts w:ascii="Times New Roman" w:eastAsia="Times New Roman" w:hAnsi="Times New Roman" w:cs="Times New Roman"/>
          <w:i/>
          <w:iCs/>
          <w:sz w:val="24"/>
          <w:szCs w:val="24"/>
        </w:rPr>
        <w:t>Porphyromonas gingivalis</w:t>
      </w:r>
      <w:r w:rsidRPr="006657C4">
        <w:rPr>
          <w:rFonts w:ascii="Times New Roman" w:eastAsia="Times New Roman" w:hAnsi="Times New Roman" w:cs="Times New Roman"/>
          <w:sz w:val="24"/>
          <w:szCs w:val="24"/>
        </w:rPr>
        <w:t xml:space="preserve">-induced periodontitis promotes significant increases in amyloid-β and tau levels, accompanied by spatial working memory impairment, supporting the role of chronic oral infection in disrupting the oral–brain axis and driving neurodegenerative-like pathology. Mechanistically, </w:t>
      </w:r>
      <w:r w:rsidRPr="006657C4">
        <w:rPr>
          <w:rFonts w:ascii="Times New Roman" w:eastAsia="Times New Roman" w:hAnsi="Times New Roman" w:cs="Times New Roman"/>
          <w:sz w:val="24"/>
          <w:szCs w:val="24"/>
        </w:rPr>
        <w:lastRenderedPageBreak/>
        <w:t>these alterations are associated with enhanced amyloidogenic processing, oxidative stress, neuroinflammation, and kinase–phosphatase imbalance, which collectively accelerate Aβ accumulation and tau hyperphosphorylation.</w:t>
      </w:r>
    </w:p>
    <w:p w14:paraId="15AC04C3" w14:textId="77777777" w:rsidR="006657C4" w:rsidRDefault="006657C4" w:rsidP="00F92A0C">
      <w:pPr>
        <w:pStyle w:val="ListParagraph"/>
        <w:widowControl/>
        <w:spacing w:before="100" w:beforeAutospacing="1" w:after="100" w:afterAutospacing="1" w:line="360" w:lineRule="auto"/>
        <w:ind w:left="1080" w:firstLine="360"/>
        <w:jc w:val="both"/>
        <w:rPr>
          <w:rFonts w:ascii="Times New Roman" w:eastAsia="Times New Roman" w:hAnsi="Times New Roman" w:cs="Times New Roman"/>
          <w:sz w:val="24"/>
          <w:szCs w:val="24"/>
        </w:rPr>
      </w:pPr>
      <w:r w:rsidRPr="006657C4">
        <w:rPr>
          <w:rFonts w:ascii="Times New Roman" w:eastAsia="Times New Roman" w:hAnsi="Times New Roman" w:cs="Times New Roman"/>
          <w:sz w:val="24"/>
          <w:szCs w:val="24"/>
        </w:rPr>
        <w:t xml:space="preserve">Hyperbaric Oxygen Therapy (HBOT) effectively attenuated these pathological changes, as evidenced by reduced Aβ and tau levels and improved cognitive performance. These effects likely arise from a multimodal mechanism involving suppression of hypoxia-related </w:t>
      </w:r>
      <w:proofErr w:type="spellStart"/>
      <w:r w:rsidRPr="006657C4">
        <w:rPr>
          <w:rFonts w:ascii="Times New Roman" w:eastAsia="Times New Roman" w:hAnsi="Times New Roman" w:cs="Times New Roman"/>
          <w:sz w:val="24"/>
          <w:szCs w:val="24"/>
        </w:rPr>
        <w:t>signaling</w:t>
      </w:r>
      <w:proofErr w:type="spellEnd"/>
      <w:r w:rsidRPr="006657C4">
        <w:rPr>
          <w:rFonts w:ascii="Times New Roman" w:eastAsia="Times New Roman" w:hAnsi="Times New Roman" w:cs="Times New Roman"/>
          <w:sz w:val="24"/>
          <w:szCs w:val="24"/>
        </w:rPr>
        <w:t>, modulation of neuroinflammatory responses, restoration of mitochondrial function, and enhancement of protein clearance pathways.</w:t>
      </w:r>
    </w:p>
    <w:p w14:paraId="5B4A38DD" w14:textId="77777777" w:rsidR="006657C4" w:rsidRDefault="006657C4" w:rsidP="00F92A0C">
      <w:pPr>
        <w:pStyle w:val="ListParagraph"/>
        <w:widowControl/>
        <w:spacing w:before="100" w:beforeAutospacing="1" w:after="100" w:afterAutospacing="1" w:line="360" w:lineRule="auto"/>
        <w:ind w:left="1080" w:firstLine="360"/>
        <w:jc w:val="both"/>
        <w:rPr>
          <w:rFonts w:ascii="Times New Roman" w:eastAsia="Times New Roman" w:hAnsi="Times New Roman" w:cs="Times New Roman"/>
          <w:sz w:val="24"/>
          <w:szCs w:val="24"/>
        </w:rPr>
      </w:pPr>
      <w:r w:rsidRPr="006657C4">
        <w:rPr>
          <w:rFonts w:ascii="Times New Roman" w:eastAsia="Times New Roman" w:hAnsi="Times New Roman" w:cs="Times New Roman"/>
          <w:sz w:val="24"/>
          <w:szCs w:val="24"/>
        </w:rPr>
        <w:t>Notably, this study highlights the potential of salivary Aβ and tau as non-invasive biomarkers reflecting neurodegenerative-associated alterations in periodontitis.</w:t>
      </w:r>
    </w:p>
    <w:p w14:paraId="0853E440" w14:textId="0E696A32" w:rsidR="006657C4" w:rsidRPr="00872610" w:rsidRDefault="006657C4" w:rsidP="00F92A0C">
      <w:pPr>
        <w:pStyle w:val="ListParagraph"/>
        <w:widowControl/>
        <w:spacing w:before="100" w:beforeAutospacing="1" w:after="100" w:afterAutospacing="1" w:line="360" w:lineRule="auto"/>
        <w:ind w:left="1080" w:firstLine="360"/>
        <w:jc w:val="both"/>
        <w:rPr>
          <w:rFonts w:ascii="Times New Roman" w:eastAsia="Times New Roman" w:hAnsi="Times New Roman" w:cs="Times New Roman"/>
          <w:sz w:val="24"/>
          <w:szCs w:val="24"/>
        </w:rPr>
      </w:pPr>
      <w:r w:rsidRPr="006657C4">
        <w:rPr>
          <w:rFonts w:ascii="Times New Roman" w:eastAsia="Times New Roman" w:hAnsi="Times New Roman" w:cs="Times New Roman"/>
          <w:sz w:val="24"/>
          <w:szCs w:val="24"/>
        </w:rPr>
        <w:t>Collectively, these findings position HBOT as a promising therapeutic strategy for targeting infection-driven neurodegenerative processes through modulation of the oral–brain axis, providing a foundation for future translational and clinical investigations.</w:t>
      </w:r>
    </w:p>
    <w:p w14:paraId="152A2F68" w14:textId="16FBD3E4" w:rsidR="00872610" w:rsidRDefault="00872610" w:rsidP="00872610">
      <w:pPr>
        <w:pStyle w:val="Heading1"/>
        <w:numPr>
          <w:ilvl w:val="0"/>
          <w:numId w:val="15"/>
        </w:numPr>
        <w:rPr>
          <w:rFonts w:ascii="Times New Roman" w:hAnsi="Times New Roman" w:cs="Times New Roman"/>
          <w:sz w:val="24"/>
          <w:szCs w:val="24"/>
        </w:rPr>
      </w:pPr>
      <w:r w:rsidRPr="00872610">
        <w:rPr>
          <w:rFonts w:ascii="Times New Roman" w:hAnsi="Times New Roman" w:cs="Times New Roman"/>
          <w:sz w:val="24"/>
          <w:szCs w:val="24"/>
        </w:rPr>
        <w:t>Acknowledgements</w:t>
      </w:r>
    </w:p>
    <w:p w14:paraId="548FC7A0" w14:textId="2F218482" w:rsidR="00F92A0C" w:rsidRPr="00F92A0C" w:rsidRDefault="00F92A0C" w:rsidP="00F92A0C">
      <w:pPr>
        <w:spacing w:line="360" w:lineRule="auto"/>
        <w:ind w:left="1080" w:firstLine="720"/>
        <w:jc w:val="both"/>
        <w:rPr>
          <w:rFonts w:ascii="Times New Roman" w:hAnsi="Times New Roman" w:cs="Times New Roman"/>
          <w:sz w:val="24"/>
          <w:szCs w:val="24"/>
        </w:rPr>
      </w:pPr>
      <w:r w:rsidRPr="00F92A0C">
        <w:rPr>
          <w:rFonts w:ascii="Times New Roman" w:hAnsi="Times New Roman" w:cs="Times New Roman"/>
          <w:sz w:val="24"/>
          <w:szCs w:val="24"/>
        </w:rPr>
        <w:t>The authors gratefully acknowledge the financial support from Universitas Hang Tuah for this research. The authors also thank the laboratory staff and research assistants for their valuable technical assistance and support during the experimental procedures.</w:t>
      </w:r>
    </w:p>
    <w:p w14:paraId="7E0112DD" w14:textId="7076F2DD" w:rsidR="00EA2E41" w:rsidRPr="00055B84" w:rsidRDefault="00EA2E41" w:rsidP="008F6EEB">
      <w:pPr>
        <w:pStyle w:val="Heading1"/>
        <w:numPr>
          <w:ilvl w:val="0"/>
          <w:numId w:val="15"/>
        </w:numPr>
        <w:rPr>
          <w:rFonts w:ascii="Times New Roman" w:hAnsi="Times New Roman" w:cs="Times New Roman"/>
          <w:sz w:val="24"/>
          <w:szCs w:val="24"/>
        </w:rPr>
      </w:pPr>
      <w:r w:rsidRPr="00055B84">
        <w:rPr>
          <w:rFonts w:ascii="Times New Roman" w:hAnsi="Times New Roman" w:cs="Times New Roman"/>
          <w:sz w:val="24"/>
          <w:szCs w:val="24"/>
        </w:rPr>
        <w:t xml:space="preserve">References </w:t>
      </w:r>
    </w:p>
    <w:p w14:paraId="090FE400" w14:textId="77777777" w:rsidR="00EA2E41" w:rsidRPr="005B39B6" w:rsidRDefault="00EA2E41" w:rsidP="00EA2E41">
      <w:pPr>
        <w:autoSpaceDE w:val="0"/>
        <w:autoSpaceDN w:val="0"/>
        <w:adjustRightInd w:val="0"/>
        <w:spacing w:line="360" w:lineRule="auto"/>
        <w:ind w:left="1134" w:hanging="720"/>
        <w:jc w:val="both"/>
        <w:rPr>
          <w:rFonts w:ascii="Times New Roman" w:hAnsi="Times New Roman" w:cs="Times New Roman"/>
          <w:noProof/>
          <w:sz w:val="24"/>
          <w:szCs w:val="24"/>
        </w:rPr>
      </w:pPr>
      <w:r w:rsidRPr="00055B84">
        <w:rPr>
          <w:rFonts w:ascii="Times New Roman" w:hAnsi="Times New Roman" w:cs="Times New Roman"/>
          <w:noProof/>
          <w:sz w:val="24"/>
          <w:szCs w:val="24"/>
        </w:rPr>
        <w:t>Charoensaensuk,</w:t>
      </w:r>
      <w:r w:rsidRPr="005B39B6">
        <w:rPr>
          <w:rFonts w:ascii="Times New Roman" w:hAnsi="Times New Roman" w:cs="Times New Roman"/>
          <w:noProof/>
          <w:sz w:val="24"/>
          <w:szCs w:val="24"/>
        </w:rPr>
        <w:t xml:space="preserve"> V. </w:t>
      </w:r>
      <w:r w:rsidRPr="005B39B6">
        <w:rPr>
          <w:rFonts w:ascii="Times New Roman" w:hAnsi="Times New Roman" w:cs="Times New Roman"/>
          <w:i/>
          <w:iCs/>
          <w:noProof/>
          <w:sz w:val="24"/>
          <w:szCs w:val="24"/>
        </w:rPr>
        <w:t>et al.</w:t>
      </w:r>
      <w:r w:rsidRPr="005B39B6">
        <w:rPr>
          <w:rFonts w:ascii="Times New Roman" w:hAnsi="Times New Roman" w:cs="Times New Roman"/>
          <w:noProof/>
          <w:sz w:val="24"/>
          <w:szCs w:val="24"/>
        </w:rPr>
        <w:t xml:space="preserve"> (2021) ‘Porphyromonas gingivalis Induces Proinflammatory Cytokine’.</w:t>
      </w:r>
    </w:p>
    <w:p w14:paraId="41AA8959" w14:textId="77777777" w:rsidR="00EA2E41" w:rsidRPr="005B39B6" w:rsidRDefault="00EA2E41" w:rsidP="00EA2E41">
      <w:pPr>
        <w:autoSpaceDE w:val="0"/>
        <w:autoSpaceDN w:val="0"/>
        <w:adjustRightInd w:val="0"/>
        <w:spacing w:line="360" w:lineRule="auto"/>
        <w:ind w:left="1134" w:hanging="720"/>
        <w:jc w:val="both"/>
        <w:rPr>
          <w:rFonts w:ascii="Times New Roman" w:hAnsi="Times New Roman" w:cs="Times New Roman"/>
          <w:noProof/>
          <w:sz w:val="24"/>
          <w:szCs w:val="24"/>
        </w:rPr>
      </w:pPr>
      <w:r w:rsidRPr="005B39B6">
        <w:rPr>
          <w:rFonts w:ascii="Times New Roman" w:hAnsi="Times New Roman" w:cs="Times New Roman"/>
          <w:noProof/>
          <w:sz w:val="24"/>
          <w:szCs w:val="24"/>
        </w:rPr>
        <w:t xml:space="preserve">Chen, J. </w:t>
      </w:r>
      <w:r w:rsidRPr="005B39B6">
        <w:rPr>
          <w:rFonts w:ascii="Times New Roman" w:hAnsi="Times New Roman" w:cs="Times New Roman"/>
          <w:i/>
          <w:iCs/>
          <w:noProof/>
          <w:sz w:val="24"/>
          <w:szCs w:val="24"/>
        </w:rPr>
        <w:t>et al.</w:t>
      </w:r>
      <w:r w:rsidRPr="005B39B6">
        <w:rPr>
          <w:rFonts w:ascii="Times New Roman" w:hAnsi="Times New Roman" w:cs="Times New Roman"/>
          <w:noProof/>
          <w:sz w:val="24"/>
          <w:szCs w:val="24"/>
        </w:rPr>
        <w:t xml:space="preserve"> (2020) ‘Hyperbaric oxygen ameliorates cognitive impairment in patients with Alzheimer ’ s disease and amnestic mild cognitive impairment’, (April), pp. 1–9. doi: 10.1002/trc2.12030.</w:t>
      </w:r>
    </w:p>
    <w:p w14:paraId="466401C2" w14:textId="77777777" w:rsidR="00EA2E41" w:rsidRPr="005B39B6" w:rsidRDefault="00EA2E41" w:rsidP="00EA2E41">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r w:rsidRPr="005B39B6">
        <w:rPr>
          <w:rFonts w:ascii="Times New Roman" w:eastAsia="Google Sans Text" w:hAnsi="Times New Roman" w:cs="Times New Roman"/>
          <w:sz w:val="24"/>
          <w:szCs w:val="24"/>
        </w:rPr>
        <w:t xml:space="preserve">Chronic Periodontitis Review (2024). </w:t>
      </w:r>
      <w:r w:rsidRPr="005B39B6">
        <w:rPr>
          <w:rFonts w:ascii="Times New Roman" w:eastAsia="Google Sans Text" w:hAnsi="Times New Roman" w:cs="Times New Roman"/>
          <w:i/>
          <w:iCs/>
          <w:sz w:val="24"/>
          <w:szCs w:val="24"/>
        </w:rPr>
        <w:t xml:space="preserve">URL: </w:t>
      </w:r>
      <w:hyperlink r:id="rId9">
        <w:r w:rsidRPr="005B39B6">
          <w:rPr>
            <w:rFonts w:ascii="Times New Roman" w:eastAsia="Google Sans Text" w:hAnsi="Times New Roman" w:cs="Times New Roman"/>
            <w:i/>
            <w:iCs/>
            <w:sz w:val="24"/>
            <w:szCs w:val="24"/>
            <w:u w:val="single"/>
          </w:rPr>
          <w:t>https://pmc.ncbi.nlm.nih.gov/articles/PMC11867964/</w:t>
        </w:r>
      </w:hyperlink>
    </w:p>
    <w:p w14:paraId="05A454EF" w14:textId="77777777" w:rsidR="00EA2E41" w:rsidRPr="005B39B6" w:rsidRDefault="00EA2E41" w:rsidP="00EA2E41">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r w:rsidRPr="005B39B6">
        <w:rPr>
          <w:rFonts w:ascii="Times New Roman" w:eastAsia="Google Sans Text" w:hAnsi="Times New Roman" w:cs="Times New Roman"/>
          <w:sz w:val="24"/>
          <w:szCs w:val="24"/>
        </w:rPr>
        <w:t xml:space="preserve">Fan, J. </w:t>
      </w:r>
      <w:r w:rsidRPr="005B39B6">
        <w:rPr>
          <w:rFonts w:ascii="Times New Roman" w:eastAsia="Google Sans Text" w:hAnsi="Times New Roman" w:cs="Times New Roman"/>
          <w:i/>
          <w:iCs/>
          <w:sz w:val="24"/>
          <w:szCs w:val="24"/>
        </w:rPr>
        <w:t>et al.</w:t>
      </w:r>
      <w:r w:rsidRPr="005B39B6">
        <w:rPr>
          <w:rFonts w:ascii="Times New Roman" w:eastAsia="Google Sans Text" w:hAnsi="Times New Roman" w:cs="Times New Roman"/>
          <w:sz w:val="24"/>
          <w:szCs w:val="24"/>
        </w:rPr>
        <w:t xml:space="preserve"> (2025). Hyperbaric oxygen therapy rebalances the immune system and improves the clinical status of patients with NMOSD. </w:t>
      </w:r>
      <w:r w:rsidRPr="005B39B6">
        <w:rPr>
          <w:rFonts w:ascii="Times New Roman" w:eastAsia="Google Sans Text" w:hAnsi="Times New Roman" w:cs="Times New Roman"/>
          <w:i/>
          <w:iCs/>
          <w:sz w:val="24"/>
          <w:szCs w:val="24"/>
        </w:rPr>
        <w:t>Frontiers in Neurology</w:t>
      </w:r>
      <w:r w:rsidRPr="005B39B6">
        <w:rPr>
          <w:rFonts w:ascii="Times New Roman" w:eastAsia="Google Sans Text" w:hAnsi="Times New Roman" w:cs="Times New Roman"/>
          <w:sz w:val="24"/>
          <w:szCs w:val="24"/>
        </w:rPr>
        <w:t xml:space="preserve">. </w:t>
      </w:r>
      <w:r w:rsidRPr="005B39B6">
        <w:rPr>
          <w:rFonts w:ascii="Times New Roman" w:eastAsia="Google Sans Text" w:hAnsi="Times New Roman" w:cs="Times New Roman"/>
          <w:i/>
          <w:iCs/>
          <w:sz w:val="24"/>
          <w:szCs w:val="24"/>
        </w:rPr>
        <w:t xml:space="preserve">URL: </w:t>
      </w:r>
      <w:hyperlink r:id="rId10">
        <w:r w:rsidRPr="005B39B6">
          <w:rPr>
            <w:rFonts w:ascii="Times New Roman" w:eastAsia="Google Sans Text" w:hAnsi="Times New Roman" w:cs="Times New Roman"/>
            <w:i/>
            <w:iCs/>
            <w:sz w:val="24"/>
            <w:szCs w:val="24"/>
            <w:u w:val="single"/>
          </w:rPr>
          <w:t>https://www.frontiersin.org/journals/neurology/articles/10.3389/fneur.2025.1670455</w:t>
        </w:r>
        <w:r w:rsidRPr="005B39B6">
          <w:rPr>
            <w:rFonts w:ascii="Times New Roman" w:eastAsia="Google Sans Text" w:hAnsi="Times New Roman" w:cs="Times New Roman"/>
            <w:i/>
            <w:iCs/>
            <w:sz w:val="24"/>
            <w:szCs w:val="24"/>
            <w:u w:val="single"/>
          </w:rPr>
          <w:lastRenderedPageBreak/>
          <w:t>/full</w:t>
        </w:r>
      </w:hyperlink>
    </w:p>
    <w:p w14:paraId="0C5B060E" w14:textId="7B877608" w:rsidR="00EA2E41" w:rsidRPr="00055B84" w:rsidRDefault="00EA2E41" w:rsidP="00EA2E41">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lang w:val="sv-SE"/>
        </w:rPr>
      </w:pPr>
      <w:proofErr w:type="spellStart"/>
      <w:r w:rsidRPr="005B39B6">
        <w:rPr>
          <w:rFonts w:ascii="Times New Roman" w:eastAsia="Google Sans Text" w:hAnsi="Times New Roman" w:cs="Times New Roman"/>
          <w:sz w:val="24"/>
          <w:szCs w:val="24"/>
        </w:rPr>
        <w:t>Hachmo</w:t>
      </w:r>
      <w:proofErr w:type="spellEnd"/>
      <w:r w:rsidRPr="005B39B6">
        <w:rPr>
          <w:rFonts w:ascii="Times New Roman" w:eastAsia="Google Sans Text" w:hAnsi="Times New Roman" w:cs="Times New Roman"/>
          <w:sz w:val="24"/>
          <w:szCs w:val="24"/>
        </w:rPr>
        <w:t xml:space="preserve">, Y. </w:t>
      </w:r>
      <w:r w:rsidRPr="005B39B6">
        <w:rPr>
          <w:rFonts w:ascii="Times New Roman" w:eastAsia="Google Sans Text" w:hAnsi="Times New Roman" w:cs="Times New Roman"/>
          <w:i/>
          <w:iCs/>
          <w:sz w:val="24"/>
          <w:szCs w:val="24"/>
        </w:rPr>
        <w:t>et al.</w:t>
      </w:r>
      <w:r w:rsidRPr="005B39B6">
        <w:rPr>
          <w:rFonts w:ascii="Times New Roman" w:eastAsia="Google Sans Text" w:hAnsi="Times New Roman" w:cs="Times New Roman"/>
          <w:sz w:val="24"/>
          <w:szCs w:val="24"/>
        </w:rPr>
        <w:t xml:space="preserve"> (2021). Hyperbaric oxygen therapy alleviates vascular dysfunction and amyloid burden in an Alzheimer’s disease mouse model and in elderly patients. </w:t>
      </w:r>
      <w:r w:rsidRPr="00055B84">
        <w:rPr>
          <w:rFonts w:ascii="Times New Roman" w:eastAsia="Google Sans Text" w:hAnsi="Times New Roman" w:cs="Times New Roman"/>
          <w:i/>
          <w:iCs/>
          <w:sz w:val="24"/>
          <w:szCs w:val="24"/>
          <w:lang w:val="sv-SE"/>
        </w:rPr>
        <w:t>Aging (Albany</w:t>
      </w:r>
      <w:r w:rsidR="00837A61" w:rsidRPr="00055B84">
        <w:rPr>
          <w:rFonts w:ascii="Times New Roman" w:eastAsia="Google Sans Text" w:hAnsi="Times New Roman" w:cs="Times New Roman"/>
          <w:i/>
          <w:iCs/>
          <w:sz w:val="24"/>
          <w:szCs w:val="24"/>
          <w:lang w:val="sv-SE"/>
        </w:rPr>
        <w:t>,</w:t>
      </w:r>
      <w:r w:rsidRPr="00055B84">
        <w:rPr>
          <w:rFonts w:ascii="Times New Roman" w:eastAsia="Google Sans Text" w:hAnsi="Times New Roman" w:cs="Times New Roman"/>
          <w:i/>
          <w:iCs/>
          <w:sz w:val="24"/>
          <w:szCs w:val="24"/>
          <w:lang w:val="sv-SE"/>
        </w:rPr>
        <w:t xml:space="preserve"> NY)</w:t>
      </w:r>
      <w:r w:rsidRPr="00055B84">
        <w:rPr>
          <w:rFonts w:ascii="Times New Roman" w:eastAsia="Google Sans Text" w:hAnsi="Times New Roman" w:cs="Times New Roman"/>
          <w:sz w:val="24"/>
          <w:szCs w:val="24"/>
          <w:lang w:val="sv-SE"/>
        </w:rPr>
        <w:t xml:space="preserve">, 13, pp. 20935–61. </w:t>
      </w:r>
      <w:r w:rsidRPr="00055B84">
        <w:rPr>
          <w:rFonts w:ascii="Times New Roman" w:eastAsia="Google Sans Text" w:hAnsi="Times New Roman" w:cs="Times New Roman"/>
          <w:i/>
          <w:iCs/>
          <w:sz w:val="24"/>
          <w:szCs w:val="24"/>
          <w:lang w:val="sv-SE"/>
        </w:rPr>
        <w:t xml:space="preserve">URL: </w:t>
      </w:r>
      <w:hyperlink r:id="rId11">
        <w:r w:rsidRPr="00055B84">
          <w:rPr>
            <w:rFonts w:ascii="Times New Roman" w:eastAsia="Google Sans Text" w:hAnsi="Times New Roman" w:cs="Times New Roman"/>
            <w:i/>
            <w:iCs/>
            <w:sz w:val="24"/>
            <w:szCs w:val="24"/>
            <w:u w:val="single"/>
            <w:lang w:val="sv-SE"/>
          </w:rPr>
          <w:t>https://pmc.ncbi.nlm.nih.gov/articles/PMC8457592/</w:t>
        </w:r>
      </w:hyperlink>
    </w:p>
    <w:p w14:paraId="1B040787" w14:textId="77777777" w:rsidR="00EA2E41" w:rsidRPr="00055B84" w:rsidRDefault="00EA2E41" w:rsidP="00EA2E41">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lang w:val="sv-SE"/>
        </w:rPr>
      </w:pPr>
      <w:r w:rsidRPr="005B39B6">
        <w:rPr>
          <w:rFonts w:ascii="Times New Roman" w:eastAsia="Google Sans Text" w:hAnsi="Times New Roman" w:cs="Times New Roman"/>
          <w:sz w:val="24"/>
          <w:szCs w:val="24"/>
        </w:rPr>
        <w:t xml:space="preserve">HBOT and Hypoxia Review (2023). The role of hyperbaric oxygen therapy in accelerating orthodontic tooth movement: A literature review. </w:t>
      </w:r>
      <w:r w:rsidRPr="00055B84">
        <w:rPr>
          <w:rFonts w:ascii="Times New Roman" w:eastAsia="Google Sans Text" w:hAnsi="Times New Roman" w:cs="Times New Roman"/>
          <w:i/>
          <w:iCs/>
          <w:sz w:val="24"/>
          <w:szCs w:val="24"/>
          <w:lang w:val="sv-SE"/>
        </w:rPr>
        <w:t>PMC</w:t>
      </w:r>
      <w:r w:rsidRPr="00055B84">
        <w:rPr>
          <w:rFonts w:ascii="Times New Roman" w:eastAsia="Google Sans Text" w:hAnsi="Times New Roman" w:cs="Times New Roman"/>
          <w:sz w:val="24"/>
          <w:szCs w:val="24"/>
          <w:lang w:val="sv-SE"/>
        </w:rPr>
        <w:t xml:space="preserve">. </w:t>
      </w:r>
      <w:r w:rsidRPr="00055B84">
        <w:rPr>
          <w:rFonts w:ascii="Times New Roman" w:eastAsia="Google Sans Text" w:hAnsi="Times New Roman" w:cs="Times New Roman"/>
          <w:i/>
          <w:iCs/>
          <w:sz w:val="24"/>
          <w:szCs w:val="24"/>
          <w:lang w:val="sv-SE"/>
        </w:rPr>
        <w:t xml:space="preserve">URL: </w:t>
      </w:r>
      <w:r>
        <w:fldChar w:fldCharType="begin"/>
      </w:r>
      <w:r w:rsidRPr="00055B84">
        <w:rPr>
          <w:lang w:val="sv-SE"/>
        </w:rPr>
        <w:instrText>HYPERLINK "https://pmc.ncbi.nlm.nih.gov/articles/PMC9949925/" \h</w:instrText>
      </w:r>
      <w:r>
        <w:fldChar w:fldCharType="separate"/>
      </w:r>
      <w:r w:rsidRPr="00055B84">
        <w:rPr>
          <w:rFonts w:ascii="Times New Roman" w:eastAsia="Google Sans Text" w:hAnsi="Times New Roman" w:cs="Times New Roman"/>
          <w:i/>
          <w:iCs/>
          <w:sz w:val="24"/>
          <w:szCs w:val="24"/>
          <w:u w:val="single"/>
          <w:lang w:val="sv-SE"/>
        </w:rPr>
        <w:t>https://pmc.ncbi.nlm.nih.gov/articles/PMC9949925/</w:t>
      </w:r>
      <w:r>
        <w:fldChar w:fldCharType="end"/>
      </w:r>
    </w:p>
    <w:p w14:paraId="04A1819D" w14:textId="77777777" w:rsidR="00EA2E41" w:rsidRPr="00055B84" w:rsidRDefault="00EA2E41" w:rsidP="00EA2E41">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lang w:val="sv-SE"/>
        </w:rPr>
      </w:pPr>
      <w:r w:rsidRPr="005B39B6">
        <w:rPr>
          <w:rFonts w:ascii="Times New Roman" w:eastAsia="Google Sans Text" w:hAnsi="Times New Roman" w:cs="Times New Roman"/>
          <w:sz w:val="24"/>
          <w:szCs w:val="24"/>
        </w:rPr>
        <w:t xml:space="preserve">HBOT Autophagy Study (2024). Hyperbaric oxygen therapy improves cognitive function in Alzheimer’s disease mice via enhancing autophagy mechanisms. </w:t>
      </w:r>
      <w:r w:rsidRPr="00055B84">
        <w:rPr>
          <w:rFonts w:ascii="Times New Roman" w:eastAsia="Google Sans Text" w:hAnsi="Times New Roman" w:cs="Times New Roman"/>
          <w:i/>
          <w:iCs/>
          <w:sz w:val="24"/>
          <w:szCs w:val="24"/>
          <w:lang w:val="sv-SE"/>
        </w:rPr>
        <w:t>PMC</w:t>
      </w:r>
      <w:r w:rsidRPr="00055B84">
        <w:rPr>
          <w:rFonts w:ascii="Times New Roman" w:eastAsia="Google Sans Text" w:hAnsi="Times New Roman" w:cs="Times New Roman"/>
          <w:sz w:val="24"/>
          <w:szCs w:val="24"/>
          <w:lang w:val="sv-SE"/>
        </w:rPr>
        <w:t xml:space="preserve">. </w:t>
      </w:r>
      <w:r w:rsidRPr="00055B84">
        <w:rPr>
          <w:rFonts w:ascii="Times New Roman" w:eastAsia="Google Sans Text" w:hAnsi="Times New Roman" w:cs="Times New Roman"/>
          <w:i/>
          <w:iCs/>
          <w:sz w:val="24"/>
          <w:szCs w:val="24"/>
          <w:lang w:val="sv-SE"/>
        </w:rPr>
        <w:t xml:space="preserve">URL: </w:t>
      </w:r>
      <w:r>
        <w:fldChar w:fldCharType="begin"/>
      </w:r>
      <w:r w:rsidRPr="00055B84">
        <w:rPr>
          <w:lang w:val="sv-SE"/>
        </w:rPr>
        <w:instrText>HYPERLINK "https://pmc.ncbi.nlm.nih.gov/articles/PMC11995944/" \h</w:instrText>
      </w:r>
      <w:r>
        <w:fldChar w:fldCharType="separate"/>
      </w:r>
      <w:r w:rsidRPr="00055B84">
        <w:rPr>
          <w:rFonts w:ascii="Times New Roman" w:eastAsia="Google Sans Text" w:hAnsi="Times New Roman" w:cs="Times New Roman"/>
          <w:i/>
          <w:iCs/>
          <w:sz w:val="24"/>
          <w:szCs w:val="24"/>
          <w:u w:val="single"/>
          <w:lang w:val="sv-SE"/>
        </w:rPr>
        <w:t>https://pmc.ncbi.nlm.nih.gov/articles/PMC11995944/</w:t>
      </w:r>
      <w:r>
        <w:fldChar w:fldCharType="end"/>
      </w:r>
    </w:p>
    <w:p w14:paraId="42F62705" w14:textId="77777777" w:rsidR="00EA2E41" w:rsidRPr="005B39B6" w:rsidRDefault="00EA2E41" w:rsidP="00EA2E41">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r w:rsidRPr="005B39B6">
        <w:rPr>
          <w:rFonts w:ascii="Times New Roman" w:eastAsia="Google Sans Text" w:hAnsi="Times New Roman" w:cs="Times New Roman"/>
          <w:sz w:val="24"/>
          <w:szCs w:val="24"/>
        </w:rPr>
        <w:t xml:space="preserve">HBOT Efficacy Review (2024). Hyperbaric oxygen therapy: New horizons in neurodegenerative disorders and cognitive improvement. </w:t>
      </w:r>
      <w:r w:rsidRPr="005B39B6">
        <w:rPr>
          <w:rFonts w:ascii="Times New Roman" w:eastAsia="Google Sans Text" w:hAnsi="Times New Roman" w:cs="Times New Roman"/>
          <w:i/>
          <w:iCs/>
          <w:sz w:val="24"/>
          <w:szCs w:val="24"/>
        </w:rPr>
        <w:t>Exploration of Neuroprotective Therapy</w:t>
      </w:r>
      <w:r w:rsidRPr="005B39B6">
        <w:rPr>
          <w:rFonts w:ascii="Times New Roman" w:eastAsia="Google Sans Text" w:hAnsi="Times New Roman" w:cs="Times New Roman"/>
          <w:sz w:val="24"/>
          <w:szCs w:val="24"/>
        </w:rPr>
        <w:t xml:space="preserve">. </w:t>
      </w:r>
      <w:r w:rsidRPr="005B39B6">
        <w:rPr>
          <w:rFonts w:ascii="Times New Roman" w:eastAsia="Google Sans Text" w:hAnsi="Times New Roman" w:cs="Times New Roman"/>
          <w:i/>
          <w:iCs/>
          <w:sz w:val="24"/>
          <w:szCs w:val="24"/>
        </w:rPr>
        <w:t xml:space="preserve">URL: </w:t>
      </w:r>
      <w:hyperlink r:id="rId12">
        <w:r w:rsidRPr="005B39B6">
          <w:rPr>
            <w:rFonts w:ascii="Times New Roman" w:eastAsia="Google Sans Text" w:hAnsi="Times New Roman" w:cs="Times New Roman"/>
            <w:i/>
            <w:iCs/>
            <w:sz w:val="24"/>
            <w:szCs w:val="24"/>
            <w:u w:val="single"/>
          </w:rPr>
          <w:t>https://www.explorationpub.com/Journals/ent/Article/100462</w:t>
        </w:r>
      </w:hyperlink>
    </w:p>
    <w:p w14:paraId="7843D37D" w14:textId="77777777" w:rsidR="00EA2E41" w:rsidRPr="005B39B6" w:rsidRDefault="00EA2E41" w:rsidP="00EA2E41">
      <w:pPr>
        <w:pBdr>
          <w:top w:val="nil"/>
          <w:left w:val="nil"/>
          <w:bottom w:val="nil"/>
          <w:right w:val="nil"/>
          <w:between w:val="nil"/>
        </w:pBdr>
        <w:spacing w:after="240" w:line="360" w:lineRule="auto"/>
        <w:ind w:left="1134" w:hanging="720"/>
        <w:jc w:val="both"/>
        <w:rPr>
          <w:rFonts w:ascii="Times New Roman" w:eastAsia="Google Sans" w:hAnsi="Times New Roman" w:cs="Times New Roman"/>
          <w:sz w:val="24"/>
          <w:szCs w:val="24"/>
        </w:rPr>
      </w:pPr>
      <w:r w:rsidRPr="005B39B6">
        <w:rPr>
          <w:rFonts w:ascii="Times New Roman" w:eastAsia="Google Sans Text" w:hAnsi="Times New Roman" w:cs="Times New Roman"/>
          <w:sz w:val="24"/>
          <w:szCs w:val="24"/>
        </w:rPr>
        <w:t xml:space="preserve">Huang, Z. </w:t>
      </w:r>
      <w:r w:rsidRPr="005B39B6">
        <w:rPr>
          <w:rFonts w:ascii="Times New Roman" w:eastAsia="Google Sans Text" w:hAnsi="Times New Roman" w:cs="Times New Roman"/>
          <w:i/>
          <w:iCs/>
          <w:sz w:val="24"/>
          <w:szCs w:val="24"/>
        </w:rPr>
        <w:t>et al.</w:t>
      </w:r>
      <w:r w:rsidRPr="005B39B6">
        <w:rPr>
          <w:rFonts w:ascii="Times New Roman" w:eastAsia="Google Sans Text" w:hAnsi="Times New Roman" w:cs="Times New Roman"/>
          <w:sz w:val="24"/>
          <w:szCs w:val="24"/>
        </w:rPr>
        <w:t xml:space="preserve"> (2025). The intricate relationship between Porphyromonas gingivalis and neurodegenerative diseases. </w:t>
      </w:r>
      <w:r w:rsidRPr="005B39B6">
        <w:rPr>
          <w:rFonts w:ascii="Times New Roman" w:eastAsia="Google Sans Text" w:hAnsi="Times New Roman" w:cs="Times New Roman"/>
          <w:i/>
          <w:iCs/>
          <w:sz w:val="24"/>
          <w:szCs w:val="24"/>
        </w:rPr>
        <w:t>Frontiers in Immunology</w:t>
      </w:r>
      <w:r w:rsidRPr="005B39B6">
        <w:rPr>
          <w:rFonts w:ascii="Times New Roman" w:eastAsia="Google Sans Text" w:hAnsi="Times New Roman" w:cs="Times New Roman"/>
          <w:sz w:val="24"/>
          <w:szCs w:val="24"/>
        </w:rPr>
        <w:t xml:space="preserve">. </w:t>
      </w:r>
      <w:r w:rsidRPr="005B39B6">
        <w:rPr>
          <w:rFonts w:ascii="Times New Roman" w:eastAsia="Google Sans Text" w:hAnsi="Times New Roman" w:cs="Times New Roman"/>
          <w:i/>
          <w:iCs/>
          <w:sz w:val="24"/>
          <w:szCs w:val="24"/>
        </w:rPr>
        <w:t xml:space="preserve">URL: </w:t>
      </w:r>
      <w:hyperlink r:id="rId13">
        <w:r w:rsidRPr="005B39B6">
          <w:rPr>
            <w:rFonts w:ascii="Times New Roman" w:eastAsia="Google Sans Text" w:hAnsi="Times New Roman" w:cs="Times New Roman"/>
            <w:i/>
            <w:iCs/>
            <w:sz w:val="24"/>
            <w:szCs w:val="24"/>
            <w:u w:val="single"/>
          </w:rPr>
          <w:t>https://www.frontiersin.org/journals/immunology/articles/10.3389/fimmu.2025.1482033/full</w:t>
        </w:r>
      </w:hyperlink>
      <w:r w:rsidRPr="005B39B6">
        <w:rPr>
          <w:rFonts w:ascii="Times New Roman" w:eastAsia="Google Sans" w:hAnsi="Times New Roman" w:cs="Times New Roman"/>
          <w:sz w:val="24"/>
          <w:szCs w:val="24"/>
        </w:rPr>
        <w:t xml:space="preserve"> </w:t>
      </w:r>
    </w:p>
    <w:p w14:paraId="5D155918" w14:textId="77777777" w:rsidR="00EA2E41" w:rsidRPr="005B39B6" w:rsidRDefault="00EA2E41" w:rsidP="00EA2E41">
      <w:pPr>
        <w:pBdr>
          <w:top w:val="nil"/>
          <w:left w:val="nil"/>
          <w:bottom w:val="nil"/>
          <w:right w:val="nil"/>
          <w:between w:val="nil"/>
        </w:pBdr>
        <w:spacing w:after="240" w:line="360" w:lineRule="auto"/>
        <w:ind w:left="1134" w:hanging="720"/>
        <w:jc w:val="both"/>
        <w:rPr>
          <w:rFonts w:ascii="Times New Roman" w:hAnsi="Times New Roman" w:cs="Times New Roman"/>
          <w:sz w:val="24"/>
          <w:szCs w:val="24"/>
        </w:rPr>
      </w:pPr>
      <w:r w:rsidRPr="005B39B6">
        <w:rPr>
          <w:rFonts w:ascii="Times New Roman" w:eastAsia="Google Sans" w:hAnsi="Times New Roman" w:cs="Times New Roman"/>
          <w:sz w:val="24"/>
          <w:szCs w:val="24"/>
        </w:rPr>
        <w:t xml:space="preserve">Hyperbaric oxygen therapy alleviates vascular dysfunction and ... - NIH, accessed November 24, 2025, </w:t>
      </w:r>
      <w:hyperlink r:id="rId14">
        <w:r w:rsidRPr="005B39B6">
          <w:rPr>
            <w:rFonts w:ascii="Times New Roman" w:eastAsia="Google Sans" w:hAnsi="Times New Roman" w:cs="Times New Roman"/>
            <w:sz w:val="24"/>
            <w:szCs w:val="24"/>
            <w:u w:val="single"/>
          </w:rPr>
          <w:t>https://pmc.ncbi.nlm.nih.gov/articles/PMC8457592/</w:t>
        </w:r>
      </w:hyperlink>
    </w:p>
    <w:p w14:paraId="1707E322" w14:textId="77777777" w:rsidR="00EA2E41" w:rsidRPr="005B39B6" w:rsidRDefault="00EA2E41" w:rsidP="00EA2E41">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p>
    <w:p w14:paraId="24A15B08" w14:textId="77777777" w:rsidR="00EA2E41" w:rsidRPr="00055B84" w:rsidRDefault="00EA2E41" w:rsidP="00EA2E41">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lang w:val="sv-SE"/>
        </w:rPr>
      </w:pPr>
      <w:r w:rsidRPr="005B39B6">
        <w:rPr>
          <w:rFonts w:ascii="Times New Roman" w:eastAsia="Google Sans Text" w:hAnsi="Times New Roman" w:cs="Times New Roman"/>
          <w:sz w:val="24"/>
          <w:szCs w:val="24"/>
        </w:rPr>
        <w:t xml:space="preserve">Kim, S. </w:t>
      </w:r>
      <w:r w:rsidRPr="005B39B6">
        <w:rPr>
          <w:rFonts w:ascii="Times New Roman" w:eastAsia="Google Sans Text" w:hAnsi="Times New Roman" w:cs="Times New Roman"/>
          <w:i/>
          <w:iCs/>
          <w:sz w:val="24"/>
          <w:szCs w:val="24"/>
        </w:rPr>
        <w:t>et al.</w:t>
      </w:r>
      <w:r w:rsidRPr="005B39B6">
        <w:rPr>
          <w:rFonts w:ascii="Times New Roman" w:eastAsia="Google Sans Text" w:hAnsi="Times New Roman" w:cs="Times New Roman"/>
          <w:sz w:val="24"/>
          <w:szCs w:val="24"/>
        </w:rPr>
        <w:t xml:space="preserve"> (2024). Porphyromonas gingivalis-induced neurodegeneration in periodontitis model mice involves inflammation and altered cognitive function. </w:t>
      </w:r>
      <w:r w:rsidRPr="00055B84">
        <w:rPr>
          <w:rFonts w:ascii="Times New Roman" w:eastAsia="Google Sans Text" w:hAnsi="Times New Roman" w:cs="Times New Roman"/>
          <w:i/>
          <w:iCs/>
          <w:sz w:val="24"/>
          <w:szCs w:val="24"/>
          <w:lang w:val="sv-SE"/>
        </w:rPr>
        <w:t>PMC</w:t>
      </w:r>
      <w:r w:rsidRPr="00055B84">
        <w:rPr>
          <w:rFonts w:ascii="Times New Roman" w:eastAsia="Google Sans Text" w:hAnsi="Times New Roman" w:cs="Times New Roman"/>
          <w:sz w:val="24"/>
          <w:szCs w:val="24"/>
          <w:lang w:val="sv-SE"/>
        </w:rPr>
        <w:t xml:space="preserve">. </w:t>
      </w:r>
      <w:r w:rsidRPr="00055B84">
        <w:rPr>
          <w:rFonts w:ascii="Times New Roman" w:eastAsia="Google Sans Text" w:hAnsi="Times New Roman" w:cs="Times New Roman"/>
          <w:i/>
          <w:iCs/>
          <w:sz w:val="24"/>
          <w:szCs w:val="24"/>
          <w:lang w:val="sv-SE"/>
        </w:rPr>
        <w:t xml:space="preserve">URL: </w:t>
      </w:r>
      <w:r>
        <w:fldChar w:fldCharType="begin"/>
      </w:r>
      <w:r w:rsidRPr="00055B84">
        <w:rPr>
          <w:lang w:val="sv-SE"/>
        </w:rPr>
        <w:instrText>HYPERLINK "https://pmc.ncbi.nlm.nih.gov/articles/PMC12183281/" \h</w:instrText>
      </w:r>
      <w:r>
        <w:fldChar w:fldCharType="separate"/>
      </w:r>
      <w:r w:rsidRPr="00055B84">
        <w:rPr>
          <w:rFonts w:ascii="Times New Roman" w:eastAsia="Google Sans Text" w:hAnsi="Times New Roman" w:cs="Times New Roman"/>
          <w:i/>
          <w:iCs/>
          <w:sz w:val="24"/>
          <w:szCs w:val="24"/>
          <w:u w:val="single"/>
          <w:lang w:val="sv-SE"/>
        </w:rPr>
        <w:t>https://pmc.ncbi.nlm.nih.gov/articles/PMC12183281/</w:t>
      </w:r>
      <w:r>
        <w:fldChar w:fldCharType="end"/>
      </w:r>
    </w:p>
    <w:p w14:paraId="5D2E06EA" w14:textId="77777777" w:rsidR="00EA2E41" w:rsidRPr="005B39B6" w:rsidRDefault="00EA2E41" w:rsidP="00EA2E41">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r w:rsidRPr="005B39B6">
        <w:rPr>
          <w:rFonts w:ascii="Times New Roman" w:eastAsia="Google Sans Text" w:hAnsi="Times New Roman" w:cs="Times New Roman"/>
          <w:sz w:val="24"/>
          <w:szCs w:val="24"/>
        </w:rPr>
        <w:t xml:space="preserve">Kwon, Y. and </w:t>
      </w:r>
      <w:proofErr w:type="spellStart"/>
      <w:r w:rsidRPr="005B39B6">
        <w:rPr>
          <w:rFonts w:ascii="Times New Roman" w:eastAsia="Google Sans Text" w:hAnsi="Times New Roman" w:cs="Times New Roman"/>
          <w:sz w:val="24"/>
          <w:szCs w:val="24"/>
        </w:rPr>
        <w:t>Im</w:t>
      </w:r>
      <w:proofErr w:type="spellEnd"/>
      <w:r w:rsidRPr="005B39B6">
        <w:rPr>
          <w:rFonts w:ascii="Times New Roman" w:eastAsia="Google Sans Text" w:hAnsi="Times New Roman" w:cs="Times New Roman"/>
          <w:sz w:val="24"/>
          <w:szCs w:val="24"/>
        </w:rPr>
        <w:t xml:space="preserve">, S. (2024). Porphyromonas gingivalis in Alzheimer’s Disease Pathogenesis: </w:t>
      </w:r>
      <w:r w:rsidRPr="005B39B6">
        <w:rPr>
          <w:rFonts w:ascii="Times New Roman" w:eastAsia="Google Sans Text" w:hAnsi="Times New Roman" w:cs="Times New Roman"/>
          <w:sz w:val="24"/>
          <w:szCs w:val="24"/>
        </w:rPr>
        <w:lastRenderedPageBreak/>
        <w:t xml:space="preserve">A Narrative Review. </w:t>
      </w:r>
      <w:r w:rsidRPr="005B39B6">
        <w:rPr>
          <w:rFonts w:ascii="Times New Roman" w:eastAsia="Google Sans Text" w:hAnsi="Times New Roman" w:cs="Times New Roman"/>
          <w:i/>
          <w:iCs/>
          <w:sz w:val="24"/>
          <w:szCs w:val="24"/>
        </w:rPr>
        <w:t>International Journal of Molecular Sciences</w:t>
      </w:r>
      <w:r w:rsidRPr="005B39B6">
        <w:rPr>
          <w:rFonts w:ascii="Times New Roman" w:eastAsia="Google Sans Text" w:hAnsi="Times New Roman" w:cs="Times New Roman"/>
          <w:sz w:val="24"/>
          <w:szCs w:val="24"/>
        </w:rPr>
        <w:t xml:space="preserve">, 25(1), 96. </w:t>
      </w:r>
      <w:r w:rsidRPr="005B39B6">
        <w:rPr>
          <w:rFonts w:ascii="Times New Roman" w:eastAsia="Google Sans Text" w:hAnsi="Times New Roman" w:cs="Times New Roman"/>
          <w:i/>
          <w:iCs/>
          <w:sz w:val="24"/>
          <w:szCs w:val="24"/>
        </w:rPr>
        <w:t xml:space="preserve">URL: </w:t>
      </w:r>
      <w:hyperlink r:id="rId15">
        <w:r w:rsidRPr="005B39B6">
          <w:rPr>
            <w:rFonts w:ascii="Times New Roman" w:eastAsia="Google Sans Text" w:hAnsi="Times New Roman" w:cs="Times New Roman"/>
            <w:i/>
            <w:iCs/>
            <w:sz w:val="24"/>
            <w:szCs w:val="24"/>
            <w:u w:val="single"/>
          </w:rPr>
          <w:t>https://www.mdpi.com/2075-1729/15/1/96</w:t>
        </w:r>
      </w:hyperlink>
    </w:p>
    <w:p w14:paraId="49CC2403" w14:textId="77777777" w:rsidR="00EA2E41" w:rsidRPr="005B39B6" w:rsidRDefault="00EA2E41" w:rsidP="00EA2E41">
      <w:pPr>
        <w:autoSpaceDE w:val="0"/>
        <w:autoSpaceDN w:val="0"/>
        <w:adjustRightInd w:val="0"/>
        <w:spacing w:line="360" w:lineRule="auto"/>
        <w:ind w:left="1134" w:hanging="720"/>
        <w:jc w:val="both"/>
        <w:rPr>
          <w:rFonts w:ascii="Times New Roman" w:hAnsi="Times New Roman" w:cs="Times New Roman"/>
          <w:sz w:val="24"/>
          <w:szCs w:val="24"/>
        </w:rPr>
      </w:pPr>
      <w:r w:rsidRPr="005B39B6">
        <w:rPr>
          <w:rFonts w:ascii="Times New Roman" w:eastAsia="Google Sans Text" w:hAnsi="Times New Roman" w:cs="Times New Roman"/>
          <w:sz w:val="24"/>
          <w:szCs w:val="24"/>
        </w:rPr>
        <w:t xml:space="preserve">Lee, W. </w:t>
      </w:r>
      <w:r w:rsidRPr="005B39B6">
        <w:rPr>
          <w:rFonts w:ascii="Times New Roman" w:eastAsia="Google Sans Text" w:hAnsi="Times New Roman" w:cs="Times New Roman"/>
          <w:i/>
          <w:iCs/>
          <w:sz w:val="24"/>
          <w:szCs w:val="24"/>
        </w:rPr>
        <w:t>et al.</w:t>
      </w:r>
      <w:r w:rsidRPr="005B39B6">
        <w:rPr>
          <w:rFonts w:ascii="Times New Roman" w:eastAsia="Google Sans Text" w:hAnsi="Times New Roman" w:cs="Times New Roman"/>
          <w:sz w:val="24"/>
          <w:szCs w:val="24"/>
        </w:rPr>
        <w:t xml:space="preserve"> (2022). Gingipain-mediated neuroinflammation, amyloid-β aggregation, and tau protein modification in Alzheimer's disease pathology. </w:t>
      </w:r>
      <w:r w:rsidRPr="005B39B6">
        <w:rPr>
          <w:rFonts w:ascii="Times New Roman" w:eastAsia="Google Sans Text" w:hAnsi="Times New Roman" w:cs="Times New Roman"/>
          <w:i/>
          <w:iCs/>
          <w:sz w:val="24"/>
          <w:szCs w:val="24"/>
        </w:rPr>
        <w:t>Chosun University Oral Biology Research</w:t>
      </w:r>
      <w:r w:rsidRPr="005B39B6">
        <w:rPr>
          <w:rFonts w:ascii="Times New Roman" w:eastAsia="Google Sans Text" w:hAnsi="Times New Roman" w:cs="Times New Roman"/>
          <w:sz w:val="24"/>
          <w:szCs w:val="24"/>
        </w:rPr>
        <w:t xml:space="preserve">, 25(1). </w:t>
      </w:r>
      <w:r w:rsidRPr="005B39B6">
        <w:rPr>
          <w:rFonts w:ascii="Times New Roman" w:eastAsia="Google Sans Text" w:hAnsi="Times New Roman" w:cs="Times New Roman"/>
          <w:i/>
          <w:iCs/>
          <w:sz w:val="24"/>
          <w:szCs w:val="24"/>
        </w:rPr>
        <w:t xml:space="preserve">URL: </w:t>
      </w:r>
      <w:hyperlink r:id="rId16">
        <w:r w:rsidRPr="005B39B6">
          <w:rPr>
            <w:rFonts w:ascii="Times New Roman" w:eastAsia="Google Sans Text" w:hAnsi="Times New Roman" w:cs="Times New Roman"/>
            <w:i/>
            <w:iCs/>
            <w:sz w:val="24"/>
            <w:szCs w:val="24"/>
            <w:u w:val="single"/>
          </w:rPr>
          <w:t>https://www.chosunobr.org/journal/view.html?doi=10.21851/obr.25.002</w:t>
        </w:r>
      </w:hyperlink>
    </w:p>
    <w:p w14:paraId="378E5B3C" w14:textId="77777777" w:rsidR="00EA2E41" w:rsidRPr="005B39B6" w:rsidRDefault="00EA2E41" w:rsidP="00EA2E41">
      <w:pPr>
        <w:autoSpaceDE w:val="0"/>
        <w:autoSpaceDN w:val="0"/>
        <w:adjustRightInd w:val="0"/>
        <w:spacing w:line="360" w:lineRule="auto"/>
        <w:ind w:left="1134" w:hanging="720"/>
        <w:jc w:val="both"/>
        <w:rPr>
          <w:rFonts w:ascii="Times New Roman" w:hAnsi="Times New Roman" w:cs="Times New Roman"/>
          <w:noProof/>
          <w:sz w:val="24"/>
          <w:szCs w:val="24"/>
        </w:rPr>
      </w:pPr>
      <w:r w:rsidRPr="005B39B6">
        <w:rPr>
          <w:rFonts w:ascii="Times New Roman" w:hAnsi="Times New Roman" w:cs="Times New Roman"/>
          <w:noProof/>
          <w:sz w:val="24"/>
          <w:szCs w:val="24"/>
        </w:rPr>
        <w:t xml:space="preserve">Liu, S. </w:t>
      </w:r>
      <w:r w:rsidRPr="005B39B6">
        <w:rPr>
          <w:rFonts w:ascii="Times New Roman" w:hAnsi="Times New Roman" w:cs="Times New Roman"/>
          <w:i/>
          <w:iCs/>
          <w:noProof/>
          <w:sz w:val="24"/>
          <w:szCs w:val="24"/>
        </w:rPr>
        <w:t>et al.</w:t>
      </w:r>
      <w:r w:rsidRPr="005B39B6">
        <w:rPr>
          <w:rFonts w:ascii="Times New Roman" w:hAnsi="Times New Roman" w:cs="Times New Roman"/>
          <w:noProof/>
          <w:sz w:val="24"/>
          <w:szCs w:val="24"/>
        </w:rPr>
        <w:t xml:space="preserve"> (2024) ‘Critical Reviews in Microbiology Porphyromonas gingivalis and the pathogenesis of Alzheimer ’ s disease’, </w:t>
      </w:r>
      <w:r w:rsidRPr="005B39B6">
        <w:rPr>
          <w:rFonts w:ascii="Times New Roman" w:hAnsi="Times New Roman" w:cs="Times New Roman"/>
          <w:i/>
          <w:iCs/>
          <w:noProof/>
          <w:sz w:val="24"/>
          <w:szCs w:val="24"/>
        </w:rPr>
        <w:t>Critical Reviews in Microbiology</w:t>
      </w:r>
      <w:r w:rsidRPr="005B39B6">
        <w:rPr>
          <w:rFonts w:ascii="Times New Roman" w:hAnsi="Times New Roman" w:cs="Times New Roman"/>
          <w:noProof/>
          <w:sz w:val="24"/>
          <w:szCs w:val="24"/>
        </w:rPr>
        <w:t>, 50(2), pp. 127–137. doi: 10.1080/1040841X.2022.2163613.</w:t>
      </w:r>
    </w:p>
    <w:p w14:paraId="6B4EE5F6" w14:textId="77777777" w:rsidR="00EA2E41" w:rsidRPr="005B39B6" w:rsidRDefault="00EA2E41" w:rsidP="00EA2E41">
      <w:pPr>
        <w:autoSpaceDE w:val="0"/>
        <w:autoSpaceDN w:val="0"/>
        <w:adjustRightInd w:val="0"/>
        <w:spacing w:line="360" w:lineRule="auto"/>
        <w:ind w:left="1134" w:hanging="720"/>
        <w:jc w:val="both"/>
        <w:rPr>
          <w:rFonts w:ascii="Times New Roman" w:hAnsi="Times New Roman" w:cs="Times New Roman"/>
          <w:noProof/>
          <w:sz w:val="24"/>
          <w:szCs w:val="24"/>
        </w:rPr>
      </w:pPr>
      <w:r w:rsidRPr="005B39B6">
        <w:rPr>
          <w:rFonts w:ascii="Times New Roman" w:hAnsi="Times New Roman" w:cs="Times New Roman"/>
          <w:noProof/>
          <w:sz w:val="24"/>
          <w:szCs w:val="24"/>
        </w:rPr>
        <w:t xml:space="preserve">Mensah, P. and Nathalie, K. (2023) ‘The potential of hyperbaric oxygen as a therapy for neurodegenerative diseases’, </w:t>
      </w:r>
      <w:r w:rsidRPr="005B39B6">
        <w:rPr>
          <w:rFonts w:ascii="Times New Roman" w:hAnsi="Times New Roman" w:cs="Times New Roman"/>
          <w:i/>
          <w:iCs/>
          <w:noProof/>
          <w:sz w:val="24"/>
          <w:szCs w:val="24"/>
        </w:rPr>
        <w:t>GeroScience</w:t>
      </w:r>
      <w:r w:rsidRPr="005B39B6">
        <w:rPr>
          <w:rFonts w:ascii="Times New Roman" w:hAnsi="Times New Roman" w:cs="Times New Roman"/>
          <w:noProof/>
          <w:sz w:val="24"/>
          <w:szCs w:val="24"/>
        </w:rPr>
        <w:t>, pp. 747–756. doi: 10.1007/s11357-022-00707-z.</w:t>
      </w:r>
    </w:p>
    <w:p w14:paraId="3ACB1E9E" w14:textId="77777777" w:rsidR="00055B84" w:rsidRDefault="00EA2E41" w:rsidP="00055B84">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lang w:val="sv-SE"/>
        </w:rPr>
      </w:pPr>
      <w:r w:rsidRPr="005B39B6">
        <w:rPr>
          <w:rFonts w:ascii="Times New Roman" w:eastAsia="Google Sans Text" w:hAnsi="Times New Roman" w:cs="Times New Roman"/>
          <w:sz w:val="24"/>
          <w:szCs w:val="24"/>
        </w:rPr>
        <w:t xml:space="preserve">Periodontitis Classification Study (2024). Periodontitis as a risk factor for cognitive decline: A review of mechanistic pathways. </w:t>
      </w:r>
      <w:r w:rsidRPr="00055B84">
        <w:rPr>
          <w:rFonts w:ascii="Times New Roman" w:eastAsia="Google Sans Text" w:hAnsi="Times New Roman" w:cs="Times New Roman"/>
          <w:i/>
          <w:iCs/>
          <w:sz w:val="24"/>
          <w:szCs w:val="24"/>
          <w:lang w:val="sv-SE"/>
        </w:rPr>
        <w:t>PMC</w:t>
      </w:r>
      <w:r w:rsidRPr="00055B84">
        <w:rPr>
          <w:rFonts w:ascii="Times New Roman" w:eastAsia="Google Sans Text" w:hAnsi="Times New Roman" w:cs="Times New Roman"/>
          <w:sz w:val="24"/>
          <w:szCs w:val="24"/>
          <w:lang w:val="sv-SE"/>
        </w:rPr>
        <w:t xml:space="preserve">. </w:t>
      </w:r>
      <w:r w:rsidRPr="00055B84">
        <w:rPr>
          <w:rFonts w:ascii="Times New Roman" w:eastAsia="Google Sans Text" w:hAnsi="Times New Roman" w:cs="Times New Roman"/>
          <w:i/>
          <w:iCs/>
          <w:sz w:val="24"/>
          <w:szCs w:val="24"/>
          <w:lang w:val="sv-SE"/>
        </w:rPr>
        <w:t xml:space="preserve">URL: </w:t>
      </w:r>
      <w:r>
        <w:fldChar w:fldCharType="begin"/>
      </w:r>
      <w:r w:rsidRPr="00055B84">
        <w:rPr>
          <w:lang w:val="sv-SE"/>
        </w:rPr>
        <w:instrText>HYPERLINK "https://pmc.ncbi.nlm.nih.gov/articles/PMC12043021/" \h</w:instrText>
      </w:r>
      <w:r>
        <w:fldChar w:fldCharType="separate"/>
      </w:r>
      <w:r w:rsidRPr="00055B84">
        <w:rPr>
          <w:rFonts w:ascii="Times New Roman" w:eastAsia="Google Sans Text" w:hAnsi="Times New Roman" w:cs="Times New Roman"/>
          <w:i/>
          <w:iCs/>
          <w:sz w:val="24"/>
          <w:szCs w:val="24"/>
          <w:u w:val="single"/>
          <w:lang w:val="sv-SE"/>
        </w:rPr>
        <w:t>https://pmc.ncbi.nlm.nih.gov/articles/PMC12043021/</w:t>
      </w:r>
      <w:r>
        <w:fldChar w:fldCharType="end"/>
      </w:r>
    </w:p>
    <w:p w14:paraId="4EA19AD6" w14:textId="77777777" w:rsidR="00055B84" w:rsidRPr="00055B84" w:rsidRDefault="00EA2E41" w:rsidP="00055B84">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proofErr w:type="spellStart"/>
      <w:r w:rsidRPr="005B39B6">
        <w:rPr>
          <w:rFonts w:ascii="Times New Roman" w:eastAsia="Google Sans Text" w:hAnsi="Times New Roman" w:cs="Times New Roman"/>
          <w:sz w:val="24"/>
          <w:szCs w:val="24"/>
        </w:rPr>
        <w:t>Ryra</w:t>
      </w:r>
      <w:proofErr w:type="spellEnd"/>
      <w:r w:rsidRPr="005B39B6">
        <w:rPr>
          <w:rFonts w:ascii="Times New Roman" w:eastAsia="Google Sans Text" w:hAnsi="Times New Roman" w:cs="Times New Roman"/>
          <w:sz w:val="24"/>
          <w:szCs w:val="24"/>
        </w:rPr>
        <w:t xml:space="preserve">, J. </w:t>
      </w:r>
      <w:r w:rsidRPr="005B39B6">
        <w:rPr>
          <w:rFonts w:ascii="Times New Roman" w:eastAsia="Google Sans Text" w:hAnsi="Times New Roman" w:cs="Times New Roman"/>
          <w:i/>
          <w:iCs/>
          <w:sz w:val="24"/>
          <w:szCs w:val="24"/>
        </w:rPr>
        <w:t>et al.</w:t>
      </w:r>
      <w:r w:rsidRPr="005B39B6">
        <w:rPr>
          <w:rFonts w:ascii="Times New Roman" w:eastAsia="Google Sans Text" w:hAnsi="Times New Roman" w:cs="Times New Roman"/>
          <w:sz w:val="24"/>
          <w:szCs w:val="24"/>
        </w:rPr>
        <w:t xml:space="preserve"> (2020). Porphyromonas gingivalis infection in rats induces an Alzheimer’s disease-like pathology in the hippocampus. </w:t>
      </w:r>
      <w:r w:rsidRPr="005B39B6">
        <w:rPr>
          <w:rFonts w:ascii="Times New Roman" w:eastAsia="Google Sans Text" w:hAnsi="Times New Roman" w:cs="Times New Roman"/>
          <w:i/>
          <w:iCs/>
          <w:sz w:val="24"/>
          <w:szCs w:val="24"/>
        </w:rPr>
        <w:t>Frontiers in Immunology</w:t>
      </w:r>
      <w:r w:rsidRPr="005B39B6">
        <w:rPr>
          <w:rFonts w:ascii="Times New Roman" w:eastAsia="Google Sans Text" w:hAnsi="Times New Roman" w:cs="Times New Roman"/>
          <w:sz w:val="24"/>
          <w:szCs w:val="24"/>
        </w:rPr>
        <w:t xml:space="preserve">, 11, 588036. </w:t>
      </w:r>
      <w:r w:rsidRPr="005B39B6">
        <w:rPr>
          <w:rFonts w:ascii="Times New Roman" w:eastAsia="Google Sans Text" w:hAnsi="Times New Roman" w:cs="Times New Roman"/>
          <w:i/>
          <w:iCs/>
          <w:sz w:val="24"/>
          <w:szCs w:val="24"/>
        </w:rPr>
        <w:t xml:space="preserve">URL: </w:t>
      </w:r>
      <w:hyperlink r:id="rId17">
        <w:r w:rsidRPr="005B39B6">
          <w:rPr>
            <w:rFonts w:ascii="Times New Roman" w:eastAsia="Google Sans Text" w:hAnsi="Times New Roman" w:cs="Times New Roman"/>
            <w:i/>
            <w:iCs/>
            <w:sz w:val="24"/>
            <w:szCs w:val="24"/>
            <w:u w:val="single"/>
          </w:rPr>
          <w:t>https://www.frontiersin.org/journals/immunology/articles/10.3389/fimmu.2020.588036/full</w:t>
        </w:r>
      </w:hyperlink>
      <w:r w:rsidRPr="005B39B6">
        <w:rPr>
          <w:rFonts w:ascii="Times New Roman" w:hAnsi="Times New Roman" w:cs="Times New Roman"/>
          <w:sz w:val="24"/>
          <w:szCs w:val="24"/>
        </w:rPr>
        <w:fldChar w:fldCharType="begin" w:fldLock="1"/>
      </w:r>
      <w:r w:rsidRPr="005B39B6">
        <w:rPr>
          <w:rFonts w:ascii="Times New Roman" w:hAnsi="Times New Roman" w:cs="Times New Roman"/>
          <w:sz w:val="24"/>
          <w:szCs w:val="24"/>
        </w:rPr>
        <w:instrText xml:space="preserve">ADDIN Mendeley Bibliography CSL_BIBLIOGRAPHY </w:instrText>
      </w:r>
      <w:r w:rsidRPr="005B39B6">
        <w:rPr>
          <w:rFonts w:ascii="Times New Roman" w:hAnsi="Times New Roman" w:cs="Times New Roman"/>
          <w:sz w:val="24"/>
          <w:szCs w:val="24"/>
        </w:rPr>
        <w:fldChar w:fldCharType="separate"/>
      </w:r>
      <w:r w:rsidR="00A875CA" w:rsidRPr="00A875CA">
        <w:rPr>
          <w:rFonts w:ascii="Times New Roman" w:hAnsi="Times New Roman" w:cs="Times New Roman"/>
          <w:noProof/>
          <w:sz w:val="24"/>
        </w:rPr>
        <w:t xml:space="preserve">Aravindraja, C. </w:t>
      </w:r>
      <w:r w:rsidR="00A875CA" w:rsidRPr="00A875CA">
        <w:rPr>
          <w:rFonts w:ascii="Times New Roman" w:hAnsi="Times New Roman" w:cs="Times New Roman"/>
          <w:i/>
          <w:iCs/>
          <w:noProof/>
          <w:sz w:val="24"/>
        </w:rPr>
        <w:t>et al.</w:t>
      </w:r>
      <w:r w:rsidR="00A875CA" w:rsidRPr="00A875CA">
        <w:rPr>
          <w:rFonts w:ascii="Times New Roman" w:hAnsi="Times New Roman" w:cs="Times New Roman"/>
          <w:noProof/>
          <w:sz w:val="24"/>
        </w:rPr>
        <w:t xml:space="preserve"> (2022) ‘Intracerebral but Not Peripheral Infection of Live Porphyromonas gingivalis Exacerbates Alzheimer ’ s Disease Like Amyloid Pathology in APP-TgCRND8 Mice’, </w:t>
      </w:r>
      <w:r w:rsidR="00A875CA" w:rsidRPr="00A875CA">
        <w:rPr>
          <w:rFonts w:ascii="Times New Roman" w:hAnsi="Times New Roman" w:cs="Times New Roman"/>
          <w:i/>
          <w:iCs/>
          <w:noProof/>
          <w:sz w:val="24"/>
        </w:rPr>
        <w:t>International Journal of Molecular Sciences Article</w:t>
      </w:r>
      <w:r w:rsidR="00A875CA" w:rsidRPr="00A875CA">
        <w:rPr>
          <w:rFonts w:ascii="Times New Roman" w:hAnsi="Times New Roman" w:cs="Times New Roman"/>
          <w:noProof/>
          <w:sz w:val="24"/>
        </w:rPr>
        <w:t>.</w:t>
      </w:r>
    </w:p>
    <w:p w14:paraId="50500335" w14:textId="77777777" w:rsidR="00055B84" w:rsidRDefault="00A875CA" w:rsidP="00055B84">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r w:rsidRPr="00A875CA">
        <w:rPr>
          <w:rFonts w:ascii="Times New Roman" w:hAnsi="Times New Roman" w:cs="Times New Roman"/>
          <w:noProof/>
          <w:sz w:val="24"/>
        </w:rPr>
        <w:t xml:space="preserve">Chen, Y. and Yu, Y. (2023) ‘Tau and neuroinflammation in Alzheimer ’ s disease : interplay mechanisms and clinical translation’, </w:t>
      </w:r>
      <w:r w:rsidRPr="00A875CA">
        <w:rPr>
          <w:rFonts w:ascii="Times New Roman" w:hAnsi="Times New Roman" w:cs="Times New Roman"/>
          <w:i/>
          <w:iCs/>
          <w:noProof/>
          <w:sz w:val="24"/>
        </w:rPr>
        <w:t>Journal of Neuroinflammation</w:t>
      </w:r>
      <w:r w:rsidRPr="00A875CA">
        <w:rPr>
          <w:rFonts w:ascii="Times New Roman" w:hAnsi="Times New Roman" w:cs="Times New Roman"/>
          <w:noProof/>
          <w:sz w:val="24"/>
        </w:rPr>
        <w:t>, pp. 1–21. doi: 10.1186/s12974-023-02853-3.</w:t>
      </w:r>
    </w:p>
    <w:p w14:paraId="26871563" w14:textId="77777777" w:rsidR="00055B84" w:rsidRDefault="00A875CA" w:rsidP="00055B84">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r w:rsidRPr="00A875CA">
        <w:rPr>
          <w:rFonts w:ascii="Times New Roman" w:hAnsi="Times New Roman" w:cs="Times New Roman"/>
          <w:noProof/>
          <w:sz w:val="24"/>
        </w:rPr>
        <w:t xml:space="preserve">Chuang, W., Yang, C. and Wang, H. (2024) ‘ScienceDirect The mechanisms of Porphyromonas gingivalis e derived outer membrane vesicles-induced neurotoxicity and microglia activation’, </w:t>
      </w:r>
      <w:r w:rsidRPr="00A875CA">
        <w:rPr>
          <w:rFonts w:ascii="Times New Roman" w:hAnsi="Times New Roman" w:cs="Times New Roman"/>
          <w:i/>
          <w:iCs/>
          <w:noProof/>
          <w:sz w:val="24"/>
        </w:rPr>
        <w:t>Journal of Dental Sciences</w:t>
      </w:r>
      <w:r w:rsidRPr="00A875CA">
        <w:rPr>
          <w:rFonts w:ascii="Times New Roman" w:hAnsi="Times New Roman" w:cs="Times New Roman"/>
          <w:noProof/>
          <w:sz w:val="24"/>
        </w:rPr>
        <w:t xml:space="preserve">, 19(3), pp. 1434–1442. doi: </w:t>
      </w:r>
      <w:r w:rsidRPr="00A875CA">
        <w:rPr>
          <w:rFonts w:ascii="Times New Roman" w:hAnsi="Times New Roman" w:cs="Times New Roman"/>
          <w:noProof/>
          <w:sz w:val="24"/>
        </w:rPr>
        <w:lastRenderedPageBreak/>
        <w:t>10.1016/j.jds.2024.04.002.</w:t>
      </w:r>
    </w:p>
    <w:p w14:paraId="666339EB" w14:textId="77777777" w:rsidR="00055B84" w:rsidRDefault="00A875CA" w:rsidP="00055B84">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r w:rsidRPr="00A875CA">
        <w:rPr>
          <w:rFonts w:ascii="Times New Roman" w:hAnsi="Times New Roman" w:cs="Times New Roman"/>
          <w:noProof/>
          <w:sz w:val="24"/>
        </w:rPr>
        <w:t>Fan, Q., Chen, Y. and Fu, Y. (2024) ‘Enhancement of cognitive function in mice with Alzheimer ’ s disease through hyperbaric oxygen-induced activation of cellular autophagy’, (September), pp. 1–9. doi: 10.3389/fnagi.2024.1418081.</w:t>
      </w:r>
    </w:p>
    <w:p w14:paraId="395000CA" w14:textId="77777777" w:rsidR="00055B84" w:rsidRDefault="00A875CA" w:rsidP="00055B84">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r w:rsidRPr="00A875CA">
        <w:rPr>
          <w:rFonts w:ascii="Times New Roman" w:hAnsi="Times New Roman" w:cs="Times New Roman"/>
          <w:noProof/>
          <w:sz w:val="24"/>
        </w:rPr>
        <w:t xml:space="preserve">Gui, S. </w:t>
      </w:r>
      <w:r w:rsidRPr="00A875CA">
        <w:rPr>
          <w:rFonts w:ascii="Times New Roman" w:hAnsi="Times New Roman" w:cs="Times New Roman"/>
          <w:i/>
          <w:iCs/>
          <w:noProof/>
          <w:sz w:val="24"/>
        </w:rPr>
        <w:t>et al.</w:t>
      </w:r>
      <w:r w:rsidRPr="00A875CA">
        <w:rPr>
          <w:rFonts w:ascii="Times New Roman" w:hAnsi="Times New Roman" w:cs="Times New Roman"/>
          <w:noProof/>
          <w:sz w:val="24"/>
        </w:rPr>
        <w:t xml:space="preserve"> (2025) ‘Lipopolysaccharides from Porphyromonas gingivalis indirectly induce neuronal GSK3β-dependent synaptic defects and cause cognitive decline in a low-amyloid- β-concentration environment in Alzheimer’s disease’, </w:t>
      </w:r>
      <w:r w:rsidRPr="00A875CA">
        <w:rPr>
          <w:rFonts w:ascii="Times New Roman" w:hAnsi="Times New Roman" w:cs="Times New Roman"/>
          <w:i/>
          <w:iCs/>
          <w:noProof/>
          <w:sz w:val="24"/>
        </w:rPr>
        <w:t>Journal of Alzheimer’s Disease</w:t>
      </w:r>
      <w:r w:rsidRPr="00A875CA">
        <w:rPr>
          <w:rFonts w:ascii="Times New Roman" w:hAnsi="Times New Roman" w:cs="Times New Roman"/>
          <w:noProof/>
          <w:sz w:val="24"/>
        </w:rPr>
        <w:t>, 105(1), pp. 302–316.</w:t>
      </w:r>
    </w:p>
    <w:p w14:paraId="1194D42A" w14:textId="77777777" w:rsidR="00055B84" w:rsidRDefault="00A875CA" w:rsidP="00055B84">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r w:rsidRPr="00A875CA">
        <w:rPr>
          <w:rFonts w:ascii="Times New Roman" w:hAnsi="Times New Roman" w:cs="Times New Roman"/>
          <w:noProof/>
          <w:sz w:val="24"/>
        </w:rPr>
        <w:t xml:space="preserve">Haditsch, U. </w:t>
      </w:r>
      <w:r w:rsidRPr="00A875CA">
        <w:rPr>
          <w:rFonts w:ascii="Times New Roman" w:hAnsi="Times New Roman" w:cs="Times New Roman"/>
          <w:i/>
          <w:iCs/>
          <w:noProof/>
          <w:sz w:val="24"/>
        </w:rPr>
        <w:t>et al.</w:t>
      </w:r>
      <w:r w:rsidRPr="00A875CA">
        <w:rPr>
          <w:rFonts w:ascii="Times New Roman" w:hAnsi="Times New Roman" w:cs="Times New Roman"/>
          <w:noProof/>
          <w:sz w:val="24"/>
        </w:rPr>
        <w:t xml:space="preserve"> (2020) ‘Alzheimer ’ s Disease-Like Neurodegeneration in Porphyromonas gingivalis Infected Neurons with Persistent Expression of Active Gingipains’, </w:t>
      </w:r>
      <w:r w:rsidRPr="00A875CA">
        <w:rPr>
          <w:rFonts w:ascii="Times New Roman" w:hAnsi="Times New Roman" w:cs="Times New Roman"/>
          <w:i/>
          <w:iCs/>
          <w:noProof/>
          <w:sz w:val="24"/>
        </w:rPr>
        <w:t>Journal of Alzheimer’s Disease</w:t>
      </w:r>
      <w:r w:rsidRPr="00A875CA">
        <w:rPr>
          <w:rFonts w:ascii="Times New Roman" w:hAnsi="Times New Roman" w:cs="Times New Roman"/>
          <w:noProof/>
          <w:sz w:val="24"/>
        </w:rPr>
        <w:t>, 75, pp. 1361–1376. doi: 10.3233/JAD-200393.</w:t>
      </w:r>
    </w:p>
    <w:p w14:paraId="5B9CF19B" w14:textId="77777777" w:rsidR="00055B84" w:rsidRDefault="00A875CA" w:rsidP="00055B84">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r w:rsidRPr="00A875CA">
        <w:rPr>
          <w:rFonts w:ascii="Times New Roman" w:hAnsi="Times New Roman" w:cs="Times New Roman"/>
          <w:noProof/>
          <w:sz w:val="24"/>
        </w:rPr>
        <w:t xml:space="preserve">Hampel, H. </w:t>
      </w:r>
      <w:r w:rsidRPr="00A875CA">
        <w:rPr>
          <w:rFonts w:ascii="Times New Roman" w:hAnsi="Times New Roman" w:cs="Times New Roman"/>
          <w:i/>
          <w:iCs/>
          <w:noProof/>
          <w:sz w:val="24"/>
        </w:rPr>
        <w:t>et al.</w:t>
      </w:r>
      <w:r w:rsidRPr="00A875CA">
        <w:rPr>
          <w:rFonts w:ascii="Times New Roman" w:hAnsi="Times New Roman" w:cs="Times New Roman"/>
          <w:noProof/>
          <w:sz w:val="24"/>
        </w:rPr>
        <w:t xml:space="preserve"> (2021) ‘The Amyloid- β Pathway in Alzheimer ’ s Disease’, (July). doi:</w:t>
      </w:r>
      <w:r w:rsidR="00055B84">
        <w:rPr>
          <w:rFonts w:ascii="Times New Roman" w:hAnsi="Times New Roman" w:cs="Times New Roman"/>
          <w:noProof/>
          <w:sz w:val="24"/>
        </w:rPr>
        <w:t xml:space="preserve"> </w:t>
      </w:r>
      <w:r w:rsidRPr="00A875CA">
        <w:rPr>
          <w:rFonts w:ascii="Times New Roman" w:hAnsi="Times New Roman" w:cs="Times New Roman"/>
          <w:noProof/>
          <w:sz w:val="24"/>
        </w:rPr>
        <w:t>10.1038/s41380-021-01249-0.</w:t>
      </w:r>
    </w:p>
    <w:p w14:paraId="52BBAD56" w14:textId="77777777" w:rsidR="00055B84" w:rsidRDefault="00A875CA" w:rsidP="00055B84">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r w:rsidRPr="00A875CA">
        <w:rPr>
          <w:rFonts w:ascii="Times New Roman" w:hAnsi="Times New Roman" w:cs="Times New Roman"/>
          <w:noProof/>
          <w:sz w:val="24"/>
        </w:rPr>
        <w:t xml:space="preserve">Jin, R. </w:t>
      </w:r>
      <w:r w:rsidRPr="00A875CA">
        <w:rPr>
          <w:rFonts w:ascii="Times New Roman" w:hAnsi="Times New Roman" w:cs="Times New Roman"/>
          <w:i/>
          <w:iCs/>
          <w:noProof/>
          <w:sz w:val="24"/>
        </w:rPr>
        <w:t>et al.</w:t>
      </w:r>
      <w:r w:rsidRPr="00A875CA">
        <w:rPr>
          <w:rFonts w:ascii="Times New Roman" w:hAnsi="Times New Roman" w:cs="Times New Roman"/>
          <w:noProof/>
          <w:sz w:val="24"/>
        </w:rPr>
        <w:t xml:space="preserve"> (2023) ‘Porphyromonas gingivalis -induced periodontitis could contribute to cognitive impairment in Sprague – Dawley rats via the P38 MAPK signaling pathway’, (March), pp. 1–14. doi: 10.3389/fncel.2023.1141339.</w:t>
      </w:r>
    </w:p>
    <w:p w14:paraId="3DC6EB55" w14:textId="77777777" w:rsidR="00055B84" w:rsidRPr="00055B84" w:rsidRDefault="00A875CA" w:rsidP="00055B84">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lang w:val="sv-SE"/>
        </w:rPr>
      </w:pPr>
      <w:r w:rsidRPr="00A875CA">
        <w:rPr>
          <w:rFonts w:ascii="Times New Roman" w:hAnsi="Times New Roman" w:cs="Times New Roman"/>
          <w:noProof/>
          <w:sz w:val="24"/>
        </w:rPr>
        <w:t xml:space="preserve">Kent, S. A., Spires, T. L. and Claire, J. (2020) </w:t>
      </w:r>
      <w:r w:rsidRPr="00A875CA">
        <w:rPr>
          <w:rFonts w:ascii="Times New Roman" w:hAnsi="Times New Roman" w:cs="Times New Roman"/>
          <w:i/>
          <w:iCs/>
          <w:noProof/>
          <w:sz w:val="24"/>
        </w:rPr>
        <w:t>The physiological roles of tau and Aβ : implications for Alzheimer ’ s disease pathology and therapeutics</w:t>
      </w:r>
      <w:r w:rsidRPr="00A875CA">
        <w:rPr>
          <w:rFonts w:ascii="Times New Roman" w:hAnsi="Times New Roman" w:cs="Times New Roman"/>
          <w:noProof/>
          <w:sz w:val="24"/>
        </w:rPr>
        <w:t xml:space="preserve">, </w:t>
      </w:r>
      <w:r w:rsidRPr="00A875CA">
        <w:rPr>
          <w:rFonts w:ascii="Times New Roman" w:hAnsi="Times New Roman" w:cs="Times New Roman"/>
          <w:i/>
          <w:iCs/>
          <w:noProof/>
          <w:sz w:val="24"/>
        </w:rPr>
        <w:t>Acta Neuropathologica</w:t>
      </w:r>
      <w:r w:rsidRPr="00A875CA">
        <w:rPr>
          <w:rFonts w:ascii="Times New Roman" w:hAnsi="Times New Roman" w:cs="Times New Roman"/>
          <w:noProof/>
          <w:sz w:val="24"/>
        </w:rPr>
        <w:t xml:space="preserve">. </w:t>
      </w:r>
      <w:r w:rsidRPr="00055B84">
        <w:rPr>
          <w:rFonts w:ascii="Times New Roman" w:hAnsi="Times New Roman" w:cs="Times New Roman"/>
          <w:noProof/>
          <w:sz w:val="24"/>
          <w:lang w:val="sv-SE"/>
        </w:rPr>
        <w:t>Springer Berlin Heidelberg. doi: 10.1007/s00401-020-02196-w.</w:t>
      </w:r>
    </w:p>
    <w:p w14:paraId="28955825" w14:textId="77777777" w:rsidR="00055B84" w:rsidRDefault="00A875CA" w:rsidP="00055B84">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r w:rsidRPr="00055B84">
        <w:rPr>
          <w:rFonts w:ascii="Times New Roman" w:hAnsi="Times New Roman" w:cs="Times New Roman"/>
          <w:noProof/>
          <w:sz w:val="24"/>
          <w:lang w:val="sv-SE"/>
        </w:rPr>
        <w:t xml:space="preserve">Kong, L. </w:t>
      </w:r>
      <w:r w:rsidRPr="00055B84">
        <w:rPr>
          <w:rFonts w:ascii="Times New Roman" w:hAnsi="Times New Roman" w:cs="Times New Roman"/>
          <w:i/>
          <w:iCs/>
          <w:noProof/>
          <w:sz w:val="24"/>
          <w:lang w:val="sv-SE"/>
        </w:rPr>
        <w:t>et al.</w:t>
      </w:r>
      <w:r w:rsidRPr="00055B84">
        <w:rPr>
          <w:rFonts w:ascii="Times New Roman" w:hAnsi="Times New Roman" w:cs="Times New Roman"/>
          <w:noProof/>
          <w:sz w:val="24"/>
          <w:lang w:val="sv-SE"/>
        </w:rPr>
        <w:t xml:space="preserve"> </w:t>
      </w:r>
      <w:r w:rsidRPr="00A875CA">
        <w:rPr>
          <w:rFonts w:ascii="Times New Roman" w:hAnsi="Times New Roman" w:cs="Times New Roman"/>
          <w:noProof/>
          <w:sz w:val="24"/>
        </w:rPr>
        <w:t>(2025) ‘Periodontitis-induced neuroinflammation triggers IFITM3-Aβ axis to cause alzheimer ’ s disease-like pathology and cognitive decline’.</w:t>
      </w:r>
    </w:p>
    <w:p w14:paraId="2D88A69B" w14:textId="77777777" w:rsidR="00055B84" w:rsidRDefault="00A875CA" w:rsidP="00055B84">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r w:rsidRPr="00A875CA">
        <w:rPr>
          <w:rFonts w:ascii="Times New Roman" w:hAnsi="Times New Roman" w:cs="Times New Roman"/>
          <w:noProof/>
          <w:sz w:val="24"/>
        </w:rPr>
        <w:t xml:space="preserve">Liu, G. </w:t>
      </w:r>
      <w:r w:rsidRPr="00A875CA">
        <w:rPr>
          <w:rFonts w:ascii="Times New Roman" w:hAnsi="Times New Roman" w:cs="Times New Roman"/>
          <w:i/>
          <w:iCs/>
          <w:noProof/>
          <w:sz w:val="24"/>
        </w:rPr>
        <w:t>et al.</w:t>
      </w:r>
      <w:r w:rsidRPr="00A875CA">
        <w:rPr>
          <w:rFonts w:ascii="Times New Roman" w:hAnsi="Times New Roman" w:cs="Times New Roman"/>
          <w:noProof/>
          <w:sz w:val="24"/>
        </w:rPr>
        <w:t xml:space="preserve"> (2023) ‘Redox Biology Oxygen metabolism abnormality and Alzheimer ’ s disease : An update’, </w:t>
      </w:r>
      <w:r w:rsidRPr="00A875CA">
        <w:rPr>
          <w:rFonts w:ascii="Times New Roman" w:hAnsi="Times New Roman" w:cs="Times New Roman"/>
          <w:i/>
          <w:iCs/>
          <w:noProof/>
          <w:sz w:val="24"/>
        </w:rPr>
        <w:t>Redox Biology</w:t>
      </w:r>
      <w:r w:rsidRPr="00A875CA">
        <w:rPr>
          <w:rFonts w:ascii="Times New Roman" w:hAnsi="Times New Roman" w:cs="Times New Roman"/>
          <w:noProof/>
          <w:sz w:val="24"/>
        </w:rPr>
        <w:t>, 68(November), p. 102955. doi: 10.1016/j.redox.2023.102955.</w:t>
      </w:r>
    </w:p>
    <w:p w14:paraId="749FA648" w14:textId="77777777" w:rsidR="00055B84" w:rsidRDefault="00A875CA" w:rsidP="00055B84">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r w:rsidRPr="00055B84">
        <w:rPr>
          <w:rFonts w:ascii="Times New Roman" w:hAnsi="Times New Roman" w:cs="Times New Roman"/>
          <w:noProof/>
          <w:sz w:val="24"/>
          <w:lang w:val="fi-FI"/>
        </w:rPr>
        <w:t xml:space="preserve">Mukaetova-ladinska, E. B. </w:t>
      </w:r>
      <w:r w:rsidRPr="00055B84">
        <w:rPr>
          <w:rFonts w:ascii="Times New Roman" w:hAnsi="Times New Roman" w:cs="Times New Roman"/>
          <w:i/>
          <w:iCs/>
          <w:noProof/>
          <w:sz w:val="24"/>
          <w:lang w:val="fi-FI"/>
        </w:rPr>
        <w:t>et al.</w:t>
      </w:r>
      <w:r w:rsidRPr="00055B84">
        <w:rPr>
          <w:rFonts w:ascii="Times New Roman" w:hAnsi="Times New Roman" w:cs="Times New Roman"/>
          <w:noProof/>
          <w:sz w:val="24"/>
          <w:lang w:val="fi-FI"/>
        </w:rPr>
        <w:t xml:space="preserve"> </w:t>
      </w:r>
      <w:r w:rsidRPr="00A875CA">
        <w:rPr>
          <w:rFonts w:ascii="Times New Roman" w:hAnsi="Times New Roman" w:cs="Times New Roman"/>
          <w:noProof/>
          <w:sz w:val="24"/>
        </w:rPr>
        <w:t xml:space="preserve">(2023) ‘Exploration of Neuroprotective Therapy Hyperbaric oxygen therapy — a new hope for Alzheimer ’ s patients : a case report and literature </w:t>
      </w:r>
      <w:r w:rsidRPr="00A875CA">
        <w:rPr>
          <w:rFonts w:ascii="Times New Roman" w:hAnsi="Times New Roman" w:cs="Times New Roman"/>
          <w:noProof/>
          <w:sz w:val="24"/>
        </w:rPr>
        <w:lastRenderedPageBreak/>
        <w:t>review’, pp. 457–469. doi: 10.37349/edd.2023.00029.</w:t>
      </w:r>
    </w:p>
    <w:p w14:paraId="70CC6CA4" w14:textId="77777777" w:rsidR="00055B84" w:rsidRDefault="00A875CA" w:rsidP="00055B84">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r w:rsidRPr="00A875CA">
        <w:rPr>
          <w:rFonts w:ascii="Times New Roman" w:hAnsi="Times New Roman" w:cs="Times New Roman"/>
          <w:noProof/>
          <w:sz w:val="24"/>
        </w:rPr>
        <w:t xml:space="preserve">Nam, Y. </w:t>
      </w:r>
      <w:r w:rsidRPr="00A875CA">
        <w:rPr>
          <w:rFonts w:ascii="Times New Roman" w:hAnsi="Times New Roman" w:cs="Times New Roman"/>
          <w:i/>
          <w:iCs/>
          <w:noProof/>
          <w:sz w:val="24"/>
        </w:rPr>
        <w:t>et al.</w:t>
      </w:r>
      <w:r w:rsidRPr="00A875CA">
        <w:rPr>
          <w:rFonts w:ascii="Times New Roman" w:hAnsi="Times New Roman" w:cs="Times New Roman"/>
          <w:noProof/>
          <w:sz w:val="24"/>
        </w:rPr>
        <w:t xml:space="preserve"> (2025) ‘Dual modulation of amyloid beta and tau aggregation and dissociation in Alzheimer ’ s disease : a comprehensive review of the characteristics and therapeutic strategies’, </w:t>
      </w:r>
      <w:r w:rsidRPr="00A875CA">
        <w:rPr>
          <w:rFonts w:ascii="Times New Roman" w:hAnsi="Times New Roman" w:cs="Times New Roman"/>
          <w:i/>
          <w:iCs/>
          <w:noProof/>
          <w:sz w:val="24"/>
        </w:rPr>
        <w:t>Translational Neurodegeneration</w:t>
      </w:r>
      <w:r w:rsidRPr="00A875CA">
        <w:rPr>
          <w:rFonts w:ascii="Times New Roman" w:hAnsi="Times New Roman" w:cs="Times New Roman"/>
          <w:noProof/>
          <w:sz w:val="24"/>
        </w:rPr>
        <w:t>, pp. 1–16. doi: 10.1186/s40035-025-00479-4.</w:t>
      </w:r>
    </w:p>
    <w:p w14:paraId="3A15C6D2" w14:textId="77777777" w:rsidR="00055B84" w:rsidRDefault="00A875CA" w:rsidP="00055B84">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r w:rsidRPr="00A875CA">
        <w:rPr>
          <w:rFonts w:ascii="Times New Roman" w:hAnsi="Times New Roman" w:cs="Times New Roman"/>
          <w:noProof/>
          <w:sz w:val="24"/>
        </w:rPr>
        <w:t xml:space="preserve">Ortega, M. A. </w:t>
      </w:r>
      <w:r w:rsidRPr="00A875CA">
        <w:rPr>
          <w:rFonts w:ascii="Times New Roman" w:hAnsi="Times New Roman" w:cs="Times New Roman"/>
          <w:i/>
          <w:iCs/>
          <w:noProof/>
          <w:sz w:val="24"/>
        </w:rPr>
        <w:t>et al.</w:t>
      </w:r>
      <w:r w:rsidRPr="00A875CA">
        <w:rPr>
          <w:rFonts w:ascii="Times New Roman" w:hAnsi="Times New Roman" w:cs="Times New Roman"/>
          <w:noProof/>
          <w:sz w:val="24"/>
        </w:rPr>
        <w:t xml:space="preserve"> (2021) ‘A general overview on the hyperbaric oxygen therapy: Applications, mechanisms and translational opportunities’, </w:t>
      </w:r>
      <w:r w:rsidRPr="00A875CA">
        <w:rPr>
          <w:rFonts w:ascii="Times New Roman" w:hAnsi="Times New Roman" w:cs="Times New Roman"/>
          <w:i/>
          <w:iCs/>
          <w:noProof/>
          <w:sz w:val="24"/>
        </w:rPr>
        <w:t>Medicina (Lithuania)</w:t>
      </w:r>
      <w:r w:rsidRPr="00A875CA">
        <w:rPr>
          <w:rFonts w:ascii="Times New Roman" w:hAnsi="Times New Roman" w:cs="Times New Roman"/>
          <w:noProof/>
          <w:sz w:val="24"/>
        </w:rPr>
        <w:t>, 57(9), pp. 1–25. doi: 10.3390/medicina57090864.</w:t>
      </w:r>
    </w:p>
    <w:p w14:paraId="7C0FA47D" w14:textId="77777777" w:rsidR="00055B84" w:rsidRDefault="00A875CA" w:rsidP="00055B84">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r w:rsidRPr="00055B84">
        <w:rPr>
          <w:rFonts w:ascii="Times New Roman" w:hAnsi="Times New Roman" w:cs="Times New Roman"/>
          <w:noProof/>
          <w:sz w:val="24"/>
          <w:lang w:val="fi-FI"/>
        </w:rPr>
        <w:t xml:space="preserve">Picón-pagès, P. </w:t>
      </w:r>
      <w:r w:rsidRPr="00055B84">
        <w:rPr>
          <w:rFonts w:ascii="Times New Roman" w:hAnsi="Times New Roman" w:cs="Times New Roman"/>
          <w:i/>
          <w:iCs/>
          <w:noProof/>
          <w:sz w:val="24"/>
          <w:lang w:val="fi-FI"/>
        </w:rPr>
        <w:t>et al.</w:t>
      </w:r>
      <w:r w:rsidRPr="00055B84">
        <w:rPr>
          <w:rFonts w:ascii="Times New Roman" w:hAnsi="Times New Roman" w:cs="Times New Roman"/>
          <w:noProof/>
          <w:sz w:val="24"/>
          <w:lang w:val="fi-FI"/>
        </w:rPr>
        <w:t xml:space="preserve"> </w:t>
      </w:r>
      <w:r w:rsidRPr="00A875CA">
        <w:rPr>
          <w:rFonts w:ascii="Times New Roman" w:hAnsi="Times New Roman" w:cs="Times New Roman"/>
          <w:noProof/>
          <w:sz w:val="24"/>
        </w:rPr>
        <w:t>(2020) ‘Amyloid Beta-Peptide Increases BACE1 Translation through the Phosphorylation of the Eukaryotic Initiation Factor-2 α’, 2020.</w:t>
      </w:r>
    </w:p>
    <w:p w14:paraId="67080FF6" w14:textId="77777777" w:rsidR="00055B84" w:rsidRDefault="00A875CA" w:rsidP="00055B84">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r w:rsidRPr="00A875CA">
        <w:rPr>
          <w:rFonts w:ascii="Times New Roman" w:hAnsi="Times New Roman" w:cs="Times New Roman"/>
          <w:noProof/>
          <w:sz w:val="24"/>
        </w:rPr>
        <w:t xml:space="preserve">Rawat, P. </w:t>
      </w:r>
      <w:r w:rsidRPr="00A875CA">
        <w:rPr>
          <w:rFonts w:ascii="Times New Roman" w:hAnsi="Times New Roman" w:cs="Times New Roman"/>
          <w:i/>
          <w:iCs/>
          <w:noProof/>
          <w:sz w:val="24"/>
        </w:rPr>
        <w:t>et al.</w:t>
      </w:r>
      <w:r w:rsidRPr="00A875CA">
        <w:rPr>
          <w:rFonts w:ascii="Times New Roman" w:hAnsi="Times New Roman" w:cs="Times New Roman"/>
          <w:noProof/>
          <w:sz w:val="24"/>
        </w:rPr>
        <w:t xml:space="preserve"> (2022) ‘Phosphorylated Tau in Alzheimer ’ s Disease and Other Tauopathies’.</w:t>
      </w:r>
    </w:p>
    <w:p w14:paraId="4B71B58D" w14:textId="77777777" w:rsidR="00055B84" w:rsidRDefault="00A875CA" w:rsidP="00055B84">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r w:rsidRPr="00A875CA">
        <w:rPr>
          <w:rFonts w:ascii="Times New Roman" w:hAnsi="Times New Roman" w:cs="Times New Roman"/>
          <w:noProof/>
          <w:sz w:val="24"/>
        </w:rPr>
        <w:t xml:space="preserve">Sayad, A. </w:t>
      </w:r>
      <w:r w:rsidRPr="00A875CA">
        <w:rPr>
          <w:rFonts w:ascii="Times New Roman" w:hAnsi="Times New Roman" w:cs="Times New Roman"/>
          <w:i/>
          <w:iCs/>
          <w:noProof/>
          <w:sz w:val="24"/>
        </w:rPr>
        <w:t>et al.</w:t>
      </w:r>
      <w:r w:rsidRPr="00A875CA">
        <w:rPr>
          <w:rFonts w:ascii="Times New Roman" w:hAnsi="Times New Roman" w:cs="Times New Roman"/>
          <w:noProof/>
          <w:sz w:val="24"/>
        </w:rPr>
        <w:t xml:space="preserve"> (2022) ‘The Emerging Roles of the β -Secretase BACE1 and the Long Non-coding RNA BACE1-AS in Human Diseases : A Focus on Neurodegenerative Diseases and Cancer’, 14(March), pp. 1–10. doi: 10.3389/fnagi.2022.853180.</w:t>
      </w:r>
    </w:p>
    <w:p w14:paraId="1D4E5CB5" w14:textId="77777777" w:rsidR="00055B84" w:rsidRDefault="00A875CA" w:rsidP="00055B84">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r w:rsidRPr="00A875CA">
        <w:rPr>
          <w:rFonts w:ascii="Times New Roman" w:hAnsi="Times New Roman" w:cs="Times New Roman"/>
          <w:noProof/>
          <w:sz w:val="24"/>
        </w:rPr>
        <w:t xml:space="preserve">Sehar, U. </w:t>
      </w:r>
      <w:r w:rsidRPr="00A875CA">
        <w:rPr>
          <w:rFonts w:ascii="Times New Roman" w:hAnsi="Times New Roman" w:cs="Times New Roman"/>
          <w:i/>
          <w:iCs/>
          <w:noProof/>
          <w:sz w:val="24"/>
        </w:rPr>
        <w:t>et al.</w:t>
      </w:r>
      <w:r w:rsidRPr="00A875CA">
        <w:rPr>
          <w:rFonts w:ascii="Times New Roman" w:hAnsi="Times New Roman" w:cs="Times New Roman"/>
          <w:noProof/>
          <w:sz w:val="24"/>
        </w:rPr>
        <w:t xml:space="preserve"> (2022) ‘Amyloid Beta in Aging and Alzheimer ’ s Disease’.</w:t>
      </w:r>
    </w:p>
    <w:p w14:paraId="0138587B" w14:textId="77777777" w:rsidR="00055B84" w:rsidRDefault="00A875CA" w:rsidP="00055B84">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r w:rsidRPr="00A875CA">
        <w:rPr>
          <w:rFonts w:ascii="Times New Roman" w:hAnsi="Times New Roman" w:cs="Times New Roman"/>
          <w:noProof/>
          <w:sz w:val="24"/>
        </w:rPr>
        <w:t xml:space="preserve">Shapira, R. </w:t>
      </w:r>
      <w:r w:rsidRPr="00A875CA">
        <w:rPr>
          <w:rFonts w:ascii="Times New Roman" w:hAnsi="Times New Roman" w:cs="Times New Roman"/>
          <w:i/>
          <w:iCs/>
          <w:noProof/>
          <w:sz w:val="24"/>
        </w:rPr>
        <w:t>et al.</w:t>
      </w:r>
      <w:r w:rsidRPr="00A875CA">
        <w:rPr>
          <w:rFonts w:ascii="Times New Roman" w:hAnsi="Times New Roman" w:cs="Times New Roman"/>
          <w:noProof/>
          <w:sz w:val="24"/>
        </w:rPr>
        <w:t xml:space="preserve"> (2021) ‘Hyperbaric oxygen therapy alleviates vascular dysfunction and amyloid burden in an Alzheimer ’ s disease mouse model and in elderly patients’, 13(17), pp. 20935–20961.</w:t>
      </w:r>
    </w:p>
    <w:p w14:paraId="24DF06E6" w14:textId="77777777" w:rsidR="00055B84" w:rsidRDefault="00A875CA" w:rsidP="00055B84">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r w:rsidRPr="00A875CA">
        <w:rPr>
          <w:rFonts w:ascii="Times New Roman" w:hAnsi="Times New Roman" w:cs="Times New Roman"/>
          <w:noProof/>
          <w:sz w:val="24"/>
        </w:rPr>
        <w:t xml:space="preserve">Tao, B. </w:t>
      </w:r>
      <w:r w:rsidRPr="00A875CA">
        <w:rPr>
          <w:rFonts w:ascii="Times New Roman" w:hAnsi="Times New Roman" w:cs="Times New Roman"/>
          <w:i/>
          <w:iCs/>
          <w:noProof/>
          <w:sz w:val="24"/>
        </w:rPr>
        <w:t>et al.</w:t>
      </w:r>
      <w:r w:rsidRPr="00A875CA">
        <w:rPr>
          <w:rFonts w:ascii="Times New Roman" w:hAnsi="Times New Roman" w:cs="Times New Roman"/>
          <w:noProof/>
          <w:sz w:val="24"/>
        </w:rPr>
        <w:t xml:space="preserve"> (2024) ‘The relationship between hypoxia and Alzheimer ’ s disease : an updated review’, (July), pp. 1–15. doi: 10.3389/fnagi.2024.1402774.</w:t>
      </w:r>
    </w:p>
    <w:p w14:paraId="186F519F" w14:textId="77777777" w:rsidR="00055B84" w:rsidRDefault="00A875CA" w:rsidP="00055B84">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r w:rsidRPr="00A875CA">
        <w:rPr>
          <w:rFonts w:ascii="Times New Roman" w:hAnsi="Times New Roman" w:cs="Times New Roman"/>
          <w:noProof/>
          <w:sz w:val="24"/>
        </w:rPr>
        <w:t>Tenchov, R., Sasso, J. M. and Zhou, Q. A. (2024) ‘Alzheimer ’ s Disease : Exploring the Landscape of Cognitive Decline’. doi: 10.1021/acschemneuro.4c00339.</w:t>
      </w:r>
    </w:p>
    <w:p w14:paraId="2FFA77FF" w14:textId="77777777" w:rsidR="00055B84" w:rsidRDefault="00A875CA" w:rsidP="00055B84">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r w:rsidRPr="00A875CA">
        <w:rPr>
          <w:rFonts w:ascii="Times New Roman" w:hAnsi="Times New Roman" w:cs="Times New Roman"/>
          <w:noProof/>
          <w:sz w:val="24"/>
        </w:rPr>
        <w:t xml:space="preserve">Wang, Y. </w:t>
      </w:r>
      <w:r w:rsidRPr="00A875CA">
        <w:rPr>
          <w:rFonts w:ascii="Times New Roman" w:hAnsi="Times New Roman" w:cs="Times New Roman"/>
          <w:i/>
          <w:iCs/>
          <w:noProof/>
          <w:sz w:val="24"/>
        </w:rPr>
        <w:t>et al.</w:t>
      </w:r>
      <w:r w:rsidRPr="00A875CA">
        <w:rPr>
          <w:rFonts w:ascii="Times New Roman" w:hAnsi="Times New Roman" w:cs="Times New Roman"/>
          <w:noProof/>
          <w:sz w:val="24"/>
        </w:rPr>
        <w:t xml:space="preserve"> (2024) ‘Early hyperbaric oxygen therapy through regulating the HIF-1α signaling pathway  attenuates Neuroinflammation and behavioral deficits in a mouse model of Sepsis-associated encephalopathy.’, </w:t>
      </w:r>
      <w:r w:rsidRPr="00A875CA">
        <w:rPr>
          <w:rFonts w:ascii="Times New Roman" w:hAnsi="Times New Roman" w:cs="Times New Roman"/>
          <w:i/>
          <w:iCs/>
          <w:noProof/>
          <w:sz w:val="24"/>
        </w:rPr>
        <w:t>Journal of neuroimmunology</w:t>
      </w:r>
      <w:r w:rsidRPr="00A875CA">
        <w:rPr>
          <w:rFonts w:ascii="Times New Roman" w:hAnsi="Times New Roman" w:cs="Times New Roman"/>
          <w:noProof/>
          <w:sz w:val="24"/>
        </w:rPr>
        <w:t xml:space="preserve">, 391, p. </w:t>
      </w:r>
      <w:r w:rsidRPr="00A875CA">
        <w:rPr>
          <w:rFonts w:ascii="Times New Roman" w:hAnsi="Times New Roman" w:cs="Times New Roman"/>
          <w:noProof/>
          <w:sz w:val="24"/>
        </w:rPr>
        <w:lastRenderedPageBreak/>
        <w:t>578367. doi: 10.1016/j.jneuroim.2024.578367.</w:t>
      </w:r>
    </w:p>
    <w:p w14:paraId="653049F1" w14:textId="77777777" w:rsidR="00055B84" w:rsidRDefault="00A875CA" w:rsidP="00055B84">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r w:rsidRPr="00055B84">
        <w:rPr>
          <w:rFonts w:ascii="Times New Roman" w:hAnsi="Times New Roman" w:cs="Times New Roman"/>
          <w:noProof/>
          <w:sz w:val="24"/>
          <w:lang w:val="sv-SE"/>
        </w:rPr>
        <w:t xml:space="preserve">Wolde, S. D. De </w:t>
      </w:r>
      <w:r w:rsidRPr="00055B84">
        <w:rPr>
          <w:rFonts w:ascii="Times New Roman" w:hAnsi="Times New Roman" w:cs="Times New Roman"/>
          <w:i/>
          <w:iCs/>
          <w:noProof/>
          <w:sz w:val="24"/>
          <w:lang w:val="sv-SE"/>
        </w:rPr>
        <w:t>et al.</w:t>
      </w:r>
      <w:r w:rsidRPr="00055B84">
        <w:rPr>
          <w:rFonts w:ascii="Times New Roman" w:hAnsi="Times New Roman" w:cs="Times New Roman"/>
          <w:noProof/>
          <w:sz w:val="24"/>
          <w:lang w:val="sv-SE"/>
        </w:rPr>
        <w:t xml:space="preserve"> </w:t>
      </w:r>
      <w:r w:rsidRPr="00A875CA">
        <w:rPr>
          <w:rFonts w:ascii="Times New Roman" w:hAnsi="Times New Roman" w:cs="Times New Roman"/>
          <w:noProof/>
          <w:sz w:val="24"/>
        </w:rPr>
        <w:t>(2021) ‘The Effects of Hyperbaric Oxygenation on Oxidative Stress , Inflammation and Angiogenesis’, pp. 1–47.</w:t>
      </w:r>
    </w:p>
    <w:p w14:paraId="00040B57" w14:textId="77777777" w:rsidR="00055B84" w:rsidRDefault="00A875CA" w:rsidP="00055B84">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r w:rsidRPr="00A875CA">
        <w:rPr>
          <w:rFonts w:ascii="Times New Roman" w:hAnsi="Times New Roman" w:cs="Times New Roman"/>
          <w:noProof/>
          <w:sz w:val="24"/>
        </w:rPr>
        <w:t xml:space="preserve">Yang, C. </w:t>
      </w:r>
      <w:r w:rsidRPr="00A875CA">
        <w:rPr>
          <w:rFonts w:ascii="Times New Roman" w:hAnsi="Times New Roman" w:cs="Times New Roman"/>
          <w:i/>
          <w:iCs/>
          <w:noProof/>
          <w:sz w:val="24"/>
        </w:rPr>
        <w:t>et al.</w:t>
      </w:r>
      <w:r w:rsidRPr="00A875CA">
        <w:rPr>
          <w:rFonts w:ascii="Times New Roman" w:hAnsi="Times New Roman" w:cs="Times New Roman"/>
          <w:noProof/>
          <w:sz w:val="24"/>
        </w:rPr>
        <w:t xml:space="preserve"> (2024) ‘Redox Biology Therapeutic effects of long-term HBOT on Alzheimer ’ s disease neuropathologies and cognitive impairment in APP swe / PS1 dE9 mice’, </w:t>
      </w:r>
      <w:r w:rsidRPr="00A875CA">
        <w:rPr>
          <w:rFonts w:ascii="Times New Roman" w:hAnsi="Times New Roman" w:cs="Times New Roman"/>
          <w:i/>
          <w:iCs/>
          <w:noProof/>
          <w:sz w:val="24"/>
        </w:rPr>
        <w:t>Redox Biology</w:t>
      </w:r>
      <w:r w:rsidRPr="00A875CA">
        <w:rPr>
          <w:rFonts w:ascii="Times New Roman" w:hAnsi="Times New Roman" w:cs="Times New Roman"/>
          <w:noProof/>
          <w:sz w:val="24"/>
        </w:rPr>
        <w:t>, 70(December 2023), p. 103006. doi: 10.1016/j.redox.2023.103006.</w:t>
      </w:r>
    </w:p>
    <w:p w14:paraId="22E55159" w14:textId="52D63D8C" w:rsidR="00A875CA" w:rsidRPr="00055B84" w:rsidRDefault="00A875CA" w:rsidP="00055B84">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r w:rsidRPr="00A875CA">
        <w:rPr>
          <w:rFonts w:ascii="Times New Roman" w:hAnsi="Times New Roman" w:cs="Times New Roman"/>
          <w:noProof/>
          <w:sz w:val="24"/>
        </w:rPr>
        <w:t xml:space="preserve">Zhang, X. </w:t>
      </w:r>
      <w:r w:rsidRPr="00A875CA">
        <w:rPr>
          <w:rFonts w:ascii="Times New Roman" w:hAnsi="Times New Roman" w:cs="Times New Roman"/>
          <w:i/>
          <w:iCs/>
          <w:noProof/>
          <w:sz w:val="24"/>
        </w:rPr>
        <w:t>et al.</w:t>
      </w:r>
      <w:r w:rsidRPr="00A875CA">
        <w:rPr>
          <w:rFonts w:ascii="Times New Roman" w:hAnsi="Times New Roman" w:cs="Times New Roman"/>
          <w:noProof/>
          <w:sz w:val="24"/>
        </w:rPr>
        <w:t xml:space="preserve"> (2024) ‘Tau in neurodegenerative diseases : molecular mechanisms , biomarkers , and therapeutic strategies’, </w:t>
      </w:r>
      <w:r w:rsidRPr="00A875CA">
        <w:rPr>
          <w:rFonts w:ascii="Times New Roman" w:hAnsi="Times New Roman" w:cs="Times New Roman"/>
          <w:i/>
          <w:iCs/>
          <w:noProof/>
          <w:sz w:val="24"/>
        </w:rPr>
        <w:t>Translational Neurodegeneration</w:t>
      </w:r>
      <w:r w:rsidRPr="00A875CA">
        <w:rPr>
          <w:rFonts w:ascii="Times New Roman" w:hAnsi="Times New Roman" w:cs="Times New Roman"/>
          <w:noProof/>
          <w:sz w:val="24"/>
        </w:rPr>
        <w:t>, 6, pp. 1–17. doi: 10.1186/s40035-024-00429-6.</w:t>
      </w:r>
    </w:p>
    <w:p w14:paraId="7243616F" w14:textId="1578A2FC" w:rsidR="00EA2E41" w:rsidRPr="005B39B6" w:rsidRDefault="00EA2E41" w:rsidP="00EA2E41">
      <w:pPr>
        <w:pBdr>
          <w:top w:val="nil"/>
          <w:left w:val="nil"/>
          <w:bottom w:val="nil"/>
          <w:right w:val="nil"/>
          <w:between w:val="nil"/>
        </w:pBdr>
        <w:spacing w:after="240" w:line="360" w:lineRule="auto"/>
        <w:ind w:left="1134" w:hanging="720"/>
        <w:jc w:val="both"/>
        <w:rPr>
          <w:rFonts w:ascii="Times New Roman" w:eastAsia="Google Sans Text" w:hAnsi="Times New Roman" w:cs="Times New Roman"/>
          <w:i/>
          <w:iCs/>
          <w:sz w:val="24"/>
          <w:szCs w:val="24"/>
          <w:u w:val="single"/>
        </w:rPr>
      </w:pPr>
      <w:r w:rsidRPr="005B39B6">
        <w:rPr>
          <w:rFonts w:ascii="Times New Roman" w:hAnsi="Times New Roman" w:cs="Times New Roman"/>
          <w:sz w:val="24"/>
          <w:szCs w:val="24"/>
        </w:rPr>
        <w:fldChar w:fldCharType="end"/>
      </w:r>
      <w:r w:rsidRPr="005B39B6">
        <w:rPr>
          <w:rFonts w:ascii="Times New Roman" w:eastAsia="Google Sans Text" w:hAnsi="Times New Roman" w:cs="Times New Roman"/>
          <w:sz w:val="24"/>
          <w:szCs w:val="24"/>
        </w:rPr>
        <w:t xml:space="preserve">Zhang, X. </w:t>
      </w:r>
      <w:r w:rsidRPr="005B39B6">
        <w:rPr>
          <w:rFonts w:ascii="Times New Roman" w:eastAsia="Google Sans Text" w:hAnsi="Times New Roman" w:cs="Times New Roman"/>
          <w:i/>
          <w:iCs/>
          <w:sz w:val="24"/>
          <w:szCs w:val="24"/>
        </w:rPr>
        <w:t>et al.</w:t>
      </w:r>
      <w:r w:rsidRPr="005B39B6">
        <w:rPr>
          <w:rFonts w:ascii="Times New Roman" w:eastAsia="Google Sans Text" w:hAnsi="Times New Roman" w:cs="Times New Roman"/>
          <w:sz w:val="24"/>
          <w:szCs w:val="24"/>
        </w:rPr>
        <w:t xml:space="preserve"> (2024). The protective effects of hyperbaric oxygen preconditioning on inflammatory bowel disease. </w:t>
      </w:r>
      <w:r w:rsidRPr="005B39B6">
        <w:rPr>
          <w:rFonts w:ascii="Times New Roman" w:eastAsia="Google Sans Text" w:hAnsi="Times New Roman" w:cs="Times New Roman"/>
          <w:i/>
          <w:iCs/>
          <w:sz w:val="24"/>
          <w:szCs w:val="24"/>
        </w:rPr>
        <w:t>Primary Care and Metabolic Syndrome</w:t>
      </w:r>
      <w:r w:rsidRPr="005B39B6">
        <w:rPr>
          <w:rFonts w:ascii="Times New Roman" w:eastAsia="Google Sans Text" w:hAnsi="Times New Roman" w:cs="Times New Roman"/>
          <w:sz w:val="24"/>
          <w:szCs w:val="24"/>
        </w:rPr>
        <w:t xml:space="preserve">, 7(1), pbae001. </w:t>
      </w:r>
      <w:r w:rsidRPr="005B39B6">
        <w:rPr>
          <w:rFonts w:ascii="Times New Roman" w:eastAsia="Google Sans Text" w:hAnsi="Times New Roman" w:cs="Times New Roman"/>
          <w:i/>
          <w:iCs/>
          <w:sz w:val="24"/>
          <w:szCs w:val="24"/>
        </w:rPr>
        <w:t xml:space="preserve">URL: </w:t>
      </w:r>
      <w:hyperlink r:id="rId18">
        <w:r w:rsidRPr="005B39B6">
          <w:rPr>
            <w:rFonts w:ascii="Times New Roman" w:eastAsia="Google Sans Text" w:hAnsi="Times New Roman" w:cs="Times New Roman"/>
            <w:i/>
            <w:iCs/>
            <w:sz w:val="24"/>
            <w:szCs w:val="24"/>
            <w:u w:val="single"/>
          </w:rPr>
          <w:t>https://academic.oup.com/pcm/article/7/1/pbae001/7577619</w:t>
        </w:r>
      </w:hyperlink>
    </w:p>
    <w:p w14:paraId="4108C089" w14:textId="77777777" w:rsidR="00EA2E41" w:rsidRPr="005B39B6" w:rsidRDefault="00EA2E41" w:rsidP="00EA2E41">
      <w:pPr>
        <w:pBdr>
          <w:top w:val="nil"/>
          <w:left w:val="nil"/>
          <w:bottom w:val="nil"/>
          <w:right w:val="nil"/>
          <w:between w:val="nil"/>
        </w:pBdr>
        <w:spacing w:after="240" w:line="360" w:lineRule="auto"/>
        <w:ind w:left="720" w:hanging="720"/>
        <w:jc w:val="both"/>
        <w:rPr>
          <w:rFonts w:ascii="Times New Roman" w:hAnsi="Times New Roman" w:cs="Times New Roman"/>
          <w:sz w:val="24"/>
          <w:szCs w:val="24"/>
        </w:rPr>
      </w:pPr>
    </w:p>
    <w:p w14:paraId="4077398A" w14:textId="77777777" w:rsidR="00EA2E41" w:rsidRPr="005B39B6" w:rsidRDefault="00EA2E41" w:rsidP="00EA2E41">
      <w:pPr>
        <w:pBdr>
          <w:top w:val="nil"/>
          <w:left w:val="nil"/>
          <w:bottom w:val="nil"/>
          <w:right w:val="nil"/>
          <w:between w:val="nil"/>
        </w:pBdr>
        <w:spacing w:line="360" w:lineRule="auto"/>
        <w:jc w:val="both"/>
        <w:rPr>
          <w:rFonts w:ascii="Times New Roman" w:hAnsi="Times New Roman" w:cs="Times New Roman"/>
          <w:sz w:val="24"/>
          <w:szCs w:val="24"/>
        </w:rPr>
      </w:pPr>
    </w:p>
    <w:p w14:paraId="47B403D8" w14:textId="77777777" w:rsidR="009F04CE" w:rsidRPr="005B39B6" w:rsidRDefault="009F04CE" w:rsidP="00417AC0">
      <w:pPr>
        <w:pBdr>
          <w:top w:val="nil"/>
          <w:left w:val="nil"/>
          <w:bottom w:val="nil"/>
          <w:right w:val="nil"/>
          <w:between w:val="nil"/>
        </w:pBdr>
        <w:spacing w:after="240" w:line="360" w:lineRule="auto"/>
        <w:jc w:val="both"/>
        <w:rPr>
          <w:rFonts w:ascii="Times New Roman" w:hAnsi="Times New Roman" w:cs="Times New Roman"/>
          <w:sz w:val="24"/>
          <w:szCs w:val="24"/>
        </w:rPr>
      </w:pPr>
    </w:p>
    <w:sectPr w:rsidR="009F04CE" w:rsidRPr="005B39B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Text">
    <w:altName w:val="Cambria"/>
    <w:charset w:val="00"/>
    <w:family w:val="auto"/>
    <w:pitch w:val="default"/>
    <w:embedRegular r:id="rId1" w:fontKey="{17D74958-5CDB-4DE3-90C4-274DF5B5486C}"/>
    <w:embedItalic r:id="rId2" w:fontKey="{F588C193-C630-4998-B72C-B0EED50A3355}"/>
    <w:embedBoldItalic r:id="rId3" w:fontKey="{FDABBE94-E7F9-4D70-BA3B-5128EF4032C2}"/>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4" w:fontKey="{AF42FD23-D8DE-44E3-B181-120CDC7F82AB}"/>
  </w:font>
  <w:font w:name="Google Sans">
    <w:charset w:val="00"/>
    <w:family w:val="auto"/>
    <w:pitch w:val="default"/>
    <w:embedRegular r:id="rId5" w:fontKey="{F72DAD1A-0ED4-4603-955D-443DF74C2020}"/>
    <w:embedBold r:id="rId6" w:fontKey="{515849B2-462D-4173-92D8-4C0DED4A0127}"/>
  </w:font>
  <w:font w:name="Calibri">
    <w:panose1 w:val="020F0502020204030204"/>
    <w:charset w:val="00"/>
    <w:family w:val="swiss"/>
    <w:pitch w:val="variable"/>
    <w:sig w:usb0="E4002EFF" w:usb1="C200247B" w:usb2="00000009" w:usb3="00000000" w:csb0="000001FF" w:csb1="00000000"/>
    <w:embedRegular r:id="rId7" w:fontKey="{37675F2F-994D-4E5B-B85E-2580FD2805B6}"/>
  </w:font>
  <w:font w:name="Cambria">
    <w:panose1 w:val="02040503050406030204"/>
    <w:charset w:val="00"/>
    <w:family w:val="roman"/>
    <w:pitch w:val="variable"/>
    <w:sig w:usb0="E00006FF" w:usb1="420024FF" w:usb2="02000000" w:usb3="00000000" w:csb0="0000019F" w:csb1="00000000"/>
    <w:embedRegular r:id="rId8" w:fontKey="{03D209F9-21AA-4ADF-8F6B-4CC6DF5CEF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ACE"/>
    <w:multiLevelType w:val="multilevel"/>
    <w:tmpl w:val="5AB2F52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2673B3A"/>
    <w:multiLevelType w:val="multilevel"/>
    <w:tmpl w:val="E616A19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4CE5939"/>
    <w:multiLevelType w:val="hybridMultilevel"/>
    <w:tmpl w:val="09D48D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905C5"/>
    <w:multiLevelType w:val="hybridMultilevel"/>
    <w:tmpl w:val="163EC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6E71C4"/>
    <w:multiLevelType w:val="multilevel"/>
    <w:tmpl w:val="55F4C5E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81704A5"/>
    <w:multiLevelType w:val="multilevel"/>
    <w:tmpl w:val="C1BE3C62"/>
    <w:lvl w:ilvl="0">
      <w:start w:val="1"/>
      <w:numFmt w:val="decimal"/>
      <w:lvlText w:val="%1."/>
      <w:lvlJc w:val="left"/>
      <w:pPr>
        <w:ind w:left="644"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60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32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0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76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48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20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92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644"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8A55A07"/>
    <w:multiLevelType w:val="multilevel"/>
    <w:tmpl w:val="4FD04F0E"/>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42925D7"/>
    <w:multiLevelType w:val="multilevel"/>
    <w:tmpl w:val="B2CCB102"/>
    <w:lvl w:ilvl="0">
      <w:start w:val="2"/>
      <w:numFmt w:val="upperRoman"/>
      <w:lvlText w:val="%1."/>
      <w:lvlJc w:val="left"/>
      <w:pPr>
        <w:ind w:left="1080" w:hanging="72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874593A"/>
    <w:multiLevelType w:val="multilevel"/>
    <w:tmpl w:val="7C52C16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705143A"/>
    <w:multiLevelType w:val="multilevel"/>
    <w:tmpl w:val="DB9CAD00"/>
    <w:lvl w:ilvl="0">
      <w:start w:val="1"/>
      <w:numFmt w:val="upperRoman"/>
      <w:lvlText w:val="%1."/>
      <w:lvlJc w:val="left"/>
      <w:pPr>
        <w:ind w:left="1080" w:hanging="72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D752EBB"/>
    <w:multiLevelType w:val="hybridMultilevel"/>
    <w:tmpl w:val="663EC1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162724"/>
    <w:multiLevelType w:val="multilevel"/>
    <w:tmpl w:val="DC02B66A"/>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A976779"/>
    <w:multiLevelType w:val="multilevel"/>
    <w:tmpl w:val="1200E84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A981E28"/>
    <w:multiLevelType w:val="hybridMultilevel"/>
    <w:tmpl w:val="401E1726"/>
    <w:lvl w:ilvl="0" w:tplc="58DAFA6A">
      <w:start w:val="2"/>
      <w:numFmt w:val="bullet"/>
      <w:lvlText w:val="-"/>
      <w:lvlJc w:val="left"/>
      <w:pPr>
        <w:ind w:left="720" w:hanging="360"/>
      </w:pPr>
      <w:rPr>
        <w:rFonts w:ascii="Times New Roman" w:eastAsia="Google Sans Text"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026BE8"/>
    <w:multiLevelType w:val="hybridMultilevel"/>
    <w:tmpl w:val="186E9CE2"/>
    <w:lvl w:ilvl="0" w:tplc="2668E3D8">
      <w:start w:val="1"/>
      <w:numFmt w:val="decimal"/>
      <w:lvlText w:val="1.%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5733924">
    <w:abstractNumId w:val="12"/>
  </w:num>
  <w:num w:numId="2" w16cid:durableId="138881524">
    <w:abstractNumId w:val="1"/>
  </w:num>
  <w:num w:numId="3" w16cid:durableId="244802268">
    <w:abstractNumId w:val="8"/>
  </w:num>
  <w:num w:numId="4" w16cid:durableId="845826154">
    <w:abstractNumId w:val="0"/>
  </w:num>
  <w:num w:numId="5" w16cid:durableId="261189859">
    <w:abstractNumId w:val="5"/>
  </w:num>
  <w:num w:numId="6" w16cid:durableId="1472669487">
    <w:abstractNumId w:val="6"/>
  </w:num>
  <w:num w:numId="7" w16cid:durableId="191309596">
    <w:abstractNumId w:val="11"/>
  </w:num>
  <w:num w:numId="8" w16cid:durableId="528104581">
    <w:abstractNumId w:val="4"/>
  </w:num>
  <w:num w:numId="9" w16cid:durableId="1272858760">
    <w:abstractNumId w:val="9"/>
  </w:num>
  <w:num w:numId="10" w16cid:durableId="1940212426">
    <w:abstractNumId w:val="14"/>
  </w:num>
  <w:num w:numId="11" w16cid:durableId="765271897">
    <w:abstractNumId w:val="10"/>
  </w:num>
  <w:num w:numId="12" w16cid:durableId="422578850">
    <w:abstractNumId w:val="3"/>
  </w:num>
  <w:num w:numId="13" w16cid:durableId="1311638435">
    <w:abstractNumId w:val="13"/>
  </w:num>
  <w:num w:numId="14" w16cid:durableId="954555844">
    <w:abstractNumId w:val="2"/>
  </w:num>
  <w:num w:numId="15" w16cid:durableId="2917893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91B"/>
    <w:rsid w:val="00055B84"/>
    <w:rsid w:val="001331E7"/>
    <w:rsid w:val="001B48F3"/>
    <w:rsid w:val="002944F7"/>
    <w:rsid w:val="00294E52"/>
    <w:rsid w:val="002B45C2"/>
    <w:rsid w:val="00316477"/>
    <w:rsid w:val="00331C52"/>
    <w:rsid w:val="003859BE"/>
    <w:rsid w:val="0039208E"/>
    <w:rsid w:val="00414549"/>
    <w:rsid w:val="00417AC0"/>
    <w:rsid w:val="00457BF7"/>
    <w:rsid w:val="004D5806"/>
    <w:rsid w:val="00546A8E"/>
    <w:rsid w:val="005779F1"/>
    <w:rsid w:val="0059383D"/>
    <w:rsid w:val="005A3041"/>
    <w:rsid w:val="005B39B6"/>
    <w:rsid w:val="006254CD"/>
    <w:rsid w:val="006657C4"/>
    <w:rsid w:val="00671408"/>
    <w:rsid w:val="006D142B"/>
    <w:rsid w:val="00726C40"/>
    <w:rsid w:val="00762D5F"/>
    <w:rsid w:val="007813B3"/>
    <w:rsid w:val="00837A61"/>
    <w:rsid w:val="00872610"/>
    <w:rsid w:val="00873176"/>
    <w:rsid w:val="008A6C23"/>
    <w:rsid w:val="008A7ED0"/>
    <w:rsid w:val="008E3CE9"/>
    <w:rsid w:val="008F6EEB"/>
    <w:rsid w:val="00941D4C"/>
    <w:rsid w:val="009F04CE"/>
    <w:rsid w:val="00A82B6E"/>
    <w:rsid w:val="00A875CA"/>
    <w:rsid w:val="00A95751"/>
    <w:rsid w:val="00AB1C30"/>
    <w:rsid w:val="00AD1867"/>
    <w:rsid w:val="00BB05C4"/>
    <w:rsid w:val="00BB4BC2"/>
    <w:rsid w:val="00CA48D1"/>
    <w:rsid w:val="00CD54F9"/>
    <w:rsid w:val="00D4263E"/>
    <w:rsid w:val="00D960F6"/>
    <w:rsid w:val="00D973DB"/>
    <w:rsid w:val="00DA27D9"/>
    <w:rsid w:val="00DB7FA5"/>
    <w:rsid w:val="00E80E11"/>
    <w:rsid w:val="00E843B5"/>
    <w:rsid w:val="00EA2E41"/>
    <w:rsid w:val="00EA4339"/>
    <w:rsid w:val="00F006B9"/>
    <w:rsid w:val="00F33215"/>
    <w:rsid w:val="00F53D98"/>
    <w:rsid w:val="00F620D2"/>
    <w:rsid w:val="00F92A0C"/>
    <w:rsid w:val="00F93ED8"/>
    <w:rsid w:val="00F9552D"/>
    <w:rsid w:val="00FA71E9"/>
    <w:rsid w:val="00FD291B"/>
    <w:rsid w:val="00FD63C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56995"/>
  <w15:docId w15:val="{7710EAA8-8557-4F76-976B-F64C7C6AB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08E"/>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AD1867"/>
    <w:pPr>
      <w:ind w:left="720"/>
      <w:contextualSpacing/>
    </w:pPr>
  </w:style>
  <w:style w:type="table" w:styleId="TableGrid">
    <w:name w:val="Table Grid"/>
    <w:basedOn w:val="TableNormal"/>
    <w:uiPriority w:val="39"/>
    <w:rsid w:val="00F955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D142B"/>
    <w:pPr>
      <w:spacing w:after="200"/>
    </w:pPr>
    <w:rPr>
      <w:i/>
      <w:iCs/>
      <w:color w:val="1F497D" w:themeColor="text2"/>
      <w:sz w:val="18"/>
      <w:szCs w:val="18"/>
    </w:rPr>
  </w:style>
  <w:style w:type="paragraph" w:styleId="NormalWeb">
    <w:name w:val="Normal (Web)"/>
    <w:basedOn w:val="Normal"/>
    <w:uiPriority w:val="99"/>
    <w:semiHidden/>
    <w:unhideWhenUsed/>
    <w:rsid w:val="00A875CA"/>
    <w:rPr>
      <w:rFonts w:ascii="Times New Roman" w:hAnsi="Times New Roman" w:cs="Times New Roman"/>
      <w:sz w:val="24"/>
      <w:szCs w:val="24"/>
    </w:rPr>
  </w:style>
  <w:style w:type="character" w:styleId="Emphasis">
    <w:name w:val="Emphasis"/>
    <w:basedOn w:val="DefaultParagraphFont"/>
    <w:uiPriority w:val="20"/>
    <w:qFormat/>
    <w:rsid w:val="006657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hyperlink" Target="https://www.frontiersin.org/journals/immunology/articles/10.3389/fimmu.2025.1482033/full" TargetMode="External"/><Relationship Id="rId18" Type="http://schemas.openxmlformats.org/officeDocument/2006/relationships/hyperlink" Target="https://academic.oup.com/pcm/article/7/1/pbae001/7577619" TargetMode="External"/><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hyperlink" Target="https://www.explorationpub.com/Journals/ent/Article/100462" TargetMode="External"/><Relationship Id="rId17" Type="http://schemas.openxmlformats.org/officeDocument/2006/relationships/hyperlink" Target="https://www.frontiersin.org/journals/immunology/articles/10.3389/fimmu.2020.588036/full" TargetMode="External"/><Relationship Id="rId2" Type="http://schemas.openxmlformats.org/officeDocument/2006/relationships/numbering" Target="numbering.xml"/><Relationship Id="rId16" Type="http://schemas.openxmlformats.org/officeDocument/2006/relationships/hyperlink" Target="https://www.chosunobr.org/journal/view.html?doi=10.21851/obr.25.00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hyperlink" Target="https://pmc.ncbi.nlm.nih.gov/articles/PMC8457592/" TargetMode="External"/><Relationship Id="rId5" Type="http://schemas.openxmlformats.org/officeDocument/2006/relationships/webSettings" Target="webSettings.xml"/><Relationship Id="rId15" Type="http://schemas.openxmlformats.org/officeDocument/2006/relationships/hyperlink" Target="https://www.mdpi.com/2075-1729/15/1/96" TargetMode="External"/><Relationship Id="rId10" Type="http://schemas.openxmlformats.org/officeDocument/2006/relationships/hyperlink" Target="https://www.frontiersin.org/journals/neurology/articles/10.3389/fneur.2025.1670455/ful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mc.ncbi.nlm.nih.gov/articles/PMC11867964/" TargetMode="External"/><Relationship Id="rId14" Type="http://schemas.openxmlformats.org/officeDocument/2006/relationships/hyperlink" Target="https://pmc.ncbi.nlm.nih.gov/articles/PMC8457592/"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maptau</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plus"/>
            <c:errValType val="cust"/>
            <c:noEndCap val="0"/>
            <c:plus>
              <c:numRef>
                <c:f>Sheet1!$C$2:$C$4</c:f>
                <c:numCache>
                  <c:formatCode>General</c:formatCode>
                  <c:ptCount val="3"/>
                  <c:pt idx="0">
                    <c:v>5.8999999999999997E-2</c:v>
                  </c:pt>
                  <c:pt idx="1">
                    <c:v>0.23300000000000001</c:v>
                  </c:pt>
                  <c:pt idx="2">
                    <c:v>0.08</c:v>
                  </c:pt>
                </c:numCache>
              </c:numRef>
            </c:plus>
            <c:minus>
              <c:numLit>
                <c:formatCode>General</c:formatCode>
                <c:ptCount val="1"/>
                <c:pt idx="0">
                  <c:v>1</c:v>
                </c:pt>
              </c:numLit>
            </c:minus>
            <c:spPr>
              <a:noFill/>
              <a:ln w="9525" cap="flat" cmpd="sng" algn="ctr">
                <a:solidFill>
                  <a:schemeClr val="tx1">
                    <a:lumMod val="65000"/>
                    <a:lumOff val="35000"/>
                  </a:schemeClr>
                </a:solidFill>
                <a:round/>
              </a:ln>
              <a:effectLst/>
            </c:spPr>
          </c:errBars>
          <c:cat>
            <c:strRef>
              <c:f>Sheet1!$A$2:$A$4</c:f>
              <c:strCache>
                <c:ptCount val="3"/>
                <c:pt idx="0">
                  <c:v>C-</c:v>
                </c:pt>
                <c:pt idx="1">
                  <c:v>C+</c:v>
                </c:pt>
                <c:pt idx="2">
                  <c:v>T</c:v>
                </c:pt>
              </c:strCache>
            </c:strRef>
          </c:cat>
          <c:val>
            <c:numRef>
              <c:f>Sheet1!$B$2:$B$4</c:f>
              <c:numCache>
                <c:formatCode>General</c:formatCode>
                <c:ptCount val="3"/>
                <c:pt idx="0">
                  <c:v>0.15</c:v>
                </c:pt>
                <c:pt idx="1">
                  <c:v>0.52</c:v>
                </c:pt>
                <c:pt idx="2">
                  <c:v>0.26</c:v>
                </c:pt>
              </c:numCache>
            </c:numRef>
          </c:val>
          <c:extLst>
            <c:ext xmlns:c16="http://schemas.microsoft.com/office/drawing/2014/chart" uri="{C3380CC4-5D6E-409C-BE32-E72D297353CC}">
              <c16:uniqueId val="{00000000-5845-4AC4-AFD1-CECFC793A7A7}"/>
            </c:ext>
          </c:extLst>
        </c:ser>
        <c:dLbls>
          <c:showLegendKey val="0"/>
          <c:showVal val="0"/>
          <c:showCatName val="0"/>
          <c:showSerName val="0"/>
          <c:showPercent val="0"/>
          <c:showBubbleSize val="0"/>
        </c:dLbls>
        <c:gapWidth val="219"/>
        <c:overlap val="-27"/>
        <c:axId val="1183814319"/>
        <c:axId val="1183814799"/>
      </c:barChart>
      <c:catAx>
        <c:axId val="11838143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latin typeface="Times New Roman" panose="02020603050405020304" pitchFamily="18" charset="0"/>
                    <a:cs typeface="Times New Roman" panose="02020603050405020304" pitchFamily="18" charset="0"/>
                  </a:rPr>
                  <a:t>Ninth</a:t>
                </a:r>
                <a:r>
                  <a:rPr lang="en-ID" baseline="0">
                    <a:latin typeface="Times New Roman" panose="02020603050405020304" pitchFamily="18" charset="0"/>
                    <a:cs typeface="Times New Roman" panose="02020603050405020304" pitchFamily="18" charset="0"/>
                  </a:rPr>
                  <a:t> Week</a:t>
                </a:r>
                <a:endParaRPr lang="en-ID">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D"/>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3814799"/>
        <c:crosses val="autoZero"/>
        <c:auto val="1"/>
        <c:lblAlgn val="ctr"/>
        <c:lblOffset val="100"/>
        <c:noMultiLvlLbl val="0"/>
      </c:catAx>
      <c:valAx>
        <c:axId val="1183814799"/>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D" b="1">
                    <a:latin typeface="Times New Roman" panose="02020603050405020304" pitchFamily="18" charset="0"/>
                    <a:cs typeface="Times New Roman" panose="02020603050405020304" pitchFamily="18" charset="0"/>
                  </a:rPr>
                  <a:t>MAPTau</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38143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amyloid</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plus"/>
            <c:errValType val="cust"/>
            <c:noEndCap val="0"/>
            <c:plus>
              <c:numRef>
                <c:f>Sheet1!$C$2:$C$4</c:f>
                <c:numCache>
                  <c:formatCode>General</c:formatCode>
                  <c:ptCount val="3"/>
                  <c:pt idx="0">
                    <c:v>5.2140000000000004</c:v>
                  </c:pt>
                  <c:pt idx="1">
                    <c:v>36.110999999999997</c:v>
                  </c:pt>
                  <c:pt idx="2">
                    <c:v>8.1929999999999996</c:v>
                  </c:pt>
                </c:numCache>
              </c:numRef>
            </c:plus>
            <c:minus>
              <c:numLit>
                <c:formatCode>General</c:formatCode>
                <c:ptCount val="1"/>
                <c:pt idx="0">
                  <c:v>1</c:v>
                </c:pt>
              </c:numLit>
            </c:minus>
            <c:spPr>
              <a:noFill/>
              <a:ln w="9525" cap="flat" cmpd="sng" algn="ctr">
                <a:solidFill>
                  <a:schemeClr val="tx1">
                    <a:lumMod val="65000"/>
                    <a:lumOff val="35000"/>
                  </a:schemeClr>
                </a:solidFill>
                <a:round/>
              </a:ln>
              <a:effectLst/>
            </c:spPr>
          </c:errBars>
          <c:cat>
            <c:strRef>
              <c:f>Sheet1!$A$2:$A$4</c:f>
              <c:strCache>
                <c:ptCount val="3"/>
                <c:pt idx="0">
                  <c:v>C-</c:v>
                </c:pt>
                <c:pt idx="1">
                  <c:v>C+</c:v>
                </c:pt>
                <c:pt idx="2">
                  <c:v>T</c:v>
                </c:pt>
              </c:strCache>
            </c:strRef>
          </c:cat>
          <c:val>
            <c:numRef>
              <c:f>Sheet1!$B$2:$B$4</c:f>
              <c:numCache>
                <c:formatCode>General</c:formatCode>
                <c:ptCount val="3"/>
                <c:pt idx="0">
                  <c:v>46.13</c:v>
                </c:pt>
                <c:pt idx="1">
                  <c:v>188.41</c:v>
                </c:pt>
                <c:pt idx="2">
                  <c:v>63.21</c:v>
                </c:pt>
              </c:numCache>
            </c:numRef>
          </c:val>
          <c:extLst>
            <c:ext xmlns:c16="http://schemas.microsoft.com/office/drawing/2014/chart" uri="{C3380CC4-5D6E-409C-BE32-E72D297353CC}">
              <c16:uniqueId val="{00000000-B187-4930-B514-5EEE8D9ECDAD}"/>
            </c:ext>
          </c:extLst>
        </c:ser>
        <c:dLbls>
          <c:showLegendKey val="0"/>
          <c:showVal val="0"/>
          <c:showCatName val="0"/>
          <c:showSerName val="0"/>
          <c:showPercent val="0"/>
          <c:showBubbleSize val="0"/>
        </c:dLbls>
        <c:gapWidth val="219"/>
        <c:overlap val="-27"/>
        <c:axId val="1183814319"/>
        <c:axId val="1183814799"/>
      </c:barChart>
      <c:catAx>
        <c:axId val="1183814319"/>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D" sz="900">
                    <a:latin typeface="Times New Roman" panose="02020603050405020304" pitchFamily="18" charset="0"/>
                    <a:cs typeface="Times New Roman" panose="02020603050405020304" pitchFamily="18" charset="0"/>
                  </a:rPr>
                  <a:t>Ninth Week</a:t>
                </a:r>
              </a:p>
              <a:p>
                <a:pPr>
                  <a:defRPr sz="900">
                    <a:latin typeface="Times New Roman" panose="02020603050405020304" pitchFamily="18" charset="0"/>
                    <a:cs typeface="Times New Roman" panose="02020603050405020304" pitchFamily="18" charset="0"/>
                  </a:defRPr>
                </a:pPr>
                <a:endParaRPr lang="en-ID" sz="9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183814799"/>
        <c:crosses val="autoZero"/>
        <c:auto val="1"/>
        <c:lblAlgn val="ctr"/>
        <c:lblOffset val="100"/>
        <c:noMultiLvlLbl val="0"/>
      </c:catAx>
      <c:valAx>
        <c:axId val="1183814799"/>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D" sz="900" b="1">
                    <a:latin typeface="Times New Roman" panose="02020603050405020304" pitchFamily="18" charset="0"/>
                    <a:cs typeface="Times New Roman" panose="02020603050405020304" pitchFamily="18" charset="0"/>
                  </a:rPr>
                  <a:t>Amyloid Beta (pg/mL)</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1838143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smw</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plus"/>
            <c:errValType val="cust"/>
            <c:noEndCap val="0"/>
            <c:plus>
              <c:numRef>
                <c:f>Sheet1!$C$2:$C$4</c:f>
                <c:numCache>
                  <c:formatCode>General</c:formatCode>
                  <c:ptCount val="3"/>
                  <c:pt idx="0">
                    <c:v>5.0789999999999997</c:v>
                  </c:pt>
                  <c:pt idx="1">
                    <c:v>18.867999999999999</c:v>
                  </c:pt>
                  <c:pt idx="2">
                    <c:v>14.032999999999999</c:v>
                  </c:pt>
                </c:numCache>
              </c:numRef>
            </c:plus>
            <c:minus>
              <c:numLit>
                <c:formatCode>General</c:formatCode>
                <c:ptCount val="1"/>
                <c:pt idx="0">
                  <c:v>1</c:v>
                </c:pt>
              </c:numLit>
            </c:minus>
            <c:spPr>
              <a:noFill/>
              <a:ln w="9525" cap="flat" cmpd="sng" algn="ctr">
                <a:solidFill>
                  <a:schemeClr val="tx1">
                    <a:lumMod val="65000"/>
                    <a:lumOff val="35000"/>
                  </a:schemeClr>
                </a:solidFill>
                <a:round/>
              </a:ln>
              <a:effectLst/>
            </c:spPr>
          </c:errBars>
          <c:cat>
            <c:strRef>
              <c:f>Sheet1!$A$2:$A$4</c:f>
              <c:strCache>
                <c:ptCount val="3"/>
                <c:pt idx="0">
                  <c:v>C-</c:v>
                </c:pt>
                <c:pt idx="1">
                  <c:v>C+</c:v>
                </c:pt>
                <c:pt idx="2">
                  <c:v>T</c:v>
                </c:pt>
              </c:strCache>
            </c:strRef>
          </c:cat>
          <c:val>
            <c:numRef>
              <c:f>Sheet1!$B$2:$B$4</c:f>
              <c:numCache>
                <c:formatCode>General</c:formatCode>
                <c:ptCount val="3"/>
                <c:pt idx="0">
                  <c:v>68</c:v>
                </c:pt>
                <c:pt idx="1">
                  <c:v>31.14</c:v>
                </c:pt>
                <c:pt idx="2">
                  <c:v>52.09</c:v>
                </c:pt>
              </c:numCache>
            </c:numRef>
          </c:val>
          <c:extLst>
            <c:ext xmlns:c16="http://schemas.microsoft.com/office/drawing/2014/chart" uri="{C3380CC4-5D6E-409C-BE32-E72D297353CC}">
              <c16:uniqueId val="{00000000-4093-4565-AF81-A0A57F08CFF7}"/>
            </c:ext>
          </c:extLst>
        </c:ser>
        <c:dLbls>
          <c:showLegendKey val="0"/>
          <c:showVal val="0"/>
          <c:showCatName val="0"/>
          <c:showSerName val="0"/>
          <c:showPercent val="0"/>
          <c:showBubbleSize val="0"/>
        </c:dLbls>
        <c:gapWidth val="219"/>
        <c:overlap val="-27"/>
        <c:axId val="1183814319"/>
        <c:axId val="1183814799"/>
      </c:barChart>
      <c:catAx>
        <c:axId val="11838143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Ninth</a:t>
                </a:r>
                <a:r>
                  <a:rPr lang="en-ID" baseline="0"/>
                  <a:t> Week</a:t>
                </a:r>
                <a:endParaRPr lang="en-ID"/>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D"/>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3814799"/>
        <c:crosses val="autoZero"/>
        <c:auto val="1"/>
        <c:lblAlgn val="ctr"/>
        <c:lblOffset val="100"/>
        <c:noMultiLvlLbl val="0"/>
      </c:catAx>
      <c:valAx>
        <c:axId val="1183814799"/>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b="1">
                    <a:latin typeface="Times New Roman" panose="02020603050405020304" pitchFamily="18" charset="0"/>
                    <a:cs typeface="Times New Roman" panose="02020603050405020304" pitchFamily="18" charset="0"/>
                  </a:rPr>
                  <a:t>SMW(%)</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3814319"/>
        <c:crosses val="autoZero"/>
        <c:crossBetween val="between"/>
        <c:majorUnit val="10"/>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A45052-A9F6-4465-BB11-57463D160728}">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B203C-2C7B-4F32-9429-B7EF680CC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16</Pages>
  <Words>7714</Words>
  <Characters>43975</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awal awaluddin</dc:creator>
  <cp:keywords/>
  <dc:description/>
  <cp:lastModifiedBy>Clarissa Damayanti</cp:lastModifiedBy>
  <cp:revision>5</cp:revision>
  <dcterms:created xsi:type="dcterms:W3CDTF">2026-04-11T03:41:00Z</dcterms:created>
  <dcterms:modified xsi:type="dcterms:W3CDTF">2026-04-11T04:31:00Z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e49c618f-40e5-41d4-9185-603047b8904e</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http://www.zotero.org/styles/harvard-cite-them-right</vt:lpwstr>
  </property>
  <property fmtid="{D5CDD505-2E9C-101B-9397-08002B2CF9AE}" pid="12" name="Mendeley Recent Style Name 4_1">
    <vt:lpwstr>Cite Them Right 10th edition - Harvard</vt:lpwstr>
  </property>
  <property fmtid="{D5CDD505-2E9C-101B-9397-08002B2CF9AE}" pid="13" name="Mendeley Recent Style Id 5_1">
    <vt:lpwstr>http://www.zotero.org/styles/harvard1</vt:lpwstr>
  </property>
  <property fmtid="{D5CDD505-2E9C-101B-9397-08002B2CF9AE}" pid="14" name="Mendeley Recent Style Name 5_1">
    <vt:lpwstr>Harvard reference format 1 (deprecated)</vt:lpwstr>
  </property>
  <property fmtid="{D5CDD505-2E9C-101B-9397-08002B2CF9AE}" pid="15" name="Mendeley Recent Style Id 6_1">
    <vt:lpwstr>http://www.zotero.org/styles/modern-humanities-research-association</vt:lpwstr>
  </property>
  <property fmtid="{D5CDD505-2E9C-101B-9397-08002B2CF9AE}" pid="16" name="Mendeley Recent Style Name 6_1">
    <vt:lpwstr>Modern Humanities Research Association 3rd edition (note with bibliography)</vt:lpwstr>
  </property>
  <property fmtid="{D5CDD505-2E9C-101B-9397-08002B2CF9AE}" pid="17" name="Mendeley Recent Style Id 7_1">
    <vt:lpwstr>http://www.zotero.org/styles/modern-language-association</vt:lpwstr>
  </property>
  <property fmtid="{D5CDD505-2E9C-101B-9397-08002B2CF9AE}" pid="18" name="Mendeley Recent Style Name 7_1">
    <vt:lpwstr>Modern Language Association 8th edition</vt:lpwstr>
  </property>
  <property fmtid="{D5CDD505-2E9C-101B-9397-08002B2CF9AE}" pid="19" name="Mendeley Recent Style Id 8_1">
    <vt:lpwstr>http://www.zotero.org/styles/vancouver</vt:lpwstr>
  </property>
  <property fmtid="{D5CDD505-2E9C-101B-9397-08002B2CF9AE}" pid="20" name="Mendeley Recent Style Name 8_1">
    <vt:lpwstr>Vancouver</vt:lpwstr>
  </property>
  <property fmtid="{D5CDD505-2E9C-101B-9397-08002B2CF9AE}" pid="21" name="Mendeley Recent Style Id 9_1">
    <vt:lpwstr>http://www.zotero.org/styles/vancouver-superscript</vt:lpwstr>
  </property>
  <property fmtid="{D5CDD505-2E9C-101B-9397-08002B2CF9AE}" pid="22" name="Mendeley Recent Style Name 9_1">
    <vt:lpwstr>Vancouver (superscript)</vt:lpwstr>
  </property>
  <property fmtid="{D5CDD505-2E9C-101B-9397-08002B2CF9AE}" pid="23" name="Mendeley Document_1">
    <vt:lpwstr>True</vt:lpwstr>
  </property>
  <property fmtid="{D5CDD505-2E9C-101B-9397-08002B2CF9AE}" pid="24" name="Mendeley Unique User Id_1">
    <vt:lpwstr>25a9c6cf-272c-3b8f-8db3-0f8a08705cf0</vt:lpwstr>
  </property>
  <property fmtid="{D5CDD505-2E9C-101B-9397-08002B2CF9AE}" pid="25" name="Mendeley Citation Style_1">
    <vt:lpwstr>http://www.zotero.org/styles/harvard1</vt:lpwstr>
  </property>
</Properties>
</file>