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120"/>
        <w:jc w:val="center"/>
      </w:pPr>
      <w:r>
        <w:rPr>
          <w:b/>
        </w:rPr>
        <w:t>Highlights</w:t>
      </w:r>
    </w:p>
    <w:p>
      <w:pPr>
        <w:pStyle w:val="ListBullet"/>
      </w:pPr>
      <w:r>
        <w:t>Ultrasonic activation improves smear layer removal in endodontic specimens.</w:t>
      </w:r>
    </w:p>
    <w:p>
      <w:pPr>
        <w:pStyle w:val="ListBullet"/>
      </w:pPr>
      <w:r>
        <w:t>The pooled effect favored ultrasonic-activated irrigation over conventional irrigation.</w:t>
      </w:r>
    </w:p>
    <w:p>
      <w:pPr>
        <w:pStyle w:val="ListBullet"/>
      </w:pPr>
      <w:r>
        <w:t>Effectiveness varied by irrigant, canal level, and comparator activation technique.</w:t>
      </w:r>
    </w:p>
    <w:p>
      <w:pPr>
        <w:pStyle w:val="ListBullet"/>
      </w:pPr>
      <w:r>
        <w:t>SEM/FESEM scoring heterogeneity limits direct comparison across laboratory studies.</w:t>
      </w:r>
    </w:p>
    <w:p>
      <w:pPr>
        <w:pStyle w:val="ListBullet"/>
      </w:pPr>
      <w:r>
        <w:t>Standardized reporting is needed for future endodontic irrigation research.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