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b/>
        </w:rPr>
        <w:t>Tables</w:t>
      </w:r>
    </w:p>
    <w:p>
      <w:pPr>
        <w:spacing w:line="480" w:lineRule="auto" w:after="0"/>
      </w:pPr>
      <w:r>
        <w:rPr>
          <w:b w:val="0"/>
        </w:rPr>
        <w:t>Table 1. Baseline characteristics of the participants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Characteristic</w:t>
            </w:r>
          </w:p>
        </w:tc>
        <w:tc>
          <w:tcPr>
            <w:tcW w:type="dxa" w:w="312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type="dxa" w:w="312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n (%)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Age (years)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40 (36.4)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52 (47.3)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 (16.4)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Grade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47 (42.7)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312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63 (57.3)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110 (100.0)</w:t>
            </w:r>
          </w:p>
        </w:tc>
      </w:tr>
    </w:tbl>
    <w:p>
      <w:pPr>
        <w:spacing w:line="480" w:lineRule="auto" w:after="0"/>
      </w:pPr>
      <w:r>
        <w:rPr>
          <w:b w:val="0"/>
        </w:rPr>
      </w:r>
    </w:p>
    <w:p>
      <w:pPr>
        <w:spacing w:line="480" w:lineRule="auto" w:after="0"/>
      </w:pPr>
      <w:r>
        <w:rPr>
          <w:b w:val="0"/>
        </w:rPr>
        <w:t>Table 2. Distribution of head lice infestation, sleep quality, and academic performance among the participants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Variable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Category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n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%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Pediculus humanus capitis infestation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Positive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66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60.0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Negative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44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40.0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Sleep quality (PSQI)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Poor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79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71.8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Good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31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28.2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Academic performance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Low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18.2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Moderate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65.5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High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16.4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110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100.0</w:t>
            </w:r>
          </w:p>
        </w:tc>
      </w:tr>
    </w:tbl>
    <w:p>
      <w:pPr>
        <w:spacing w:line="480" w:lineRule="auto" w:after="0"/>
      </w:pPr>
      <w:r>
        <w:rPr>
          <w:b w:val="0"/>
        </w:rPr>
        <w:t>Abbreviation: PSQI, Pittsburgh Sleep Quality Index.</w:t>
      </w:r>
    </w:p>
    <w:p>
      <w:pPr>
        <w:spacing w:line="480" w:lineRule="auto" w:after="0"/>
      </w:pPr>
      <w:r>
        <w:rPr>
          <w:b w:val="0"/>
        </w:rPr>
      </w:r>
    </w:p>
    <w:p>
      <w:pPr>
        <w:spacing w:line="480" w:lineRule="auto" w:after="0"/>
      </w:pPr>
      <w:r>
        <w:rPr>
          <w:b w:val="0"/>
        </w:rPr>
        <w:t>Table 3. Association between head lice infestation and sleep quality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Infestation status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Poor sleep quality n (%)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Good sleep quality n (%)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 n (%)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Positive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60 (90.9)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 (9.1)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66 (100.0)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Negative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19 (43.2)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25 (56.8)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44 (100.0)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79 (71.8)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31 (28.2)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110 (100.0)</w:t>
            </w:r>
          </w:p>
        </w:tc>
      </w:tr>
    </w:tbl>
    <w:p>
      <w:pPr>
        <w:spacing w:line="480" w:lineRule="auto" w:after="0"/>
      </w:pPr>
      <w:r>
        <w:rPr>
          <w:b w:val="0"/>
        </w:rPr>
        <w:t>Chi-square test: p&lt;0.001.</w:t>
      </w:r>
    </w:p>
    <w:p>
      <w:pPr>
        <w:spacing w:line="480" w:lineRule="auto" w:after="0"/>
      </w:pPr>
      <w:r>
        <w:rPr>
          <w:b w:val="0"/>
        </w:rPr>
      </w:r>
    </w:p>
    <w:p>
      <w:r>
        <w:br w:type="page"/>
      </w:r>
    </w:p>
    <w:p>
      <w:pPr>
        <w:spacing w:line="480" w:lineRule="auto" w:after="0"/>
      </w:pPr>
      <w:r>
        <w:rPr>
          <w:b w:val="0"/>
        </w:rPr>
        <w:t>Table 4. Association between head lice infestation and academic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Infestation status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Low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Moderate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High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 n (%)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Positive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16 (24.2)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42 (63.6)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8 (12.1)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66 (100.0)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Negative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 (9.1)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30 (68.2)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10 (22.7)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44 (100.0)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20 (18.2)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72 (65.5)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 (16.4)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110 (100.0)</w:t>
            </w:r>
          </w:p>
        </w:tc>
      </w:tr>
    </w:tbl>
    <w:p>
      <w:pPr>
        <w:spacing w:line="480" w:lineRule="auto" w:after="0"/>
      </w:pPr>
      <w:r>
        <w:rPr>
          <w:b w:val="0"/>
        </w:rPr>
        <w:t>Spearman correlation test: p=0.024.</w:t>
      </w:r>
    </w:p>
    <w:p>
      <w:pPr>
        <w:spacing w:line="480" w:lineRule="auto" w:after="0"/>
      </w:pPr>
      <w:r>
        <w:rPr>
          <w:b w:val="0"/>
        </w:rPr>
      </w:r>
    </w:p>
    <w:p>
      <w:pPr>
        <w:spacing w:line="480" w:lineRule="auto" w:after="0"/>
      </w:pPr>
      <w:r>
        <w:rPr>
          <w:b w:val="0"/>
        </w:rPr>
        <w:t>Table 5. Association between sleep quality and academic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Sleep quality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Low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Moderate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High n (%)</w:t>
            </w:r>
          </w:p>
        </w:tc>
        <w:tc>
          <w:tcPr>
            <w:tcW w:type="dxa" w:w="1872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Good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 (6.5)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21 (67.7)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8 (25.8)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31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Poor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 (22.8)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51 (64.6)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10 (12.7)</w:t>
            </w:r>
          </w:p>
        </w:tc>
        <w:tc>
          <w:tcPr>
            <w:tcW w:type="dxa" w:w="1872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79</w:t>
            </w:r>
          </w:p>
        </w:tc>
      </w:tr>
      <w:tr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Total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72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18</w:t>
            </w:r>
          </w:p>
        </w:tc>
        <w:tc>
          <w:tcPr>
            <w:tcW w:type="dxa" w:w="1872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110</w:t>
            </w:r>
          </w:p>
        </w:tc>
      </w:tr>
    </w:tbl>
    <w:p>
      <w:pPr>
        <w:spacing w:line="480" w:lineRule="auto" w:after="0"/>
      </w:pPr>
      <w:r>
        <w:rPr>
          <w:b w:val="0"/>
        </w:rPr>
        <w:t>Spearman correlation test: p=0.018.</w:t>
      </w:r>
    </w:p>
    <w:p>
      <w:pPr>
        <w:spacing w:line="480" w:lineRule="auto" w:after="0"/>
      </w:pPr>
      <w:r>
        <w:rPr>
          <w:b w:val="0"/>
        </w:rPr>
      </w:r>
    </w:p>
    <w:p>
      <w:r>
        <w:br w:type="page"/>
      </w:r>
    </w:p>
    <w:p>
      <w:pPr>
        <w:spacing w:line="480" w:lineRule="auto" w:after="0"/>
      </w:pPr>
      <w:r>
        <w:rPr>
          <w:b w:val="0"/>
        </w:rPr>
        <w:t>Table 6. Regression analysis of the association of head lice infestation with sleep quality and academic performance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Outcome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Regression coefficient (B)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p value</w:t>
            </w:r>
          </w:p>
        </w:tc>
        <w:tc>
          <w:tcPr>
            <w:tcW w:type="dxa" w:w="234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95% CI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Sleep quality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-0.477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&lt;0.001</w:t>
            </w:r>
          </w:p>
        </w:tc>
        <w:tc>
          <w:tcPr>
            <w:tcW w:type="dxa" w:w="2340"/>
            <w:vAlign w:val="center"/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-0.627 to -0.328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Academic performance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0.258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0.024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  <w:insideH w:val="nil"/>
              <w:insideV w:val="nil"/>
            </w:tcBorders>
          </w:tcPr>
          <w:p>
            <w:pPr>
              <w:spacing w:line="240" w:lineRule="auto" w:after="0"/>
            </w:pPr>
            <w:r/>
            <w:r>
              <w:rPr>
                <w:rFonts w:ascii="Times New Roman" w:hAnsi="Times New Roman"/>
                <w:sz w:val="24"/>
              </w:rPr>
              <w:t>0.034 to 0.481</w:t>
            </w:r>
          </w:p>
        </w:tc>
      </w:tr>
    </w:tbl>
    <w:p>
      <w:pPr>
        <w:spacing w:line="480" w:lineRule="auto" w:after="0"/>
      </w:pPr>
      <w:r>
        <w:rPr>
          <w:b w:val="0"/>
        </w:rPr>
        <w:t>CI, confidence interval. The coding of outcome categories was retained from the original analysis; a positive coefficient for academic performance indicates a shift toward the poorer academic-performance category.</w:t>
      </w:r>
    </w:p>
    <w:p>
      <w:pPr>
        <w:spacing w:line="480" w:lineRule="auto" w:after="0"/>
      </w:pPr>
      <w:r>
        <w:rPr>
          <w:b w:val="0"/>
        </w:rPr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