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eastAsia="Times New Roman"/>
          <w:b/>
          <w:i w:val="0"/>
          <w:sz w:val="24"/>
        </w:rPr>
        <w:t>Effect of Higher Daily Boiled Chicken Egg Consumption on Mid-Upper Arm Circumference and Hemoglobin Levels among Pregnant Women with Chronic Energy Deficiency: A Quasi-Experimental Study</w:t>
      </w:r>
    </w:p>
    <w:p>
      <w:pPr>
        <w:spacing w:line="480" w:lineRule="auto" w:after="0"/>
      </w:pPr>
    </w:p>
    <w:p>
      <w:pPr>
        <w:pStyle w:val="Heading1"/>
        <w:spacing w:line="480" w:lineRule="auto"/>
        <w:jc w:val="left"/>
      </w:pPr>
      <w:r>
        <w:rPr>
          <w:rFonts w:ascii="Times New Roman" w:hAnsi="Times New Roman" w:eastAsia="Times New Roman"/>
          <w:b/>
          <w:sz w:val="24"/>
        </w:rPr>
        <w:t>ABSTRACT</w:t>
      </w:r>
    </w:p>
    <w:p>
      <w:pPr>
        <w:spacing w:line="480" w:lineRule="auto" w:after="0"/>
      </w:pPr>
      <w:r>
        <w:rPr>
          <w:rFonts w:ascii="Times New Roman" w:hAnsi="Times New Roman" w:eastAsia="Times New Roman"/>
          <w:b/>
          <w:i w:val="0"/>
          <w:sz w:val="24"/>
        </w:rPr>
        <w:t xml:space="preserve">Objective: </w:t>
      </w:r>
      <w:r>
        <w:rPr>
          <w:rFonts w:ascii="Times New Roman" w:hAnsi="Times New Roman" w:eastAsia="Times New Roman"/>
          <w:b w:val="0"/>
          <w:i w:val="0"/>
          <w:sz w:val="24"/>
        </w:rPr>
        <w:t xml:space="preserve">To evaluate the effect of higher daily boiled chicken egg consumption on mid-upper arm circumference (MUAC) and hemoglobin (Hb) levels among pregnant women with chronic energy deficiency (CED). </w:t>
      </w:r>
      <w:r>
        <w:rPr>
          <w:rFonts w:ascii="Times New Roman" w:hAnsi="Times New Roman" w:eastAsia="Times New Roman"/>
          <w:b/>
          <w:i w:val="0"/>
          <w:sz w:val="24"/>
        </w:rPr>
        <w:t xml:space="preserve">Materials and Methods: </w:t>
      </w:r>
      <w:r>
        <w:rPr>
          <w:rFonts w:ascii="Times New Roman" w:hAnsi="Times New Roman" w:eastAsia="Times New Roman"/>
          <w:b w:val="0"/>
          <w:i w:val="0"/>
          <w:sz w:val="24"/>
        </w:rPr>
        <w:t xml:space="preserve">This quasi-experimental study used a non-equivalent comparison group design. Sixty pregnant women with CED were recruited from a public health center in Kendari City, Indonesia, and allocated to an intervention group (two boiled chicken eggs per day; n=30) or a comparison group (one boiled chicken egg per day; n=30) for eight weeks. MUAC and Hb levels were measured before and after the intervention. Data were analyzed using paired and independent t-tests after normality testing with the Shapiro-Wilk test. Statistical significance was set at p&lt;0.05. </w:t>
      </w:r>
      <w:r>
        <w:rPr>
          <w:rFonts w:ascii="Times New Roman" w:hAnsi="Times New Roman" w:eastAsia="Times New Roman"/>
          <w:b/>
          <w:i w:val="0"/>
          <w:sz w:val="24"/>
        </w:rPr>
        <w:t xml:space="preserve">Results: </w:t>
      </w:r>
      <w:r>
        <w:rPr>
          <w:rFonts w:ascii="Times New Roman" w:hAnsi="Times New Roman" w:eastAsia="Times New Roman"/>
          <w:b w:val="0"/>
          <w:i w:val="0"/>
          <w:sz w:val="24"/>
        </w:rPr>
        <w:t xml:space="preserve">Both groups showed increases in MUAC and Hb levels after eight weeks. The intervention group had a greater mean increase in MUAC than the comparison group (0.63 cm vs 0.29 cm; t=5.74; p&lt;0.001). The mean increase in Hb level was also higher in the intervention group than in the comparison group (0.88 g/dL vs 0.72 g/dL; t=1.87; p=0.03). </w:t>
      </w:r>
      <w:r>
        <w:rPr>
          <w:rFonts w:ascii="Times New Roman" w:hAnsi="Times New Roman" w:eastAsia="Times New Roman"/>
          <w:b/>
          <w:i w:val="0"/>
          <w:sz w:val="24"/>
        </w:rPr>
        <w:t xml:space="preserve">Conclusion: </w:t>
      </w:r>
      <w:r>
        <w:rPr>
          <w:rFonts w:ascii="Times New Roman" w:hAnsi="Times New Roman" w:eastAsia="Times New Roman"/>
          <w:b w:val="0"/>
          <w:i w:val="0"/>
          <w:sz w:val="24"/>
        </w:rPr>
        <w:t>Higher daily consumption of boiled chicken eggs was associated with greater improvements in MUAC and Hb levels among pregnant women with CED. Egg-based dietary supplementation may be a simple and feasible nutritional strategy to support maternal nutritional status during pregnancy.</w:t>
      </w:r>
    </w:p>
    <w:p>
      <w:pPr>
        <w:spacing w:line="480" w:lineRule="auto" w:after="0"/>
      </w:pPr>
      <w:r>
        <w:rPr>
          <w:rFonts w:ascii="Times New Roman" w:hAnsi="Times New Roman" w:eastAsia="Times New Roman"/>
          <w:i w:val="0"/>
          <w:sz w:val="24"/>
        </w:rPr>
        <w:t>Keywords: chicken egg; chronic energy deficiency; hemoglobin; mid-upper arm circumference; pregnancy</w:t>
      </w:r>
    </w:p>
    <w:p>
      <w:pPr>
        <w:spacing w:line="480" w:lineRule="auto" w:after="0"/>
      </w:pPr>
    </w:p>
    <w:p>
      <w:pPr>
        <w:pStyle w:val="Heading1"/>
        <w:spacing w:line="480" w:lineRule="auto"/>
        <w:jc w:val="left"/>
      </w:pPr>
      <w:r>
        <w:rPr>
          <w:rFonts w:ascii="Times New Roman" w:hAnsi="Times New Roman" w:eastAsia="Times New Roman"/>
          <w:b/>
          <w:sz w:val="24"/>
        </w:rPr>
        <w:t>บทคัดย่อ</w:t>
      </w:r>
    </w:p>
    <w:p>
      <w:pPr>
        <w:spacing w:line="480" w:lineRule="auto" w:after="0"/>
      </w:pPr>
      <w:r>
        <w:rPr>
          <w:rFonts w:ascii="Times New Roman" w:hAnsi="Times New Roman" w:eastAsia="Times New Roman"/>
          <w:i w:val="0"/>
          <w:sz w:val="24"/>
        </w:rPr>
        <w:t>วัตถุประสงค์: เพื่อประเมินผลของการบริโภคไข่ไก่ต้มในปริมาณที่สูงขึ้นต่อเส้นรอบวงกึ่งกลางต้นแขน (MUAC) และระดับฮีโมโกลบิน (Hb) ในหญิงตั้งครรภ์ที่มีภาวะขาดพลังงานเรื้อรัง (CED)</w:t>
      </w:r>
    </w:p>
    <w:p>
      <w:pPr>
        <w:spacing w:line="480" w:lineRule="auto" w:after="0"/>
      </w:pPr>
      <w:r>
        <w:rPr>
          <w:rFonts w:ascii="Times New Roman" w:hAnsi="Times New Roman" w:eastAsia="Times New Roman"/>
          <w:i w:val="0"/>
          <w:sz w:val="24"/>
        </w:rPr>
        <w:t>วัสดุและวิธีการ: การศึกษานี้เป็นการวิจัยกึ่งทดลองแบบมีกลุ่มเปรียบเทียบที่ไม่เทียบเท่า กลุ่มตัวอย่างเป็นหญิงตั้งครรภ์ที่มีภาวะ CED จำนวน 60 คน จากศูนย์บริการสาธารณสุขแห่งหนึ่งในเมืองเคนดารี ประเทศอินโดนีเซีย แบ่งเป็นกลุ่มแทรกแซงที่บริโภคไข่ไก่ต้มวันละ 2 ฟอง จำนวน 30 คน และกลุ่มเปรียบเทียบที่บริโภคไข่ไก่ต้มวันละ 1 ฟอง จำนวน 30 คน เป็นเวลา 8 สัปดาห์ วัดค่า MUAC และระดับ Hb ก่อนและหลังการแทรกแซง วิเคราะห์ข้อมูลด้วย paired t-test และ independent t-test หลังการทดสอบการแจกแจงปกติด้วย Shapiro-Wilk test โดยกำหนดระดับนัยสำคัญทางสถิติที่ p&lt;0.05</w:t>
      </w:r>
    </w:p>
    <w:p>
      <w:pPr>
        <w:spacing w:line="480" w:lineRule="auto" w:after="0"/>
      </w:pPr>
      <w:r>
        <w:rPr>
          <w:rFonts w:ascii="Times New Roman" w:hAnsi="Times New Roman" w:eastAsia="Times New Roman"/>
          <w:i w:val="0"/>
          <w:sz w:val="24"/>
        </w:rPr>
        <w:t>ผลการศึกษา: ทั้งสองกลุ่มมีค่า MUAC และระดับ Hb เพิ่มขึ้นหลังครบ 8 สัปดาห์ กลุ่มแทรกแซงมีค่าเฉลี่ยการเพิ่มขึ้นของ MUAC มากกว่ากลุ่มเปรียบเทียบ (0.63 ซม. เทียบกับ 0.29 ซม.; t=5.74; p&lt;0.001) และมีค่าเฉลี่ยการเพิ่มขึ้นของระดับ Hb มากกว่ากลุ่มเปรียบเทียบ (0.88 g/dL เทียบกับ 0.72 g/dL; t=1.87; p=0.03)</w:t>
      </w:r>
    </w:p>
    <w:p>
      <w:pPr>
        <w:spacing w:line="480" w:lineRule="auto" w:after="0"/>
      </w:pPr>
      <w:r>
        <w:rPr>
          <w:rFonts w:ascii="Times New Roman" w:hAnsi="Times New Roman" w:eastAsia="Times New Roman"/>
          <w:i w:val="0"/>
          <w:sz w:val="24"/>
        </w:rPr>
        <w:t>สรุป: การบริโภคไข่ไก่ต้มในปริมาณที่สูงขึ้นสัมพันธ์กับการเพิ่มขึ้นของ MUAC และระดับ Hb ในหญิงตั้งครรภ์ที่มีภาวะ CED การเสริมอาหารด้วยไข่อาจเป็นแนวทางด้านโภชนาการที่ง่ายและปฏิบัติได้เพื่อสนับสนุนภาวะโภชนาการของมารดาในระหว่างตั้งครรภ์</w:t>
      </w:r>
    </w:p>
    <w:p>
      <w:pPr>
        <w:spacing w:line="480" w:lineRule="auto" w:after="0"/>
      </w:pPr>
      <w:r>
        <w:rPr>
          <w:rFonts w:ascii="Times New Roman" w:hAnsi="Times New Roman" w:eastAsia="Times New Roman"/>
          <w:i w:val="0"/>
          <w:sz w:val="24"/>
        </w:rPr>
        <w:t>คำสำคัญ: ไข่ไก่; ภาวะขาดพลังงานเรื้อรัง; ฮีโมโกลบิน; เส้นรอบวงกึ่งกลางต้นแขน; การตั้งครรภ์</w:t>
      </w:r>
    </w:p>
    <w:p>
      <w:pPr>
        <w:spacing w:line="480" w:lineRule="auto" w:after="0"/>
      </w:pPr>
    </w:p>
    <w:p>
      <w:pPr>
        <w:pStyle w:val="Heading1"/>
        <w:spacing w:line="480" w:lineRule="auto"/>
        <w:jc w:val="left"/>
      </w:pPr>
      <w:r>
        <w:rPr>
          <w:rFonts w:ascii="Times New Roman" w:hAnsi="Times New Roman" w:eastAsia="Times New Roman"/>
          <w:b/>
          <w:sz w:val="24"/>
        </w:rPr>
        <w:t>INTRODUCTION</w:t>
      </w:r>
    </w:p>
    <w:p>
      <w:pPr>
        <w:spacing w:line="480" w:lineRule="auto" w:after="0"/>
      </w:pPr>
      <w:r>
        <w:rPr>
          <w:rFonts w:ascii="Times New Roman" w:hAnsi="Times New Roman" w:eastAsia="Times New Roman"/>
          <w:b w:val="0"/>
          <w:i w:val="0"/>
          <w:sz w:val="24"/>
        </w:rPr>
        <w:t>Chronic energy deficiency (CED) remains a maternal nutrition problem in low- and middle-income settings and is commonly related to prolonged inadequacy of macronutrient intake.</w:t>
      </w:r>
      <w:r>
        <w:rPr>
          <w:rFonts w:ascii="Times New Roman" w:hAnsi="Times New Roman" w:eastAsia="Times New Roman"/>
          <w:b w:val="0"/>
          <w:i w:val="0"/>
          <w:sz w:val="24"/>
          <w:vertAlign w:val="superscript"/>
        </w:rPr>
      </w:r>
      <w:r>
        <w:rPr>
          <w:rFonts w:ascii="Times New Roman" w:hAnsi="Times New Roman" w:eastAsia="Times New Roman"/>
          <w:b w:val="0"/>
          <w:i w:val="0"/>
          <w:sz w:val="24"/>
        </w:rPr>
      </w:r>
      <w:r>
        <w:rPr>
          <w:rFonts w:ascii="Times New Roman" w:hAnsi="Times New Roman" w:eastAsia="Times New Roman"/>
          <w:b w:val="0"/>
          <w:i w:val="0"/>
          <w:sz w:val="24"/>
          <w:vertAlign w:val="superscript"/>
        </w:rPr>
      </w:r>
      <w:r>
        <w:rPr>
          <w:rFonts w:ascii="Times New Roman" w:hAnsi="Times New Roman"/>
          <w:sz w:val="24"/>
          <w:vertAlign w:val="superscript"/>
        </w:rPr>
        <w:t>(1-3)</w:t>
      </w:r>
      <w:r>
        <w:rPr>
          <w:rFonts w:ascii="Times New Roman" w:hAnsi="Times New Roman"/>
          <w:sz w:val="24"/>
        </w:rPr>
        <w:t xml:space="preserve"> In pregnancy, CED is clinically important because maternal undernutrition can affect maternal health and fetal growth. Mid-upper arm circumference (MUAC) is widely used as a simple anthropometric indicator for identifying the risk of maternal undernutrition and CED during pregnancy.</w:t>
      </w:r>
      <w:r>
        <w:rPr>
          <w:rFonts w:ascii="Times New Roman" w:hAnsi="Times New Roman"/>
          <w:sz w:val="24"/>
          <w:vertAlign w:val="superscript"/>
        </w:rPr>
        <w:t>(4,5)</w:t>
      </w:r>
    </w:p>
    <w:p>
      <w:pPr>
        <w:spacing w:line="480" w:lineRule="auto" w:after="0"/>
      </w:pPr>
      <w:r>
        <w:rPr>
          <w:rFonts w:ascii="Times New Roman" w:hAnsi="Times New Roman" w:eastAsia="Times New Roman"/>
          <w:b w:val="0"/>
          <w:i w:val="0"/>
          <w:sz w:val="24"/>
        </w:rPr>
        <w:t>Adequate nutrition during pregnancy is necessary to support maternal physiological adaptation, placental growth, and fetal development.</w:t>
      </w:r>
      <w:r>
        <w:rPr>
          <w:rFonts w:ascii="Times New Roman" w:hAnsi="Times New Roman" w:eastAsia="Times New Roman"/>
          <w:b w:val="0"/>
          <w:i w:val="0"/>
          <w:sz w:val="24"/>
          <w:vertAlign w:val="superscript"/>
        </w:rPr>
      </w:r>
      <w:r>
        <w:rPr>
          <w:rFonts w:ascii="Times New Roman" w:hAnsi="Times New Roman" w:eastAsia="Times New Roman"/>
          <w:b w:val="0"/>
          <w:i w:val="0"/>
          <w:sz w:val="24"/>
        </w:rPr>
      </w:r>
      <w:r>
        <w:rPr>
          <w:rFonts w:ascii="Times New Roman" w:hAnsi="Times New Roman" w:eastAsia="Times New Roman"/>
          <w:b w:val="0"/>
          <w:i w:val="0"/>
          <w:sz w:val="24"/>
          <w:vertAlign w:val="superscript"/>
        </w:rPr>
      </w:r>
      <w:r>
        <w:rPr>
          <w:rFonts w:ascii="Times New Roman" w:hAnsi="Times New Roman"/>
          <w:sz w:val="24"/>
          <w:vertAlign w:val="superscript"/>
        </w:rPr>
        <w:t>(6)</w:t>
      </w:r>
      <w:r>
        <w:rPr>
          <w:rFonts w:ascii="Times New Roman" w:hAnsi="Times New Roman"/>
          <w:sz w:val="24"/>
        </w:rPr>
        <w:t xml:space="preserve"> Protein is a key nutrient because amino acids are required for tissue synthesis, fetal growth, and cellular development, particularly during the second and third trimesters when fetal growth accelerates.</w:t>
      </w:r>
      <w:r>
        <w:rPr>
          <w:rFonts w:ascii="Times New Roman" w:hAnsi="Times New Roman"/>
          <w:sz w:val="24"/>
          <w:vertAlign w:val="superscript"/>
        </w:rPr>
        <w:t>(7-9)</w:t>
      </w:r>
    </w:p>
    <w:p>
      <w:pPr>
        <w:spacing w:line="480" w:lineRule="auto" w:after="0"/>
      </w:pPr>
      <w:r>
        <w:rPr>
          <w:rFonts w:ascii="Times New Roman" w:hAnsi="Times New Roman" w:eastAsia="Times New Roman"/>
          <w:b w:val="0"/>
          <w:i w:val="0"/>
          <w:sz w:val="24"/>
        </w:rPr>
        <w:t>Animal-source foods provide high-quality protein and several micronutrients relevant to pregnancy. Eggs are relatively affordable, locally available, and easily prepared, making them a potentially feasible food-based approach to support maternal nutrition.</w:t>
      </w:r>
      <w:r>
        <w:rPr>
          <w:rFonts w:ascii="Times New Roman" w:hAnsi="Times New Roman" w:eastAsia="Times New Roman"/>
          <w:b w:val="0"/>
          <w:i w:val="0"/>
          <w:sz w:val="24"/>
          <w:vertAlign w:val="superscript"/>
        </w:rPr>
      </w:r>
      <w:r>
        <w:rPr>
          <w:rFonts w:ascii="Times New Roman" w:hAnsi="Times New Roman" w:eastAsia="Times New Roman"/>
          <w:b w:val="0"/>
          <w:i w:val="0"/>
          <w:sz w:val="24"/>
        </w:rPr>
      </w:r>
      <w:r>
        <w:rPr>
          <w:rFonts w:ascii="Times New Roman" w:hAnsi="Times New Roman" w:eastAsia="Times New Roman"/>
          <w:b w:val="0"/>
          <w:i w:val="0"/>
          <w:sz w:val="24"/>
          <w:vertAlign w:val="superscript"/>
        </w:rPr>
      </w:r>
      <w:r>
        <w:rPr>
          <w:rFonts w:ascii="Times New Roman" w:hAnsi="Times New Roman"/>
          <w:sz w:val="24"/>
          <w:vertAlign w:val="superscript"/>
        </w:rPr>
        <w:t>(10,11,15)</w:t>
      </w:r>
      <w:r>
        <w:rPr>
          <w:rFonts w:ascii="Times New Roman" w:hAnsi="Times New Roman"/>
          <w:sz w:val="24"/>
        </w:rPr>
        <w:t xml:space="preserve"> In addition to protein intake, anemia prevention during pregnancy requires adequate iron intake and supportive nutrients that influence erythropoiesis and iron utilization.</w:t>
      </w:r>
      <w:r>
        <w:rPr>
          <w:rFonts w:ascii="Times New Roman" w:hAnsi="Times New Roman"/>
          <w:sz w:val="24"/>
          <w:vertAlign w:val="superscript"/>
        </w:rPr>
        <w:t>(12,16-18,26)</w:t>
      </w:r>
    </w:p>
    <w:p>
      <w:pPr>
        <w:spacing w:line="480" w:lineRule="auto" w:after="0"/>
      </w:pPr>
      <w:r>
        <w:rPr>
          <w:rFonts w:ascii="Times New Roman" w:hAnsi="Times New Roman" w:eastAsia="Times New Roman"/>
          <w:b w:val="0"/>
          <w:i w:val="0"/>
          <w:sz w:val="24"/>
        </w:rPr>
        <w:t>Although nutritional supplementation and dietary counseling are central components of antenatal care, evidence on simple food-based interventions for pregnant women with CED remains limited in many community settings. This study aimed to evaluate the effect of higher daily boiled chicken egg consumption on MUAC and hemoglobin (Hb) levels among pregnant women with CED.</w:t>
      </w:r>
    </w:p>
    <w:p>
      <w:pPr>
        <w:pStyle w:val="Heading1"/>
        <w:spacing w:line="480" w:lineRule="auto"/>
        <w:jc w:val="left"/>
      </w:pPr>
      <w:r>
        <w:rPr>
          <w:rFonts w:ascii="Times New Roman" w:hAnsi="Times New Roman" w:eastAsia="Times New Roman"/>
          <w:b/>
          <w:sz w:val="24"/>
        </w:rPr>
        <w:t>MATERIALS AND METHODS</w:t>
      </w:r>
    </w:p>
    <w:p>
      <w:pPr>
        <w:spacing w:line="480" w:lineRule="auto" w:after="0"/>
      </w:pPr>
      <w:r>
        <w:rPr>
          <w:rFonts w:ascii="Times New Roman" w:hAnsi="Times New Roman" w:eastAsia="Times New Roman"/>
          <w:i w:val="0"/>
          <w:sz w:val="24"/>
        </w:rPr>
        <w:t>Study design and setting</w:t>
      </w:r>
    </w:p>
    <w:p>
      <w:pPr>
        <w:spacing w:line="480" w:lineRule="auto" w:after="0"/>
      </w:pPr>
      <w:r>
        <w:rPr>
          <w:rFonts w:ascii="Times New Roman" w:hAnsi="Times New Roman" w:eastAsia="Times New Roman"/>
          <w:i w:val="0"/>
          <w:sz w:val="24"/>
        </w:rPr>
        <w:t>This quasi-experimental study used a non-equivalent comparison group design. The intervention consisted of daily boiled chicken egg consumption for eight weeks. The study was conducted at a public health center in Kendari City, Indonesia.</w:t>
      </w:r>
    </w:p>
    <w:p>
      <w:pPr>
        <w:spacing w:line="480" w:lineRule="auto" w:after="0"/>
      </w:pPr>
      <w:r>
        <w:rPr>
          <w:rFonts w:ascii="Times New Roman" w:hAnsi="Times New Roman" w:eastAsia="Times New Roman"/>
          <w:i w:val="0"/>
          <w:sz w:val="24"/>
        </w:rPr>
        <w:t>Participants</w:t>
      </w:r>
    </w:p>
    <w:p>
      <w:pPr>
        <w:spacing w:line="480" w:lineRule="auto" w:after="0"/>
      </w:pPr>
      <w:r>
        <w:rPr>
          <w:rFonts w:ascii="Times New Roman" w:hAnsi="Times New Roman" w:eastAsia="Times New Roman"/>
          <w:i w:val="0"/>
          <w:sz w:val="24"/>
        </w:rPr>
        <w:t>A total of 60 pregnant women with chronic energy deficiency were recruited and divided into two groups: an intervention group (n=30) and a comparison group (n=30). The inclusion criteria were pregnant women with gestational age between more than 12 and 24 weeks, residence within the public health center working area, and willingness to participate. The exclusion criteria were concurrent illness requiring medical treatment and refusal or inability to participate throughout the study period.</w:t>
      </w:r>
    </w:p>
    <w:p>
      <w:pPr>
        <w:spacing w:line="480" w:lineRule="auto" w:after="0"/>
      </w:pPr>
      <w:r>
        <w:rPr>
          <w:rFonts w:ascii="Times New Roman" w:hAnsi="Times New Roman" w:eastAsia="Times New Roman"/>
          <w:i w:val="0"/>
          <w:sz w:val="24"/>
        </w:rPr>
        <w:t>Intervention</w:t>
      </w:r>
    </w:p>
    <w:p>
      <w:pPr>
        <w:spacing w:line="480" w:lineRule="auto" w:after="0"/>
      </w:pPr>
      <w:r>
        <w:rPr>
          <w:rFonts w:ascii="Times New Roman" w:hAnsi="Times New Roman" w:eastAsia="Times New Roman"/>
          <w:i w:val="0"/>
          <w:sz w:val="24"/>
        </w:rPr>
        <w:t>Participants in the intervention group consumed two boiled chicken eggs per day for eight weeks. Participants in the comparison group consumed one boiled chicken egg per day for eight weeks. Compliance with egg consumption was monitored using daily observation sheets.</w:t>
      </w:r>
    </w:p>
    <w:p>
      <w:pPr>
        <w:spacing w:line="480" w:lineRule="auto" w:after="0"/>
      </w:pPr>
      <w:r>
        <w:rPr>
          <w:rFonts w:ascii="Times New Roman" w:hAnsi="Times New Roman" w:eastAsia="Times New Roman"/>
          <w:i w:val="0"/>
          <w:sz w:val="24"/>
        </w:rPr>
        <w:t>Outcome measurements</w:t>
      </w:r>
    </w:p>
    <w:p>
      <w:pPr>
        <w:spacing w:line="480" w:lineRule="auto" w:after="0"/>
      </w:pPr>
      <w:r>
        <w:rPr>
          <w:rFonts w:ascii="Times New Roman" w:hAnsi="Times New Roman" w:eastAsia="Times New Roman"/>
          <w:i w:val="0"/>
          <w:sz w:val="24"/>
        </w:rPr>
        <w:t>The primary outcomes were MUAC and Hb levels. MUAC was measured in centimeters, and Hb level was measured in g/dL. Measurements were conducted at baseline before the intervention and after eight weeks of intervention.</w:t>
      </w:r>
    </w:p>
    <w:p>
      <w:pPr>
        <w:spacing w:line="480" w:lineRule="auto" w:after="0"/>
      </w:pPr>
      <w:r>
        <w:rPr>
          <w:rFonts w:ascii="Times New Roman" w:hAnsi="Times New Roman" w:eastAsia="Times New Roman"/>
          <w:i w:val="0"/>
          <w:sz w:val="24"/>
        </w:rPr>
        <w:t>Statistical analysis</w:t>
      </w:r>
    </w:p>
    <w:p>
      <w:pPr>
        <w:spacing w:line="480" w:lineRule="auto" w:after="0"/>
      </w:pPr>
      <w:r>
        <w:rPr>
          <w:rFonts w:ascii="Times New Roman" w:hAnsi="Times New Roman" w:eastAsia="Times New Roman"/>
          <w:i w:val="0"/>
          <w:sz w:val="24"/>
        </w:rPr>
        <w:t>Data were processed through editing, coding, tabulation, and scoring. Statistical analysis was performed using SPSS software. Normality was assessed using the Shapiro-Wilk test. Within-group differences were analyzed using paired t-tests, and between-group differences in mean changes were analyzed using independent t-tests. A p value of less than 0.05 was considered statistically significant.</w:t>
      </w:r>
    </w:p>
    <w:p>
      <w:pPr>
        <w:spacing w:line="480" w:lineRule="auto" w:after="0"/>
      </w:pPr>
      <w:r>
        <w:rPr>
          <w:rFonts w:ascii="Times New Roman" w:hAnsi="Times New Roman" w:eastAsia="Times New Roman"/>
          <w:i w:val="0"/>
          <w:sz w:val="24"/>
        </w:rPr>
        <w:t>Ethical considerations</w:t>
      </w:r>
    </w:p>
    <w:p>
      <w:pPr>
        <w:spacing w:line="480" w:lineRule="auto" w:after="0"/>
      </w:pPr>
      <w:r>
        <w:rPr>
          <w:rFonts w:ascii="Times New Roman" w:hAnsi="Times New Roman" w:eastAsia="Times New Roman"/>
          <w:i w:val="0"/>
          <w:sz w:val="24"/>
        </w:rPr>
        <w:t>This study was conducted in accordance with the ethical principles for research involving human participants and the Declaration of Helsinki. Written informed consent was obtained from all participants before enrollment. Participant confidentiality and anonymity were maintained, and all data were used only for research purposes. Ethical approval was obtained from an institutional research ethics committee (approval number: [insert ethical approval number]; approval date: [insert date]).</w:t>
      </w:r>
    </w:p>
    <w:p>
      <w:pPr>
        <w:spacing w:line="480" w:lineRule="auto" w:after="0"/>
      </w:pPr>
      <w:r>
        <w:rPr>
          <w:rFonts w:ascii="Times New Roman" w:hAnsi="Times New Roman" w:eastAsia="Times New Roman"/>
          <w:i w:val="0"/>
          <w:sz w:val="24"/>
        </w:rPr>
        <w:t>Trial registration</w:t>
      </w:r>
    </w:p>
    <w:p>
      <w:pPr>
        <w:spacing w:line="480" w:lineRule="auto" w:after="0"/>
      </w:pPr>
      <w:r>
        <w:rPr>
          <w:rFonts w:ascii="Times New Roman" w:hAnsi="Times New Roman" w:eastAsia="Times New Roman"/>
          <w:i w:val="0"/>
          <w:sz w:val="24"/>
        </w:rPr>
        <w:t>This quasi-experimental nutritional intervention study was not registered in a public clinical trial registry. If a registration number is available, it should be inserted before submission.</w:t>
      </w:r>
    </w:p>
    <w:p>
      <w:pPr>
        <w:pStyle w:val="Heading1"/>
        <w:spacing w:line="480" w:lineRule="auto"/>
        <w:jc w:val="left"/>
      </w:pPr>
      <w:r>
        <w:rPr>
          <w:rFonts w:ascii="Times New Roman" w:hAnsi="Times New Roman" w:eastAsia="Times New Roman"/>
          <w:b/>
          <w:sz w:val="24"/>
        </w:rPr>
        <w:t>RESULTS</w:t>
      </w:r>
    </w:p>
    <w:p>
      <w:pPr>
        <w:spacing w:line="480" w:lineRule="auto" w:after="0"/>
      </w:pPr>
      <w:r>
        <w:rPr>
          <w:rFonts w:ascii="Times New Roman" w:hAnsi="Times New Roman" w:eastAsia="Times New Roman"/>
          <w:i w:val="0"/>
          <w:sz w:val="24"/>
        </w:rPr>
        <w:t>Participant characteristics</w:t>
      </w:r>
    </w:p>
    <w:p>
      <w:pPr>
        <w:spacing w:line="480" w:lineRule="auto" w:after="0"/>
      </w:pPr>
      <w:r>
        <w:rPr>
          <w:rFonts w:ascii="Times New Roman" w:hAnsi="Times New Roman" w:eastAsia="Times New Roman"/>
          <w:i w:val="0"/>
          <w:sz w:val="24"/>
        </w:rPr>
        <w:t>Most respondents were aged 20-35 years. The majority had a high school education or equivalent. Based on gestational age, more than half of participants in the intervention group and nearly half in the comparison group were at less than 24 weeks of pregnancy. Most respondents in both groups were primigravida.</w:t>
      </w:r>
    </w:p>
    <w:p>
      <w:pPr>
        <w:spacing w:line="480" w:lineRule="auto" w:after="0"/>
      </w:pPr>
      <w:r>
        <w:rPr>
          <w:rFonts w:ascii="Times New Roman" w:hAnsi="Times New Roman" w:eastAsia="Times New Roman"/>
          <w:i w:val="0"/>
          <w:sz w:val="24"/>
        </w:rPr>
        <w:t>Table 1. Characteristics of the respondents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880"/>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Variable</w:t>
            </w:r>
          </w:p>
        </w:tc>
        <w:tc>
          <w:tcPr>
            <w:tcW w:type="dxa" w:w="2160"/>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Intervention n (%)</w:t>
            </w:r>
          </w:p>
        </w:tc>
        <w:tc>
          <w:tcPr>
            <w:tcW w:type="dxa" w:w="2160"/>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Comparison n (%)</w:t>
            </w:r>
          </w:p>
        </w:tc>
        <w:tc>
          <w:tcPr>
            <w:tcW w:type="dxa" w:w="2160"/>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Total n (%)</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Age, years</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&lt;20</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3 (10.00)</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7 (23.33)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10 (16.67)</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20-35</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25 (83.33)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22 (73.33)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47 (78.33)</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&gt;35</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2 (6.67)</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 (3.33)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3 (5.00)</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Education</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Elementary school</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 (3.33)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2 (6.67)</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3 (5.00)</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Junior high school</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 (3.33)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5 (16.67)</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6 (10.00)</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High school/equivalent</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24 (80.00)</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19 (63.33)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43 (71.67)</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College/university</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4 (13.33)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4 (13.33)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8 (13.33)</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Gestational age</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&lt;24 weeks</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17 (56.67)</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14 (46.67)</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31 (51.67)</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&gt;=24 weeks</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13 (43.33)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16 (53.33)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29 (48.33)</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Gravida</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Primigravida</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18 (60.00)</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17 (56.67)</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35 (58.33)</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Multigravida</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11 (36.67)</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13 (43.33)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24 (40.00)</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Grand multigravida</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 (3.33)</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0 (0.00)</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1 (1.67)</w:t>
            </w:r>
          </w:p>
        </w:tc>
      </w:tr>
      <w:tr>
        <w:tc>
          <w:tcPr>
            <w:tcW w:type="dxa" w:w="2880"/>
            <w:vAlign w:val="center"/>
          </w:tcPr>
          <w:p>
            <w:pPr>
              <w:spacing w:line="480" w:lineRule="auto"/>
              <w:jc w:val="center"/>
            </w:pPr>
            <w:r>
              <w:rPr>
                <w:rFonts w:ascii="Times New Roman" w:hAnsi="Times New Roman"/>
                <w:sz w:val="24"/>
              </w:rPr>
            </w:r>
            <w:r>
              <w:rPr>
                <w:rFonts w:ascii="Times New Roman" w:hAnsi="Times New Roman" w:eastAsia="Times New Roman"/>
                <w:b w:val="0"/>
                <w:sz w:val="24"/>
              </w:rPr>
              <w:t>Total</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30 (100.00)</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30 (100.00)</w:t>
            </w:r>
          </w:p>
        </w:tc>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60 (100.00)</w:t>
            </w:r>
          </w:p>
        </w:tc>
      </w:tr>
    </w:tbl>
    <w:p>
      <w:pPr>
        <w:spacing w:line="480" w:lineRule="auto" w:after="0"/>
      </w:pPr>
      <w:r>
        <w:rPr>
          <w:rFonts w:ascii="Times New Roman" w:hAnsi="Times New Roman" w:eastAsia="Times New Roman"/>
          <w:i w:val="0"/>
          <w:sz w:val="24"/>
        </w:rPr>
        <w:t>Changes in MUAC</w:t>
      </w:r>
    </w:p>
    <w:p>
      <w:pPr>
        <w:spacing w:line="480" w:lineRule="auto" w:after="0"/>
      </w:pPr>
      <w:r>
        <w:rPr>
          <w:rFonts w:ascii="Times New Roman" w:hAnsi="Times New Roman" w:eastAsia="Times New Roman"/>
          <w:i w:val="0"/>
          <w:sz w:val="24"/>
        </w:rPr>
        <w:t>The mean MUAC before the intervention was 21.48 cm in the intervention group and 21.23 cm in the comparison group. After eight weeks, the mean MUAC increased to 22.11 cm in the intervention group and 21.52 cm in the comparison group. The mean increase was greater in the intervention group (0.63 cm) than in the comparison group (0.29 cm).</w:t>
      </w:r>
    </w:p>
    <w:p>
      <w:pPr>
        <w:spacing w:line="480" w:lineRule="auto" w:after="0"/>
      </w:pPr>
      <w:r>
        <w:rPr>
          <w:rFonts w:ascii="Times New Roman" w:hAnsi="Times New Roman" w:eastAsia="Times New Roman"/>
          <w:i w:val="0"/>
          <w:sz w:val="24"/>
        </w:rPr>
        <w:t>Table 2. Mid-upper arm circumference before and after the intervention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592"/>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Group</w:t>
            </w:r>
          </w:p>
        </w:tc>
        <w:tc>
          <w:tcPr>
            <w:tcW w:type="dxa" w:w="1008"/>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n</w:t>
            </w:r>
          </w:p>
        </w:tc>
        <w:tc>
          <w:tcPr>
            <w:tcW w:type="dxa" w:w="1584"/>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Before, cm</w:t>
            </w:r>
          </w:p>
        </w:tc>
        <w:tc>
          <w:tcPr>
            <w:tcW w:type="dxa" w:w="1584"/>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After, cm</w:t>
            </w:r>
          </w:p>
        </w:tc>
        <w:tc>
          <w:tcPr>
            <w:tcW w:type="dxa" w:w="2016"/>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Mean change, cm</w:t>
            </w:r>
          </w:p>
        </w:tc>
      </w:tr>
      <w:tr>
        <w:tc>
          <w:tcPr>
            <w:tcW w:type="dxa" w:w="2592"/>
            <w:vAlign w:val="center"/>
          </w:tcPr>
          <w:p>
            <w:pPr>
              <w:spacing w:line="480" w:lineRule="auto"/>
              <w:jc w:val="center"/>
            </w:pPr>
            <w:r>
              <w:rPr>
                <w:rFonts w:ascii="Times New Roman" w:hAnsi="Times New Roman"/>
                <w:sz w:val="24"/>
              </w:rPr>
            </w:r>
            <w:r>
              <w:rPr>
                <w:rFonts w:ascii="Times New Roman" w:hAnsi="Times New Roman" w:eastAsia="Times New Roman"/>
                <w:b w:val="0"/>
                <w:sz w:val="24"/>
              </w:rPr>
              <w:t>Intervention</w:t>
            </w:r>
          </w:p>
        </w:tc>
        <w:tc>
          <w:tcPr>
            <w:tcW w:type="dxa" w:w="1008"/>
            <w:vAlign w:val="center"/>
          </w:tcPr>
          <w:p>
            <w:pPr>
              <w:spacing w:line="480" w:lineRule="auto"/>
              <w:jc w:val="center"/>
            </w:pPr>
            <w:r>
              <w:rPr>
                <w:rFonts w:ascii="Times New Roman" w:hAnsi="Times New Roman"/>
                <w:sz w:val="24"/>
              </w:rPr>
            </w:r>
            <w:r>
              <w:rPr>
                <w:rFonts w:ascii="Times New Roman" w:hAnsi="Times New Roman" w:eastAsia="Times New Roman"/>
                <w:b w:val="0"/>
                <w:sz w:val="24"/>
              </w:rPr>
              <w:t>30</w:t>
            </w:r>
          </w:p>
        </w:tc>
        <w:tc>
          <w:tcPr>
            <w:tcW w:type="dxa" w:w="1584"/>
            <w:vAlign w:val="center"/>
          </w:tcPr>
          <w:p>
            <w:pPr>
              <w:spacing w:line="480" w:lineRule="auto"/>
              <w:jc w:val="center"/>
            </w:pPr>
            <w:r>
              <w:rPr>
                <w:rFonts w:ascii="Times New Roman" w:hAnsi="Times New Roman"/>
                <w:sz w:val="24"/>
              </w:rPr>
            </w:r>
            <w:r>
              <w:rPr>
                <w:rFonts w:ascii="Times New Roman" w:hAnsi="Times New Roman" w:eastAsia="Times New Roman"/>
                <w:b w:val="0"/>
                <w:sz w:val="24"/>
              </w:rPr>
              <w:t>21.48</w:t>
            </w:r>
          </w:p>
        </w:tc>
        <w:tc>
          <w:tcPr>
            <w:tcW w:type="dxa" w:w="1584"/>
            <w:vAlign w:val="center"/>
          </w:tcPr>
          <w:p>
            <w:pPr>
              <w:spacing w:line="480" w:lineRule="auto"/>
              <w:jc w:val="center"/>
            </w:pPr>
            <w:r>
              <w:rPr>
                <w:rFonts w:ascii="Times New Roman" w:hAnsi="Times New Roman"/>
                <w:sz w:val="24"/>
              </w:rPr>
            </w:r>
            <w:r>
              <w:rPr>
                <w:rFonts w:ascii="Times New Roman" w:hAnsi="Times New Roman" w:eastAsia="Times New Roman"/>
                <w:b w:val="0"/>
                <w:sz w:val="24"/>
              </w:rPr>
              <w:t>22.11</w:t>
            </w:r>
          </w:p>
        </w:tc>
        <w:tc>
          <w:tcPr>
            <w:tcW w:type="dxa" w:w="2016"/>
            <w:vAlign w:val="center"/>
          </w:tcPr>
          <w:p>
            <w:pPr>
              <w:spacing w:line="480" w:lineRule="auto"/>
              <w:jc w:val="center"/>
            </w:pPr>
            <w:r>
              <w:rPr>
                <w:rFonts w:ascii="Times New Roman" w:hAnsi="Times New Roman"/>
                <w:sz w:val="24"/>
              </w:rPr>
            </w:r>
            <w:r>
              <w:rPr>
                <w:rFonts w:ascii="Times New Roman" w:hAnsi="Times New Roman" w:eastAsia="Times New Roman"/>
                <w:b w:val="0"/>
                <w:sz w:val="24"/>
              </w:rPr>
              <w:t>0.63</w:t>
            </w:r>
          </w:p>
        </w:tc>
      </w:tr>
      <w:tr>
        <w:tc>
          <w:tcPr>
            <w:tcW w:type="dxa" w:w="2592"/>
            <w:vAlign w:val="center"/>
          </w:tcPr>
          <w:p>
            <w:pPr>
              <w:spacing w:line="480" w:lineRule="auto"/>
              <w:jc w:val="center"/>
            </w:pPr>
            <w:r>
              <w:rPr>
                <w:rFonts w:ascii="Times New Roman" w:hAnsi="Times New Roman"/>
                <w:sz w:val="24"/>
              </w:rPr>
            </w:r>
            <w:r>
              <w:rPr>
                <w:rFonts w:ascii="Times New Roman" w:hAnsi="Times New Roman" w:eastAsia="Times New Roman"/>
                <w:b w:val="0"/>
                <w:sz w:val="24"/>
              </w:rPr>
              <w:t>Comparison</w:t>
            </w:r>
          </w:p>
        </w:tc>
        <w:tc>
          <w:tcPr>
            <w:tcW w:type="dxa" w:w="1008"/>
            <w:vAlign w:val="center"/>
          </w:tcPr>
          <w:p>
            <w:pPr>
              <w:spacing w:line="480" w:lineRule="auto"/>
              <w:jc w:val="center"/>
            </w:pPr>
            <w:r>
              <w:rPr>
                <w:rFonts w:ascii="Times New Roman" w:hAnsi="Times New Roman"/>
                <w:sz w:val="24"/>
              </w:rPr>
            </w:r>
            <w:r>
              <w:rPr>
                <w:rFonts w:ascii="Times New Roman" w:hAnsi="Times New Roman" w:eastAsia="Times New Roman"/>
                <w:b w:val="0"/>
                <w:sz w:val="24"/>
              </w:rPr>
              <w:t>30</w:t>
            </w:r>
          </w:p>
        </w:tc>
        <w:tc>
          <w:tcPr>
            <w:tcW w:type="dxa" w:w="1584"/>
            <w:vAlign w:val="center"/>
          </w:tcPr>
          <w:p>
            <w:pPr>
              <w:spacing w:line="480" w:lineRule="auto"/>
              <w:jc w:val="center"/>
            </w:pPr>
            <w:r>
              <w:rPr>
                <w:rFonts w:ascii="Times New Roman" w:hAnsi="Times New Roman"/>
                <w:sz w:val="24"/>
              </w:rPr>
            </w:r>
            <w:r>
              <w:rPr>
                <w:rFonts w:ascii="Times New Roman" w:hAnsi="Times New Roman" w:eastAsia="Times New Roman"/>
                <w:b w:val="0"/>
                <w:sz w:val="24"/>
              </w:rPr>
              <w:t>21.23</w:t>
            </w:r>
          </w:p>
        </w:tc>
        <w:tc>
          <w:tcPr>
            <w:tcW w:type="dxa" w:w="1584"/>
            <w:vAlign w:val="center"/>
          </w:tcPr>
          <w:p>
            <w:pPr>
              <w:spacing w:line="480" w:lineRule="auto"/>
              <w:jc w:val="center"/>
            </w:pPr>
            <w:r>
              <w:rPr>
                <w:rFonts w:ascii="Times New Roman" w:hAnsi="Times New Roman"/>
                <w:sz w:val="24"/>
              </w:rPr>
            </w:r>
            <w:r>
              <w:rPr>
                <w:rFonts w:ascii="Times New Roman" w:hAnsi="Times New Roman" w:eastAsia="Times New Roman"/>
                <w:b w:val="0"/>
                <w:sz w:val="24"/>
              </w:rPr>
              <w:t>21.52</w:t>
            </w:r>
          </w:p>
        </w:tc>
        <w:tc>
          <w:tcPr>
            <w:tcW w:type="dxa" w:w="2016"/>
            <w:vAlign w:val="center"/>
          </w:tcPr>
          <w:p>
            <w:pPr>
              <w:spacing w:line="480" w:lineRule="auto"/>
              <w:jc w:val="center"/>
            </w:pPr>
            <w:r>
              <w:rPr>
                <w:rFonts w:ascii="Times New Roman" w:hAnsi="Times New Roman"/>
                <w:sz w:val="24"/>
              </w:rPr>
            </w:r>
            <w:r>
              <w:rPr>
                <w:rFonts w:ascii="Times New Roman" w:hAnsi="Times New Roman" w:eastAsia="Times New Roman"/>
                <w:b w:val="0"/>
                <w:sz w:val="24"/>
              </w:rPr>
              <w:t>0.29</w:t>
            </w:r>
          </w:p>
        </w:tc>
      </w:tr>
    </w:tbl>
    <w:p>
      <w:pPr>
        <w:spacing w:line="480" w:lineRule="auto" w:after="0"/>
      </w:pPr>
      <w:r>
        <w:rPr>
          <w:rFonts w:ascii="Times New Roman" w:hAnsi="Times New Roman" w:eastAsia="Times New Roman"/>
          <w:i w:val="0"/>
          <w:sz w:val="24"/>
        </w:rPr>
        <w:t>Changes in hemoglobin levels</w:t>
      </w:r>
    </w:p>
    <w:p>
      <w:pPr>
        <w:spacing w:line="480" w:lineRule="auto" w:after="0"/>
      </w:pPr>
      <w:r>
        <w:rPr>
          <w:rFonts w:ascii="Times New Roman" w:hAnsi="Times New Roman" w:eastAsia="Times New Roman"/>
          <w:i w:val="0"/>
          <w:sz w:val="24"/>
        </w:rPr>
        <w:t>The mean Hb level before the intervention was 11.39 g/dL in the intervention group and 11.07 g/dL in the comparison group. After the intervention, the mean Hb level increased to 12.28 g/dL in the intervention group and 11.78 g/dL in the comparison group. The mean increase was higher in the intervention group (0.88 g/dL) than in the comparison group (0.72 g/dL).</w:t>
      </w:r>
    </w:p>
    <w:p>
      <w:pPr>
        <w:spacing w:line="480" w:lineRule="auto" w:after="0"/>
      </w:pPr>
      <w:r>
        <w:rPr>
          <w:rFonts w:ascii="Times New Roman" w:hAnsi="Times New Roman" w:eastAsia="Times New Roman"/>
          <w:i w:val="0"/>
          <w:sz w:val="24"/>
        </w:rPr>
        <w:t>Table 3. Hemoglobin levels before and after the intervention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592"/>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Group</w:t>
            </w:r>
          </w:p>
        </w:tc>
        <w:tc>
          <w:tcPr>
            <w:tcW w:type="dxa" w:w="1008"/>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n</w:t>
            </w:r>
          </w:p>
        </w:tc>
        <w:tc>
          <w:tcPr>
            <w:tcW w:type="dxa" w:w="1872"/>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Before, g/dL</w:t>
            </w:r>
          </w:p>
        </w:tc>
        <w:tc>
          <w:tcPr>
            <w:tcW w:type="dxa" w:w="1872"/>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After, g/dL</w:t>
            </w:r>
          </w:p>
        </w:tc>
        <w:tc>
          <w:tcPr>
            <w:tcW w:type="dxa" w:w="2304"/>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Mean change, g/dL</w:t>
            </w:r>
          </w:p>
        </w:tc>
      </w:tr>
      <w:tr>
        <w:tc>
          <w:tcPr>
            <w:tcW w:type="dxa" w:w="2592"/>
            <w:vAlign w:val="center"/>
          </w:tcPr>
          <w:p>
            <w:pPr>
              <w:spacing w:line="480" w:lineRule="auto"/>
              <w:jc w:val="center"/>
            </w:pPr>
            <w:r>
              <w:rPr>
                <w:rFonts w:ascii="Times New Roman" w:hAnsi="Times New Roman"/>
                <w:sz w:val="24"/>
              </w:rPr>
            </w:r>
            <w:r>
              <w:rPr>
                <w:rFonts w:ascii="Times New Roman" w:hAnsi="Times New Roman" w:eastAsia="Times New Roman"/>
                <w:b w:val="0"/>
                <w:sz w:val="24"/>
              </w:rPr>
              <w:t>Intervention</w:t>
            </w:r>
          </w:p>
        </w:tc>
        <w:tc>
          <w:tcPr>
            <w:tcW w:type="dxa" w:w="1008"/>
            <w:vAlign w:val="center"/>
          </w:tcPr>
          <w:p>
            <w:pPr>
              <w:spacing w:line="480" w:lineRule="auto"/>
              <w:jc w:val="center"/>
            </w:pPr>
            <w:r>
              <w:rPr>
                <w:rFonts w:ascii="Times New Roman" w:hAnsi="Times New Roman"/>
                <w:sz w:val="24"/>
              </w:rPr>
            </w:r>
            <w:r>
              <w:rPr>
                <w:rFonts w:ascii="Times New Roman" w:hAnsi="Times New Roman" w:eastAsia="Times New Roman"/>
                <w:b w:val="0"/>
                <w:sz w:val="24"/>
              </w:rPr>
              <w:t>30</w:t>
            </w:r>
          </w:p>
        </w:tc>
        <w:tc>
          <w:tcPr>
            <w:tcW w:type="dxa" w:w="1872"/>
            <w:vAlign w:val="center"/>
          </w:tcPr>
          <w:p>
            <w:pPr>
              <w:spacing w:line="480" w:lineRule="auto"/>
              <w:jc w:val="center"/>
            </w:pPr>
            <w:r>
              <w:rPr>
                <w:rFonts w:ascii="Times New Roman" w:hAnsi="Times New Roman"/>
                <w:sz w:val="24"/>
              </w:rPr>
            </w:r>
            <w:r>
              <w:rPr>
                <w:rFonts w:ascii="Times New Roman" w:hAnsi="Times New Roman" w:eastAsia="Times New Roman"/>
                <w:b w:val="0"/>
                <w:sz w:val="24"/>
              </w:rPr>
              <w:t>11.39</w:t>
            </w:r>
          </w:p>
        </w:tc>
        <w:tc>
          <w:tcPr>
            <w:tcW w:type="dxa" w:w="1872"/>
            <w:vAlign w:val="center"/>
          </w:tcPr>
          <w:p>
            <w:pPr>
              <w:spacing w:line="480" w:lineRule="auto"/>
              <w:jc w:val="center"/>
            </w:pPr>
            <w:r>
              <w:rPr>
                <w:rFonts w:ascii="Times New Roman" w:hAnsi="Times New Roman"/>
                <w:sz w:val="24"/>
              </w:rPr>
            </w:r>
            <w:r>
              <w:rPr>
                <w:rFonts w:ascii="Times New Roman" w:hAnsi="Times New Roman" w:eastAsia="Times New Roman"/>
                <w:b w:val="0"/>
                <w:sz w:val="24"/>
              </w:rPr>
              <w:t>12.28</w:t>
            </w:r>
          </w:p>
        </w:tc>
        <w:tc>
          <w:tcPr>
            <w:tcW w:type="dxa" w:w="2304"/>
            <w:vAlign w:val="center"/>
          </w:tcPr>
          <w:p>
            <w:pPr>
              <w:spacing w:line="480" w:lineRule="auto"/>
              <w:jc w:val="center"/>
            </w:pPr>
            <w:r>
              <w:rPr>
                <w:rFonts w:ascii="Times New Roman" w:hAnsi="Times New Roman"/>
                <w:sz w:val="24"/>
              </w:rPr>
            </w:r>
            <w:r>
              <w:rPr>
                <w:rFonts w:ascii="Times New Roman" w:hAnsi="Times New Roman" w:eastAsia="Times New Roman"/>
                <w:b w:val="0"/>
                <w:sz w:val="24"/>
              </w:rPr>
              <w:t>0.88</w:t>
            </w:r>
          </w:p>
        </w:tc>
      </w:tr>
      <w:tr>
        <w:tc>
          <w:tcPr>
            <w:tcW w:type="dxa" w:w="2592"/>
            <w:vAlign w:val="center"/>
          </w:tcPr>
          <w:p>
            <w:pPr>
              <w:spacing w:line="480" w:lineRule="auto"/>
              <w:jc w:val="center"/>
            </w:pPr>
            <w:r>
              <w:rPr>
                <w:rFonts w:ascii="Times New Roman" w:hAnsi="Times New Roman"/>
                <w:sz w:val="24"/>
              </w:rPr>
            </w:r>
            <w:r>
              <w:rPr>
                <w:rFonts w:ascii="Times New Roman" w:hAnsi="Times New Roman" w:eastAsia="Times New Roman"/>
                <w:b w:val="0"/>
                <w:sz w:val="24"/>
              </w:rPr>
              <w:t>Comparison</w:t>
            </w:r>
          </w:p>
        </w:tc>
        <w:tc>
          <w:tcPr>
            <w:tcW w:type="dxa" w:w="1008"/>
            <w:vAlign w:val="center"/>
          </w:tcPr>
          <w:p>
            <w:pPr>
              <w:spacing w:line="480" w:lineRule="auto"/>
              <w:jc w:val="center"/>
            </w:pPr>
            <w:r>
              <w:rPr>
                <w:rFonts w:ascii="Times New Roman" w:hAnsi="Times New Roman"/>
                <w:sz w:val="24"/>
              </w:rPr>
            </w:r>
            <w:r>
              <w:rPr>
                <w:rFonts w:ascii="Times New Roman" w:hAnsi="Times New Roman" w:eastAsia="Times New Roman"/>
                <w:b w:val="0"/>
                <w:sz w:val="24"/>
              </w:rPr>
              <w:t>30</w:t>
            </w:r>
          </w:p>
        </w:tc>
        <w:tc>
          <w:tcPr>
            <w:tcW w:type="dxa" w:w="1872"/>
            <w:vAlign w:val="center"/>
          </w:tcPr>
          <w:p>
            <w:pPr>
              <w:spacing w:line="480" w:lineRule="auto"/>
              <w:jc w:val="center"/>
            </w:pPr>
            <w:r>
              <w:rPr>
                <w:rFonts w:ascii="Times New Roman" w:hAnsi="Times New Roman"/>
                <w:sz w:val="24"/>
              </w:rPr>
            </w:r>
            <w:r>
              <w:rPr>
                <w:rFonts w:ascii="Times New Roman" w:hAnsi="Times New Roman" w:eastAsia="Times New Roman"/>
                <w:b w:val="0"/>
                <w:sz w:val="24"/>
              </w:rPr>
              <w:t>11.07</w:t>
            </w:r>
          </w:p>
        </w:tc>
        <w:tc>
          <w:tcPr>
            <w:tcW w:type="dxa" w:w="1872"/>
            <w:vAlign w:val="center"/>
          </w:tcPr>
          <w:p>
            <w:pPr>
              <w:spacing w:line="480" w:lineRule="auto"/>
              <w:jc w:val="center"/>
            </w:pPr>
            <w:r>
              <w:rPr>
                <w:rFonts w:ascii="Times New Roman" w:hAnsi="Times New Roman"/>
                <w:sz w:val="24"/>
              </w:rPr>
            </w:r>
            <w:r>
              <w:rPr>
                <w:rFonts w:ascii="Times New Roman" w:hAnsi="Times New Roman" w:eastAsia="Times New Roman"/>
                <w:b w:val="0"/>
                <w:sz w:val="24"/>
              </w:rPr>
              <w:t>11.78</w:t>
            </w:r>
          </w:p>
        </w:tc>
        <w:tc>
          <w:tcPr>
            <w:tcW w:type="dxa" w:w="2304"/>
            <w:vAlign w:val="center"/>
          </w:tcPr>
          <w:p>
            <w:pPr>
              <w:spacing w:line="480" w:lineRule="auto"/>
              <w:jc w:val="center"/>
            </w:pPr>
            <w:r>
              <w:rPr>
                <w:rFonts w:ascii="Times New Roman" w:hAnsi="Times New Roman"/>
                <w:sz w:val="24"/>
              </w:rPr>
            </w:r>
            <w:r>
              <w:rPr>
                <w:rFonts w:ascii="Times New Roman" w:hAnsi="Times New Roman" w:eastAsia="Times New Roman"/>
                <w:b w:val="0"/>
                <w:sz w:val="24"/>
              </w:rPr>
              <w:t>0.72</w:t>
            </w:r>
          </w:p>
        </w:tc>
      </w:tr>
    </w:tbl>
    <w:p>
      <w:pPr>
        <w:spacing w:line="480" w:lineRule="auto" w:after="0"/>
      </w:pPr>
      <w:r>
        <w:rPr>
          <w:rFonts w:ascii="Times New Roman" w:hAnsi="Times New Roman" w:eastAsia="Times New Roman"/>
          <w:i w:val="0"/>
          <w:sz w:val="24"/>
        </w:rPr>
        <w:t>Normality testing</w:t>
      </w:r>
    </w:p>
    <w:p>
      <w:pPr>
        <w:spacing w:line="480" w:lineRule="auto" w:after="0"/>
      </w:pPr>
      <w:r>
        <w:rPr>
          <w:rFonts w:ascii="Times New Roman" w:hAnsi="Times New Roman" w:eastAsia="Times New Roman"/>
          <w:i w:val="0"/>
          <w:sz w:val="24"/>
        </w:rPr>
        <w:t>The Shapiro-Wilk test showed that all variables were normally distributed (p&gt;0.05), supporting the use of parametric tests.</w:t>
      </w:r>
    </w:p>
    <w:p>
      <w:pPr>
        <w:spacing w:line="480" w:lineRule="auto" w:after="0"/>
      </w:pPr>
      <w:r>
        <w:rPr>
          <w:rFonts w:ascii="Times New Roman" w:hAnsi="Times New Roman" w:eastAsia="Times New Roman"/>
          <w:i w:val="0"/>
          <w:sz w:val="24"/>
        </w:rPr>
        <w:t>Table 4. Shapiro-Wilk normality test results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160"/>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Group</w:t>
            </w:r>
          </w:p>
        </w:tc>
        <w:tc>
          <w:tcPr>
            <w:tcW w:type="dxa" w:w="2016"/>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Variable</w:t>
            </w:r>
          </w:p>
        </w:tc>
        <w:tc>
          <w:tcPr>
            <w:tcW w:type="dxa" w:w="1440"/>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Statistic</w:t>
            </w:r>
          </w:p>
        </w:tc>
        <w:tc>
          <w:tcPr>
            <w:tcW w:type="dxa" w:w="1152"/>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df</w:t>
            </w:r>
          </w:p>
        </w:tc>
        <w:tc>
          <w:tcPr>
            <w:tcW w:type="dxa" w:w="1440"/>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p value</w:t>
            </w:r>
          </w:p>
        </w:tc>
      </w:tr>
      <w:tr>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Intervention</w:t>
            </w:r>
          </w:p>
        </w:tc>
        <w:tc>
          <w:tcPr>
            <w:tcW w:type="dxa" w:w="2016"/>
            <w:vAlign w:val="center"/>
          </w:tcPr>
          <w:p>
            <w:pPr>
              <w:spacing w:line="480" w:lineRule="auto"/>
              <w:jc w:val="center"/>
            </w:pPr>
            <w:r>
              <w:rPr>
                <w:rFonts w:ascii="Times New Roman" w:hAnsi="Times New Roman"/>
                <w:sz w:val="24"/>
              </w:rPr>
            </w:r>
            <w:r>
              <w:rPr>
                <w:rFonts w:ascii="Times New Roman" w:hAnsi="Times New Roman" w:eastAsia="Times New Roman"/>
                <w:b w:val="0"/>
                <w:sz w:val="24"/>
              </w:rPr>
              <w:t>MUAC</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0.952</w:t>
            </w:r>
          </w:p>
        </w:tc>
        <w:tc>
          <w:tcPr>
            <w:tcW w:type="dxa" w:w="1152"/>
            <w:vAlign w:val="center"/>
          </w:tcPr>
          <w:p>
            <w:pPr>
              <w:spacing w:line="480" w:lineRule="auto"/>
              <w:jc w:val="center"/>
            </w:pPr>
            <w:r>
              <w:rPr>
                <w:rFonts w:ascii="Times New Roman" w:hAnsi="Times New Roman"/>
                <w:sz w:val="24"/>
              </w:rPr>
            </w:r>
            <w:r>
              <w:rPr>
                <w:rFonts w:ascii="Times New Roman" w:hAnsi="Times New Roman" w:eastAsia="Times New Roman"/>
                <w:b w:val="0"/>
                <w:sz w:val="24"/>
              </w:rPr>
              <w:t>30</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0.187</w:t>
            </w:r>
          </w:p>
        </w:tc>
      </w:tr>
      <w:tr>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Intervention</w:t>
            </w:r>
          </w:p>
        </w:tc>
        <w:tc>
          <w:tcPr>
            <w:tcW w:type="dxa" w:w="2016"/>
            <w:vAlign w:val="center"/>
          </w:tcPr>
          <w:p>
            <w:pPr>
              <w:spacing w:line="480" w:lineRule="auto"/>
              <w:jc w:val="center"/>
            </w:pPr>
            <w:r>
              <w:rPr>
                <w:rFonts w:ascii="Times New Roman" w:hAnsi="Times New Roman"/>
                <w:sz w:val="24"/>
              </w:rPr>
            </w:r>
            <w:r>
              <w:rPr>
                <w:rFonts w:ascii="Times New Roman" w:hAnsi="Times New Roman" w:eastAsia="Times New Roman"/>
                <w:b w:val="0"/>
                <w:sz w:val="24"/>
              </w:rPr>
              <w:t>Hb</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0.957</w:t>
            </w:r>
          </w:p>
        </w:tc>
        <w:tc>
          <w:tcPr>
            <w:tcW w:type="dxa" w:w="1152"/>
            <w:vAlign w:val="center"/>
          </w:tcPr>
          <w:p>
            <w:pPr>
              <w:spacing w:line="480" w:lineRule="auto"/>
              <w:jc w:val="center"/>
            </w:pPr>
            <w:r>
              <w:rPr>
                <w:rFonts w:ascii="Times New Roman" w:hAnsi="Times New Roman"/>
                <w:sz w:val="24"/>
              </w:rPr>
            </w:r>
            <w:r>
              <w:rPr>
                <w:rFonts w:ascii="Times New Roman" w:hAnsi="Times New Roman" w:eastAsia="Times New Roman"/>
                <w:b w:val="0"/>
                <w:sz w:val="24"/>
              </w:rPr>
              <w:t>30</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0.265</w:t>
            </w:r>
          </w:p>
        </w:tc>
      </w:tr>
      <w:tr>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Comparison</w:t>
            </w:r>
          </w:p>
        </w:tc>
        <w:tc>
          <w:tcPr>
            <w:tcW w:type="dxa" w:w="2016"/>
            <w:vAlign w:val="center"/>
          </w:tcPr>
          <w:p>
            <w:pPr>
              <w:spacing w:line="480" w:lineRule="auto"/>
              <w:jc w:val="center"/>
            </w:pPr>
            <w:r>
              <w:rPr>
                <w:rFonts w:ascii="Times New Roman" w:hAnsi="Times New Roman"/>
                <w:sz w:val="24"/>
              </w:rPr>
            </w:r>
            <w:r>
              <w:rPr>
                <w:rFonts w:ascii="Times New Roman" w:hAnsi="Times New Roman" w:eastAsia="Times New Roman"/>
                <w:b w:val="0"/>
                <w:sz w:val="24"/>
              </w:rPr>
              <w:t>MUAC</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0.928</w:t>
            </w:r>
          </w:p>
        </w:tc>
        <w:tc>
          <w:tcPr>
            <w:tcW w:type="dxa" w:w="1152"/>
            <w:vAlign w:val="center"/>
          </w:tcPr>
          <w:p>
            <w:pPr>
              <w:spacing w:line="480" w:lineRule="auto"/>
              <w:jc w:val="center"/>
            </w:pPr>
            <w:r>
              <w:rPr>
                <w:rFonts w:ascii="Times New Roman" w:hAnsi="Times New Roman"/>
                <w:sz w:val="24"/>
              </w:rPr>
            </w:r>
            <w:r>
              <w:rPr>
                <w:rFonts w:ascii="Times New Roman" w:hAnsi="Times New Roman" w:eastAsia="Times New Roman"/>
                <w:b w:val="0"/>
                <w:sz w:val="24"/>
              </w:rPr>
              <w:t>30</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0.054</w:t>
            </w:r>
          </w:p>
        </w:tc>
      </w:tr>
      <w:tr>
        <w:tc>
          <w:tcPr>
            <w:tcW w:type="dxa" w:w="2160"/>
            <w:vAlign w:val="center"/>
          </w:tcPr>
          <w:p>
            <w:pPr>
              <w:spacing w:line="480" w:lineRule="auto"/>
              <w:jc w:val="center"/>
            </w:pPr>
            <w:r>
              <w:rPr>
                <w:rFonts w:ascii="Times New Roman" w:hAnsi="Times New Roman"/>
                <w:sz w:val="24"/>
              </w:rPr>
            </w:r>
            <w:r>
              <w:rPr>
                <w:rFonts w:ascii="Times New Roman" w:hAnsi="Times New Roman" w:eastAsia="Times New Roman"/>
                <w:b w:val="0"/>
                <w:sz w:val="24"/>
              </w:rPr>
              <w:t>Comparison</w:t>
            </w:r>
          </w:p>
        </w:tc>
        <w:tc>
          <w:tcPr>
            <w:tcW w:type="dxa" w:w="2016"/>
            <w:vAlign w:val="center"/>
          </w:tcPr>
          <w:p>
            <w:pPr>
              <w:spacing w:line="480" w:lineRule="auto"/>
              <w:jc w:val="center"/>
            </w:pPr>
            <w:r>
              <w:rPr>
                <w:rFonts w:ascii="Times New Roman" w:hAnsi="Times New Roman"/>
                <w:sz w:val="24"/>
              </w:rPr>
            </w:r>
            <w:r>
              <w:rPr>
                <w:rFonts w:ascii="Times New Roman" w:hAnsi="Times New Roman" w:eastAsia="Times New Roman"/>
                <w:b w:val="0"/>
                <w:sz w:val="24"/>
              </w:rPr>
              <w:t>Hb</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0.932</w:t>
            </w:r>
          </w:p>
        </w:tc>
        <w:tc>
          <w:tcPr>
            <w:tcW w:type="dxa" w:w="1152"/>
            <w:vAlign w:val="center"/>
          </w:tcPr>
          <w:p>
            <w:pPr>
              <w:spacing w:line="480" w:lineRule="auto"/>
              <w:jc w:val="center"/>
            </w:pPr>
            <w:r>
              <w:rPr>
                <w:rFonts w:ascii="Times New Roman" w:hAnsi="Times New Roman"/>
                <w:sz w:val="24"/>
              </w:rPr>
            </w:r>
            <w:r>
              <w:rPr>
                <w:rFonts w:ascii="Times New Roman" w:hAnsi="Times New Roman" w:eastAsia="Times New Roman"/>
                <w:b w:val="0"/>
                <w:sz w:val="24"/>
              </w:rPr>
              <w:t>30</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0.054</w:t>
            </w:r>
          </w:p>
        </w:tc>
      </w:tr>
    </w:tbl>
    <w:p>
      <w:pPr>
        <w:spacing w:line="480" w:lineRule="auto" w:after="0"/>
      </w:pPr>
      <w:r>
        <w:rPr>
          <w:rFonts w:ascii="Times New Roman" w:hAnsi="Times New Roman" w:eastAsia="Times New Roman"/>
          <w:i w:val="0"/>
          <w:sz w:val="24"/>
        </w:rPr>
        <w:t>Between-group analysis</w:t>
      </w:r>
    </w:p>
    <w:p>
      <w:pPr>
        <w:spacing w:line="480" w:lineRule="auto" w:after="0"/>
      </w:pPr>
      <w:r>
        <w:rPr>
          <w:rFonts w:ascii="Times New Roman" w:hAnsi="Times New Roman" w:eastAsia="Times New Roman"/>
          <w:i w:val="0"/>
          <w:sz w:val="24"/>
        </w:rPr>
        <w:t>Independent t-test analysis showed a statistically significant difference in MUAC change between the intervention and comparison groups (t=5.74; p&lt;0.001). A statistically significant difference in Hb level change was also observed between the groups (t=1.87; p=0.03).</w:t>
      </w:r>
    </w:p>
    <w:p>
      <w:pPr>
        <w:spacing w:line="480" w:lineRule="auto" w:after="0"/>
      </w:pPr>
      <w:r>
        <w:rPr>
          <w:rFonts w:ascii="Times New Roman" w:hAnsi="Times New Roman" w:eastAsia="Times New Roman"/>
          <w:i w:val="0"/>
          <w:sz w:val="24"/>
        </w:rPr>
        <w:t>Table 5. Between-group comparison of mean changes in MUAC and Hb levels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304"/>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Outcome</w:t>
            </w:r>
          </w:p>
        </w:tc>
        <w:tc>
          <w:tcPr>
            <w:tcW w:type="dxa" w:w="2592"/>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Intervention mean change</w:t>
            </w:r>
          </w:p>
        </w:tc>
        <w:tc>
          <w:tcPr>
            <w:tcW w:type="dxa" w:w="2592"/>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Comparison mean change</w:t>
            </w:r>
          </w:p>
        </w:tc>
        <w:tc>
          <w:tcPr>
            <w:tcW w:type="dxa" w:w="1440"/>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t value</w:t>
            </w:r>
          </w:p>
        </w:tc>
        <w:tc>
          <w:tcPr>
            <w:tcW w:type="dxa" w:w="1440"/>
            <w:vAlign w:val="center"/>
            <w:shd w:fill="EDEDED"/>
          </w:tcPr>
          <w:p>
            <w:pPr>
              <w:spacing w:line="480" w:lineRule="auto"/>
              <w:jc w:val="center"/>
            </w:pPr>
            <w:r>
              <w:rPr>
                <w:rFonts w:ascii="Times New Roman" w:hAnsi="Times New Roman"/>
                <w:sz w:val="24"/>
              </w:rPr>
            </w:r>
            <w:r>
              <w:rPr>
                <w:rFonts w:ascii="Times New Roman" w:hAnsi="Times New Roman" w:eastAsia="Times New Roman"/>
                <w:b/>
                <w:sz w:val="24"/>
              </w:rPr>
              <w:t>p value</w:t>
            </w:r>
          </w:p>
        </w:tc>
      </w:tr>
      <w:tr>
        <w:tc>
          <w:tcPr>
            <w:tcW w:type="dxa" w:w="2304"/>
            <w:vAlign w:val="center"/>
          </w:tcPr>
          <w:p>
            <w:pPr>
              <w:spacing w:line="480" w:lineRule="auto"/>
              <w:jc w:val="center"/>
            </w:pPr>
            <w:r>
              <w:rPr>
                <w:rFonts w:ascii="Times New Roman" w:hAnsi="Times New Roman"/>
                <w:sz w:val="24"/>
              </w:rPr>
            </w:r>
            <w:r>
              <w:rPr>
                <w:rFonts w:ascii="Times New Roman" w:hAnsi="Times New Roman" w:eastAsia="Times New Roman"/>
                <w:b w:val="0"/>
                <w:sz w:val="24"/>
              </w:rPr>
              <w:t>MUAC, cm</w:t>
            </w:r>
          </w:p>
        </w:tc>
        <w:tc>
          <w:tcPr>
            <w:tcW w:type="dxa" w:w="2592"/>
            <w:vAlign w:val="center"/>
          </w:tcPr>
          <w:p>
            <w:pPr>
              <w:spacing w:line="480" w:lineRule="auto"/>
              <w:jc w:val="center"/>
            </w:pPr>
            <w:r>
              <w:rPr>
                <w:rFonts w:ascii="Times New Roman" w:hAnsi="Times New Roman"/>
                <w:sz w:val="24"/>
              </w:rPr>
            </w:r>
            <w:r>
              <w:rPr>
                <w:rFonts w:ascii="Times New Roman" w:hAnsi="Times New Roman" w:eastAsia="Times New Roman"/>
                <w:b w:val="0"/>
                <w:sz w:val="24"/>
              </w:rPr>
              <w:t>0.63</w:t>
            </w:r>
          </w:p>
        </w:tc>
        <w:tc>
          <w:tcPr>
            <w:tcW w:type="dxa" w:w="2592"/>
            <w:vAlign w:val="center"/>
          </w:tcPr>
          <w:p>
            <w:pPr>
              <w:spacing w:line="480" w:lineRule="auto"/>
              <w:jc w:val="center"/>
            </w:pPr>
            <w:r>
              <w:rPr>
                <w:rFonts w:ascii="Times New Roman" w:hAnsi="Times New Roman"/>
                <w:sz w:val="24"/>
              </w:rPr>
            </w:r>
            <w:r>
              <w:rPr>
                <w:rFonts w:ascii="Times New Roman" w:hAnsi="Times New Roman" w:eastAsia="Times New Roman"/>
                <w:b w:val="0"/>
                <w:sz w:val="24"/>
              </w:rPr>
              <w:t>0.29</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5.74</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&lt;0.001</w:t>
            </w:r>
          </w:p>
        </w:tc>
      </w:tr>
      <w:tr>
        <w:tc>
          <w:tcPr>
            <w:tcW w:type="dxa" w:w="2304"/>
            <w:vAlign w:val="center"/>
          </w:tcPr>
          <w:p>
            <w:pPr>
              <w:spacing w:line="480" w:lineRule="auto"/>
              <w:jc w:val="center"/>
            </w:pPr>
            <w:r>
              <w:rPr>
                <w:rFonts w:ascii="Times New Roman" w:hAnsi="Times New Roman"/>
                <w:sz w:val="24"/>
              </w:rPr>
            </w:r>
            <w:r>
              <w:rPr>
                <w:rFonts w:ascii="Times New Roman" w:hAnsi="Times New Roman" w:eastAsia="Times New Roman"/>
                <w:b w:val="0"/>
                <w:sz w:val="24"/>
              </w:rPr>
              <w:t>Hb, g/dL</w:t>
            </w:r>
          </w:p>
        </w:tc>
        <w:tc>
          <w:tcPr>
            <w:tcW w:type="dxa" w:w="2592"/>
            <w:vAlign w:val="center"/>
          </w:tcPr>
          <w:p>
            <w:pPr>
              <w:spacing w:line="480" w:lineRule="auto"/>
              <w:jc w:val="center"/>
            </w:pPr>
            <w:r>
              <w:rPr>
                <w:rFonts w:ascii="Times New Roman" w:hAnsi="Times New Roman"/>
                <w:sz w:val="24"/>
              </w:rPr>
            </w:r>
            <w:r>
              <w:rPr>
                <w:rFonts w:ascii="Times New Roman" w:hAnsi="Times New Roman" w:eastAsia="Times New Roman"/>
                <w:b w:val="0"/>
                <w:sz w:val="24"/>
              </w:rPr>
              <w:t>0.88</w:t>
            </w:r>
          </w:p>
        </w:tc>
        <w:tc>
          <w:tcPr>
            <w:tcW w:type="dxa" w:w="2592"/>
            <w:vAlign w:val="center"/>
          </w:tcPr>
          <w:p>
            <w:pPr>
              <w:spacing w:line="480" w:lineRule="auto"/>
              <w:jc w:val="center"/>
            </w:pPr>
            <w:r>
              <w:rPr>
                <w:rFonts w:ascii="Times New Roman" w:hAnsi="Times New Roman"/>
                <w:sz w:val="24"/>
              </w:rPr>
            </w:r>
            <w:r>
              <w:rPr>
                <w:rFonts w:ascii="Times New Roman" w:hAnsi="Times New Roman" w:eastAsia="Times New Roman"/>
                <w:b w:val="0"/>
                <w:sz w:val="24"/>
              </w:rPr>
              <w:t>0.72</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1.87</w:t>
            </w:r>
          </w:p>
        </w:tc>
        <w:tc>
          <w:tcPr>
            <w:tcW w:type="dxa" w:w="1440"/>
            <w:vAlign w:val="center"/>
          </w:tcPr>
          <w:p>
            <w:pPr>
              <w:spacing w:line="480" w:lineRule="auto"/>
              <w:jc w:val="center"/>
            </w:pPr>
            <w:r>
              <w:rPr>
                <w:rFonts w:ascii="Times New Roman" w:hAnsi="Times New Roman"/>
                <w:sz w:val="24"/>
              </w:rPr>
            </w:r>
            <w:r>
              <w:rPr>
                <w:rFonts w:ascii="Times New Roman" w:hAnsi="Times New Roman" w:eastAsia="Times New Roman"/>
                <w:b w:val="0"/>
                <w:sz w:val="24"/>
              </w:rPr>
              <w:t>0.03</w:t>
            </w:r>
          </w:p>
        </w:tc>
      </w:tr>
    </w:tbl>
    <w:p>
      <w:pPr>
        <w:spacing w:line="480" w:lineRule="auto" w:after="0"/>
      </w:pPr>
      <w:r>
        <w:rPr>
          <w:rFonts w:ascii="Times New Roman" w:hAnsi="Times New Roman" w:eastAsia="Times New Roman"/>
          <w:i w:val="0"/>
          <w:sz w:val="24"/>
        </w:rPr>
        <w:t>MUAC: mid-upper arm circumference; Hb: hemoglobin.</w:t>
      </w:r>
    </w:p>
    <w:p>
      <w:pPr>
        <w:pStyle w:val="Heading1"/>
        <w:spacing w:line="480" w:lineRule="auto"/>
        <w:jc w:val="left"/>
      </w:pPr>
      <w:r>
        <w:rPr>
          <w:rFonts w:ascii="Times New Roman" w:hAnsi="Times New Roman" w:eastAsia="Times New Roman"/>
          <w:b/>
          <w:sz w:val="24"/>
        </w:rPr>
        <w:t>DISCUSSION</w:t>
      </w:r>
    </w:p>
    <w:p>
      <w:pPr>
        <w:spacing w:line="480" w:lineRule="auto" w:after="0"/>
      </w:pPr>
      <w:r>
        <w:rPr>
          <w:rFonts w:ascii="Times New Roman" w:hAnsi="Times New Roman" w:eastAsia="Times New Roman"/>
          <w:b w:val="0"/>
          <w:i w:val="0"/>
          <w:sz w:val="24"/>
        </w:rPr>
        <w:t>This study found that higher daily boiled chicken egg consumption was associated with greater improvements in MUAC and Hb levels among pregnant women with CED. Although both groups improved after eight weeks, the increases were consistently larger among participants who consumed two eggs per day than among those who consumed one egg per day.</w:t>
      </w:r>
    </w:p>
    <w:p>
      <w:pPr>
        <w:spacing w:line="480" w:lineRule="auto" w:after="0"/>
      </w:pPr>
      <w:r>
        <w:rPr>
          <w:rFonts w:ascii="Times New Roman" w:hAnsi="Times New Roman" w:eastAsia="Times New Roman"/>
          <w:b w:val="0"/>
          <w:i w:val="0"/>
          <w:sz w:val="24"/>
        </w:rPr>
        <w:t>The increase in MUAC suggests an improvement in maternal nutritional reserves. MUAC is a practical anthropometric measure for identifying maternal undernutrition and has been used in pregnancy-related nutrition assessment.</w:t>
      </w:r>
      <w:r>
        <w:rPr>
          <w:rFonts w:ascii="Times New Roman" w:hAnsi="Times New Roman" w:eastAsia="Times New Roman"/>
          <w:b w:val="0"/>
          <w:i w:val="0"/>
          <w:sz w:val="24"/>
          <w:vertAlign w:val="superscript"/>
        </w:rPr>
      </w:r>
      <w:r>
        <w:rPr>
          <w:rFonts w:ascii="Times New Roman" w:hAnsi="Times New Roman" w:eastAsia="Times New Roman"/>
          <w:b w:val="0"/>
          <w:i w:val="0"/>
          <w:sz w:val="24"/>
        </w:rPr>
      </w:r>
      <w:r>
        <w:rPr>
          <w:rFonts w:ascii="Times New Roman" w:hAnsi="Times New Roman"/>
          <w:sz w:val="24"/>
          <w:vertAlign w:val="superscript"/>
        </w:rPr>
        <w:t>(4,14)</w:t>
      </w:r>
      <w:r>
        <w:rPr>
          <w:rFonts w:ascii="Times New Roman" w:hAnsi="Times New Roman"/>
          <w:sz w:val="24"/>
        </w:rPr>
        <w:t xml:space="preserve"> The greater MUAC increase in the intervention group may reflect improved intake of high-quality protein and energy from the additional egg serving.</w:t>
      </w:r>
    </w:p>
    <w:p>
      <w:pPr>
        <w:spacing w:line="480" w:lineRule="auto" w:after="0"/>
      </w:pPr>
      <w:r>
        <w:rPr>
          <w:rFonts w:ascii="Times New Roman" w:hAnsi="Times New Roman" w:eastAsia="Times New Roman"/>
          <w:b w:val="0"/>
          <w:i w:val="0"/>
          <w:sz w:val="24"/>
        </w:rPr>
        <w:t>The improvement in Hb level is also biologically plausible. Hemoglobin synthesis depends on adequate protein and micronutrient availability, while pregnancy increases maternal nutrient requirements.</w:t>
      </w:r>
      <w:r>
        <w:rPr>
          <w:rFonts w:ascii="Times New Roman" w:hAnsi="Times New Roman" w:eastAsia="Times New Roman"/>
          <w:b w:val="0"/>
          <w:i w:val="0"/>
          <w:sz w:val="24"/>
          <w:vertAlign w:val="superscript"/>
        </w:rPr>
      </w:r>
      <w:r>
        <w:rPr>
          <w:rFonts w:ascii="Times New Roman" w:hAnsi="Times New Roman" w:eastAsia="Times New Roman"/>
          <w:b w:val="0"/>
          <w:i w:val="0"/>
          <w:sz w:val="24"/>
        </w:rPr>
      </w:r>
      <w:r>
        <w:rPr>
          <w:rFonts w:ascii="Times New Roman" w:hAnsi="Times New Roman" w:eastAsia="Times New Roman"/>
          <w:b w:val="0"/>
          <w:i w:val="0"/>
          <w:sz w:val="24"/>
          <w:vertAlign w:val="superscript"/>
        </w:rPr>
      </w:r>
      <w:r>
        <w:rPr>
          <w:rFonts w:ascii="Times New Roman" w:hAnsi="Times New Roman"/>
          <w:sz w:val="24"/>
          <w:vertAlign w:val="superscript"/>
        </w:rPr>
        <w:t>(6,9,13,16-18,26)</w:t>
      </w:r>
      <w:r>
        <w:rPr>
          <w:rFonts w:ascii="Times New Roman" w:hAnsi="Times New Roman"/>
          <w:sz w:val="24"/>
        </w:rPr>
        <w:t xml:space="preserve"> Eggs provide high-quality protein and several nutrients that may support erythropoiesis, although egg consumption should complement rather than replace standard antenatal nutrition counseling and iron-folic acid supplementation where indicated.</w:t>
      </w:r>
      <w:r>
        <w:rPr>
          <w:rFonts w:ascii="Times New Roman" w:hAnsi="Times New Roman"/>
          <w:sz w:val="24"/>
          <w:vertAlign w:val="superscript"/>
        </w:rPr>
        <w:t>(11,15,26)</w:t>
      </w:r>
    </w:p>
    <w:p>
      <w:pPr>
        <w:spacing w:line="480" w:lineRule="auto" w:after="0"/>
      </w:pPr>
      <w:r>
        <w:rPr>
          <w:rFonts w:ascii="Times New Roman" w:hAnsi="Times New Roman" w:eastAsia="Times New Roman"/>
          <w:b w:val="0"/>
          <w:i w:val="0"/>
          <w:sz w:val="24"/>
        </w:rPr>
        <w:t>From a public health perspective, eggs may be a feasible locally available food-based intervention for pregnant women at risk of undernutrition. This is relevant in primary healthcare settings because dietary counseling during antenatal care can promote accessible protein sources and improve compliance through practical household-level recommendations.</w:t>
      </w:r>
      <w:r>
        <w:rPr>
          <w:rFonts w:ascii="Times New Roman" w:hAnsi="Times New Roman" w:eastAsia="Times New Roman"/>
          <w:b w:val="0"/>
          <w:i w:val="0"/>
          <w:sz w:val="24"/>
          <w:vertAlign w:val="superscript"/>
        </w:rPr>
      </w:r>
      <w:r>
        <w:rPr>
          <w:rFonts w:ascii="Times New Roman" w:hAnsi="Times New Roman"/>
          <w:sz w:val="24"/>
          <w:vertAlign w:val="superscript"/>
        </w:rPr>
        <w:t>(24,25)</w:t>
      </w:r>
    </w:p>
    <w:p>
      <w:pPr>
        <w:spacing w:line="480" w:lineRule="auto" w:after="0"/>
      </w:pPr>
      <w:r>
        <w:rPr>
          <w:rFonts w:ascii="Times New Roman" w:hAnsi="Times New Roman" w:eastAsia="Times New Roman"/>
          <w:i w:val="0"/>
          <w:sz w:val="24"/>
        </w:rPr>
        <w:t>This study has several limitations. The quasi-experimental design and non-equivalent comparison groups limit causal inference. Dietary intake beyond egg consumption was not fully controlled, and the study was conducted in one public health center with a relatively small sample. Standard deviations and adjusted analyses were not available in the submitted dataset, which limits more detailed interpretation of effect size and precision. Future studies should use randomized controlled designs, larger samples, detailed dietary assessment, and longer follow-up to confirm these findings.</w:t>
      </w:r>
    </w:p>
    <w:p>
      <w:pPr>
        <w:pStyle w:val="Heading1"/>
        <w:spacing w:line="480" w:lineRule="auto"/>
        <w:jc w:val="left"/>
      </w:pPr>
      <w:r>
        <w:rPr>
          <w:rFonts w:ascii="Times New Roman" w:hAnsi="Times New Roman" w:eastAsia="Times New Roman"/>
          <w:b/>
          <w:sz w:val="24"/>
        </w:rPr>
        <w:t>CONCLUSION</w:t>
      </w:r>
    </w:p>
    <w:p>
      <w:pPr>
        <w:spacing w:line="480" w:lineRule="auto" w:after="0"/>
      </w:pPr>
      <w:r>
        <w:rPr>
          <w:rFonts w:ascii="Times New Roman" w:hAnsi="Times New Roman" w:eastAsia="Times New Roman"/>
          <w:i w:val="0"/>
          <w:sz w:val="24"/>
        </w:rPr>
        <w:t>Higher daily boiled chicken egg consumption was associated with greater improvements in MUAC and Hb levels among pregnant women with CED. Consuming two boiled chicken eggs per day resulted in larger increases in maternal nutritional indicators than consuming one boiled chicken egg per day over eight weeks. Egg-based dietary supplementation may be a simple and feasible strategy to support maternal nutritional status during pregnancy, particularly in resource-limited settings.</w:t>
      </w:r>
    </w:p>
    <w:p>
      <w:pPr>
        <w:pStyle w:val="Heading1"/>
        <w:spacing w:line="480" w:lineRule="auto"/>
        <w:jc w:val="left"/>
      </w:pPr>
      <w:r>
        <w:rPr>
          <w:rFonts w:ascii="Times New Roman" w:hAnsi="Times New Roman" w:eastAsia="Times New Roman"/>
          <w:b/>
          <w:sz w:val="24"/>
        </w:rPr>
        <w:t>ACKNOWLEDGMENTS</w:t>
      </w:r>
    </w:p>
    <w:p>
      <w:pPr>
        <w:spacing w:line="480" w:lineRule="auto" w:after="0"/>
      </w:pPr>
      <w:r>
        <w:rPr>
          <w:rFonts w:ascii="Times New Roman" w:hAnsi="Times New Roman" w:eastAsia="Times New Roman"/>
          <w:i w:val="0"/>
          <w:sz w:val="24"/>
        </w:rPr>
        <w:t>Acknowledgments have been removed from the blinded manuscript for peer review. They may be added after peer review if required by the journal.</w:t>
      </w:r>
    </w:p>
    <w:p>
      <w:pPr>
        <w:pStyle w:val="Heading1"/>
        <w:spacing w:line="480" w:lineRule="auto"/>
        <w:jc w:val="left"/>
      </w:pPr>
      <w:r>
        <w:rPr>
          <w:rFonts w:ascii="Times New Roman" w:hAnsi="Times New Roman" w:eastAsia="Times New Roman"/>
          <w:b/>
          <w:sz w:val="24"/>
        </w:rPr>
        <w:t>FUNDING</w:t>
      </w:r>
    </w:p>
    <w:p>
      <w:pPr>
        <w:spacing w:line="480" w:lineRule="auto" w:after="0"/>
      </w:pPr>
      <w:r>
        <w:rPr>
          <w:rFonts w:ascii="Times New Roman" w:hAnsi="Times New Roman" w:eastAsia="Times New Roman"/>
          <w:i w:val="0"/>
          <w:sz w:val="24"/>
        </w:rPr>
        <w:t>[Insert funding statement, e.g., This research received no specific grant from any funding agency in the public, commercial, or not-for-profit sectors.]</w:t>
      </w:r>
    </w:p>
    <w:p>
      <w:pPr>
        <w:pStyle w:val="Heading1"/>
        <w:spacing w:line="480" w:lineRule="auto"/>
        <w:jc w:val="left"/>
      </w:pPr>
      <w:r>
        <w:rPr>
          <w:rFonts w:ascii="Times New Roman" w:hAnsi="Times New Roman" w:eastAsia="Times New Roman"/>
          <w:b/>
          <w:sz w:val="24"/>
        </w:rPr>
        <w:t>CONFLICT OF INTEREST</w:t>
      </w:r>
    </w:p>
    <w:p>
      <w:pPr>
        <w:spacing w:line="480" w:lineRule="auto" w:after="0"/>
      </w:pPr>
      <w:r>
        <w:rPr>
          <w:rFonts w:ascii="Times New Roman" w:hAnsi="Times New Roman" w:eastAsia="Times New Roman"/>
          <w:i w:val="0"/>
          <w:sz w:val="24"/>
        </w:rPr>
        <w:t>The authors declare no conflict of interest. If any potential conflict exists, it should be disclosed here before submission.</w:t>
      </w:r>
    </w:p>
    <w:p>
      <w:pPr>
        <w:pStyle w:val="Heading1"/>
        <w:spacing w:line="480" w:lineRule="auto"/>
        <w:jc w:val="left"/>
      </w:pPr>
      <w:r>
        <w:rPr>
          <w:rFonts w:ascii="Times New Roman" w:hAnsi="Times New Roman" w:eastAsia="Times New Roman"/>
          <w:b/>
          <w:sz w:val="24"/>
        </w:rPr>
        <w:t>REFERENCES</w:t>
      </w:r>
    </w:p>
    <w:p>
      <w:pPr>
        <w:spacing w:line="480" w:lineRule="auto" w:after="0"/>
      </w:pPr>
      <w:r>
        <w:rPr>
          <w:rFonts w:ascii="Times New Roman" w:hAnsi="Times New Roman"/>
          <w:sz w:val="24"/>
        </w:rPr>
        <w:t>1. Wubie A, Seid O, Eshetie S, Dagne S, Menber Y, Wasihun Y, et al. Determinants of chronic energy deficiency among non-pregnant and non-lactating women of reproductive age in rural Kebeles of Dera District, North West Ethiopia, 2019: unmatched case control study. PLoS One 2020;15:e0241341. Available from: https://doi.org/10.1371/journal.pone.0241341</w:t>
      </w:r>
    </w:p>
    <w:p>
      <w:pPr>
        <w:spacing w:line="480" w:lineRule="auto" w:after="0"/>
      </w:pPr>
      <w:r>
        <w:rPr>
          <w:rFonts w:ascii="Times New Roman" w:hAnsi="Times New Roman"/>
          <w:sz w:val="24"/>
        </w:rPr>
        <w:t>2. Dagne S, Menber Y, Wassihun Y, Dires G, Abera A, Adane S, et al. Chronic energy deficiency and its determinant factors among adults aged 18-59 years in Ethiopia: a cross-sectional study. J Nutr Metab 2021;2021:8850241. Available from: https://doi.org/10.1155/2021/8850241</w:t>
      </w:r>
    </w:p>
    <w:p>
      <w:pPr>
        <w:spacing w:line="480" w:lineRule="auto" w:after="0"/>
      </w:pPr>
      <w:r>
        <w:rPr>
          <w:rFonts w:ascii="Times New Roman" w:hAnsi="Times New Roman"/>
          <w:sz w:val="24"/>
        </w:rPr>
        <w:t>3. Okano Y, Okamoto M, Yazaki M, Inui A, Ohura T, Murayama K, et al. Analysis of daily energy, protein, fat, and carbohydrate intake in citrin-deficient patients: towards prevention of adult-onset type II citrullinemia. Mol Genet Metab 2021;133:63-70. Available from: https://doi.org/10.1016/j.ymgme.2021.03.004</w:t>
      </w:r>
    </w:p>
    <w:p>
      <w:pPr>
        <w:spacing w:line="480" w:lineRule="auto" w:after="0"/>
      </w:pPr>
      <w:r>
        <w:rPr>
          <w:rFonts w:ascii="Times New Roman" w:hAnsi="Times New Roman"/>
          <w:sz w:val="24"/>
        </w:rPr>
        <w:t>4. Abadi E, Putri L. Nutrition assistance increases the size of middle-upper arm circumference of pregnant women with chronic energy deficiency. Public Health Indones 2020;6:157-62. Available from: https://doi.org/10.36685/phi.v6i4.354</w:t>
      </w:r>
    </w:p>
    <w:p>
      <w:pPr>
        <w:spacing w:line="480" w:lineRule="auto" w:after="0"/>
      </w:pPr>
      <w:r>
        <w:rPr>
          <w:rFonts w:ascii="Times New Roman" w:hAnsi="Times New Roman"/>
          <w:sz w:val="24"/>
        </w:rPr>
        <w:t>5. Haikal M, Sriwahyuni S, Husna A. Description of characteristics of chronic energy deficiency (CED) in pregnant women in Kaway XVI District, Aceh Barat Regency. Morfai J 2022;2:75-80. Available from: https://doi.org/10.54443/morfai.v2i1.201</w:t>
      </w:r>
    </w:p>
    <w:p>
      <w:pPr>
        <w:spacing w:line="480" w:lineRule="auto" w:after="0"/>
      </w:pPr>
      <w:r>
        <w:rPr>
          <w:rFonts w:ascii="Times New Roman" w:hAnsi="Times New Roman"/>
          <w:sz w:val="24"/>
        </w:rPr>
        <w:t>6. Ho A, Flynn AC, Pasupathy D. Nutrition in pregnancy. Obstet Gynaecol Reprod Med 2016;26:259-64. Available from: https://doi.org/10.1016/j.ogrm.2016.06.005</w:t>
      </w:r>
    </w:p>
    <w:p>
      <w:pPr>
        <w:spacing w:line="480" w:lineRule="auto" w:after="0"/>
      </w:pPr>
      <w:r>
        <w:rPr>
          <w:rFonts w:ascii="Times New Roman" w:hAnsi="Times New Roman"/>
          <w:sz w:val="24"/>
        </w:rPr>
        <w:t>7. Lunte SM. Amino acids. In: Encyclopedia of Analytical Science. 2nd ed. Amsterdam: Elsevier; 2005. p. 61-9. Available from: https://doi.org/10.1016/B0-12-369397-7/00765-2</w:t>
      </w:r>
    </w:p>
    <w:p>
      <w:pPr>
        <w:spacing w:line="480" w:lineRule="auto" w:after="0"/>
      </w:pPr>
      <w:r>
        <w:rPr>
          <w:rFonts w:ascii="Times New Roman" w:hAnsi="Times New Roman"/>
          <w:sz w:val="24"/>
        </w:rPr>
        <w:t>8. Fitzgerald E, Hor K, Drake AJ. Maternal influences on fetal brain development: the role of nutrition, infection and stress, and the potential for intergenerational consequences. Early Hum Dev 2020;150:105190. Available from: https://doi.org/10.1016/j.earlhumdev.2020.105190</w:t>
      </w:r>
    </w:p>
    <w:p>
      <w:pPr>
        <w:spacing w:line="480" w:lineRule="auto" w:after="0"/>
      </w:pPr>
      <w:r>
        <w:rPr>
          <w:rFonts w:ascii="Times New Roman" w:hAnsi="Times New Roman"/>
          <w:sz w:val="24"/>
        </w:rPr>
        <w:t>9. Elango R, Ball RO. Protein and amino acid requirements during pregnancy. Adv Nutr 2016;7:839S-44S. Available from: https://doi.org/10.3945/an.115.011817</w:t>
      </w:r>
    </w:p>
    <w:p>
      <w:pPr>
        <w:spacing w:line="480" w:lineRule="auto" w:after="0"/>
      </w:pPr>
      <w:r>
        <w:rPr>
          <w:rFonts w:ascii="Times New Roman" w:hAnsi="Times New Roman"/>
          <w:sz w:val="24"/>
        </w:rPr>
        <w:t>10. Maslova E, Rytter D, Bech BH, Henriksen TB, Rasmussen MA, Olsen SF, et al. Maternal animal protein intake during pregnancy and risk of overweight in offspring 20 years later: a prospective cohort study. Lancet 2013;382:S71. Available from: https://doi.org/10.1016/S0140-6736(13)62496-4</w:t>
      </w:r>
    </w:p>
    <w:p>
      <w:pPr>
        <w:spacing w:line="480" w:lineRule="auto" w:after="0"/>
      </w:pPr>
      <w:r>
        <w:rPr>
          <w:rFonts w:ascii="Times New Roman" w:hAnsi="Times New Roman"/>
          <w:sz w:val="24"/>
        </w:rPr>
        <w:t>11. Schnefke C, Lutter C, Thuita F, Webale A, Flax V, Bentley M. Exploring attitudes toward egg consumption during pregnancy in Kenya. Curr Dev Nutr 2019;3 Suppl 1:nzz034.P10-054-19. Available from: https://doi.org/10.1093/cdn/nzz034.P10-054-19</w:t>
      </w:r>
    </w:p>
    <w:p>
      <w:pPr>
        <w:spacing w:line="480" w:lineRule="auto" w:after="0"/>
      </w:pPr>
      <w:r>
        <w:rPr>
          <w:rFonts w:ascii="Times New Roman" w:hAnsi="Times New Roman"/>
          <w:sz w:val="24"/>
        </w:rPr>
        <w:t>12. Engelking LR. Vitamin C. In: Textbook of Veterinary Physiological Chemistry. 3rd ed. San Diego: Academic Press; 2015. p. 254-9. Available from: https://doi.org/10.1016/B978-0-12-391909-0.50039-6</w:t>
      </w:r>
    </w:p>
    <w:p>
      <w:pPr>
        <w:spacing w:line="480" w:lineRule="auto" w:after="0"/>
      </w:pPr>
      <w:r>
        <w:rPr>
          <w:rFonts w:ascii="Times New Roman" w:hAnsi="Times New Roman"/>
          <w:sz w:val="24"/>
        </w:rPr>
        <w:t>13. Bandyopadhyay S, Shivakumar N, Kurpad AV. Protein intakes of pregnant women and children in India-protein quality implications. Matern Child Nutr 2020;16 Suppl 3:e12952. Available from: https://doi.org/10.1111/mcn.12952</w:t>
      </w:r>
    </w:p>
    <w:p>
      <w:pPr>
        <w:spacing w:line="480" w:lineRule="auto" w:after="0"/>
      </w:pPr>
      <w:r>
        <w:rPr>
          <w:rFonts w:ascii="Times New Roman" w:hAnsi="Times New Roman"/>
          <w:sz w:val="24"/>
        </w:rPr>
        <w:t>14. Kpewou DE, Poirot E, Berger J, Som SV, Laillou A, Belayneh SN, et al. Maternal mid-upper arm circumference during pregnancy and linear growth among Cambodian infants during the first months of life. Matern Child Nutr 2020;16 Suppl 2:e12951. Available from: https://doi.org/10.1111/mcn.12951</w:t>
      </w:r>
    </w:p>
    <w:p>
      <w:pPr>
        <w:spacing w:line="480" w:lineRule="auto" w:after="0"/>
      </w:pPr>
      <w:r>
        <w:rPr>
          <w:rFonts w:ascii="Times New Roman" w:hAnsi="Times New Roman"/>
          <w:sz w:val="24"/>
        </w:rPr>
        <w:t>15. Baum JI, Miller JD, Gaines BL. The effect of egg supplementation on growth parameters in children participating in a school feeding program in rural Uganda: a pilot study. Food Nutr Res 2017;61:1330097. Available from: https://doi.org/10.1080/16546628.2017.1330097</w:t>
      </w:r>
    </w:p>
    <w:p>
      <w:pPr>
        <w:spacing w:line="480" w:lineRule="auto" w:after="0"/>
      </w:pPr>
      <w:r>
        <w:rPr>
          <w:rFonts w:ascii="Times New Roman" w:hAnsi="Times New Roman"/>
          <w:sz w:val="24"/>
        </w:rPr>
        <w:t>16. Stephen G, Mgongo M, Hussein Hashim T, Katanga J, Stray-Pedersen B, Msuya SE. Anaemia in pregnancy: prevalence, risk factors, and adverse perinatal outcomes in northern Tanzania. Anemia 2018;2018:1846280. Available from: https://doi.org/10.1155/2018/1846280</w:t>
      </w:r>
    </w:p>
    <w:p>
      <w:pPr>
        <w:spacing w:line="480" w:lineRule="auto" w:after="0"/>
      </w:pPr>
      <w:r>
        <w:rPr>
          <w:rFonts w:ascii="Times New Roman" w:hAnsi="Times New Roman"/>
          <w:sz w:val="24"/>
        </w:rPr>
        <w:t>17. Parks S, Hoffman MK, Goudar SS, Patel A, Saleem S, Ali SA, et al. Maternal anaemia and maternal, fetal, and neonatal outcomes in a prospective cohort study in India and Pakistan. BJOG 2019;126:737-43. Available from: https://doi.org/10.1111/1471-0528.15585</w:t>
      </w:r>
    </w:p>
    <w:p>
      <w:pPr>
        <w:spacing w:line="480" w:lineRule="auto" w:after="0"/>
      </w:pPr>
      <w:r>
        <w:rPr>
          <w:rFonts w:ascii="Times New Roman" w:hAnsi="Times New Roman"/>
          <w:sz w:val="24"/>
        </w:rPr>
        <w:t>18. Enawgaw B, Birhanie M, Terefe B, Asrie F. Prevalence of anemia and iron deficiency among pregnant women attending antenatal care service at University of Gondar Hospital, Northwest Ethiopia. Clin Lab 2019;65. Available from: https://doi.org/10.7754/Clin.Lab.2018.180822</w:t>
      </w:r>
    </w:p>
    <w:p>
      <w:pPr>
        <w:spacing w:line="480" w:lineRule="auto" w:after="0"/>
      </w:pPr>
      <w:r>
        <w:rPr>
          <w:rFonts w:ascii="Times New Roman" w:hAnsi="Times New Roman"/>
          <w:sz w:val="24"/>
        </w:rPr>
        <w:t>19. Suryanarayana R, Chandrappa M, Santhuram AN, Prathima S, Sheela SR. Prospective study on prevalence of anemia of pregnant women and its outcome: a community based study. J Family Med Prim Care 2017;6:739-43. Available from: https://doi.org/10.4103/jfmpc.jfmpc_33_17</w:t>
      </w:r>
    </w:p>
    <w:p>
      <w:pPr>
        <w:spacing w:line="480" w:lineRule="auto" w:after="0"/>
      </w:pPr>
      <w:r>
        <w:rPr>
          <w:rFonts w:ascii="Times New Roman" w:hAnsi="Times New Roman"/>
          <w:sz w:val="24"/>
        </w:rPr>
        <w:t>20. Hansda R, Tirkey S, Trivedi K, Singh P, Prakash J. Study on types of anaemia and foetomaternal outcome in antenatal patients. J Family Med Prim Care 2022;11:3040-4. Available from: https://doi.org/10.4103/jfmpc.jfmpc_2418_21</w:t>
      </w:r>
    </w:p>
    <w:p>
      <w:pPr>
        <w:spacing w:line="480" w:lineRule="auto" w:after="0"/>
      </w:pPr>
      <w:r>
        <w:rPr>
          <w:rFonts w:ascii="Times New Roman" w:hAnsi="Times New Roman"/>
          <w:sz w:val="24"/>
        </w:rPr>
        <w:t>21. Figueiredo ACMG, Gomes-Filho IS, Silva RB, Pereira PPS, Mata FAFD, Lyrio AO, et al. Maternal anemia and low birth weight: a systematic review and meta-analysis. Nutrients 2018;10:601. Available from: https://doi.org/10.3390/nu10050601</w:t>
      </w:r>
    </w:p>
    <w:p>
      <w:pPr>
        <w:spacing w:line="480" w:lineRule="auto" w:after="0"/>
      </w:pPr>
      <w:r>
        <w:rPr>
          <w:rFonts w:ascii="Times New Roman" w:hAnsi="Times New Roman"/>
          <w:sz w:val="24"/>
        </w:rPr>
        <w:t>22. Engidaw MT, Eyayu T, Tiruneh T. The effect of maternal anaemia on low birth weight among newborns in Northwest Ethiopia. Sci Rep 2022;12:15280. Available from: https://doi.org/10.1038/s41598-022-19726-z</w:t>
      </w:r>
    </w:p>
    <w:p>
      <w:pPr>
        <w:spacing w:line="480" w:lineRule="auto" w:after="0"/>
      </w:pPr>
      <w:r>
        <w:rPr>
          <w:rFonts w:ascii="Times New Roman" w:hAnsi="Times New Roman"/>
          <w:sz w:val="24"/>
        </w:rPr>
        <w:t>23. Ardic C, Usta O, Omar E, Yildiz C, Memis E, Ozturk GZ. Relationship between anaemia during pregnancy and preterm delivery. J Obstet Gynaecol 2019;39:903-6. Available from: https://doi.org/10.1080/01443615.2019.1572726</w:t>
      </w:r>
    </w:p>
    <w:p>
      <w:pPr>
        <w:spacing w:line="480" w:lineRule="auto" w:after="0"/>
      </w:pPr>
      <w:r>
        <w:rPr>
          <w:rFonts w:ascii="Times New Roman" w:hAnsi="Times New Roman"/>
          <w:sz w:val="24"/>
        </w:rPr>
        <w:t>24. Symington EA, Baumgartner J, Malan L, Wise AJ, Ricci C, Zandberg L, et al. Maternal iron-deficiency is associated with premature birth and higher birth weight despite routine antenatal iron supplementation in an urban South African setting: the NuPED prospective study. PLoS One 2019;14:e0221299. Available from: https://doi.org/10.1371/journal.pone.0221299</w:t>
      </w:r>
    </w:p>
    <w:p>
      <w:pPr>
        <w:spacing w:line="480" w:lineRule="auto" w:after="0"/>
      </w:pPr>
      <w:r>
        <w:rPr>
          <w:rFonts w:ascii="Times New Roman" w:hAnsi="Times New Roman"/>
          <w:sz w:val="24"/>
        </w:rPr>
        <w:t>25. Boyle S, Thomas H, Brooks F. Women's views on partnership working with midwives during pregnancy and childbirth. Midwifery 2016;32:21-9. Available from: https://doi.org/10.1016/j.midw.2015.09.001</w:t>
      </w:r>
    </w:p>
    <w:p>
      <w:pPr>
        <w:spacing w:line="480" w:lineRule="auto" w:after="0"/>
      </w:pPr>
      <w:r>
        <w:rPr>
          <w:rFonts w:ascii="Times New Roman" w:hAnsi="Times New Roman"/>
          <w:sz w:val="24"/>
        </w:rPr>
        <w:t>26. World Health Organization. Daily iron and folic acid supplementation during pregnancy [Internet]. Geneva: World Health Organization; 2024 [cited 2026 Jun 12]. Available from: https://www.who.int/tools/elena/interventions/daily-iron-pregnancy</w:t>
      </w:r>
    </w:p>
    <w:p>
      <w:pPr>
        <w:pStyle w:val="Heading1"/>
        <w:spacing w:line="480" w:lineRule="auto"/>
        <w:jc w:val="left"/>
      </w:pPr>
      <w:r>
        <w:rPr>
          <w:rFonts w:ascii="Times New Roman" w:hAnsi="Times New Roman" w:eastAsia="Times New Roman"/>
          <w:b/>
          <w:sz w:val="24"/>
        </w:rPr>
        <w:t>TABLE AND FIGURE LEGENDS</w:t>
      </w:r>
    </w:p>
    <w:p>
      <w:pPr>
        <w:spacing w:line="480" w:lineRule="auto" w:after="0"/>
      </w:pPr>
      <w:r>
        <w:rPr>
          <w:rFonts w:ascii="Times New Roman" w:hAnsi="Times New Roman" w:eastAsia="Times New Roman"/>
          <w:i w:val="0"/>
          <w:sz w:val="24"/>
        </w:rPr>
        <w:t>Tables are included in the text at appropriate points. No figures are included in this manuscript.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Higher Daily Boiled Chicken Egg Consumption on Mid-Upper Arm Circumference and Hemoglobin Levels among Pregnant Women with Chronic Energy Deficiency: A Quasi-Experimental Study</dc:title>
  <dc:subject>Blinded manuscript for TJOG submission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