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ind w:firstLine="0"/>
        <w:jc w:val="center"/>
      </w:pPr>
      <w:r>
        <w:rPr>
          <w:rFonts w:ascii="Times New Roman" w:hAnsi="Times New Roman" w:eastAsia="Times New Roman"/>
          <w:b/>
          <w:sz w:val="26"/>
        </w:rPr>
        <w:t>COVER LETTER AND COPYRIGHT AGREEMENT</w:t>
      </w:r>
    </w:p>
    <w:p>
      <w:pPr>
        <w:spacing w:after="120" w:line="276" w:lineRule="auto"/>
        <w:ind w:firstLine="0"/>
      </w:pPr>
      <w:r>
        <w:rPr>
          <w:rFonts w:ascii="Times New Roman" w:hAnsi="Times New Roman" w:eastAsia="Times New Roman"/>
          <w:sz w:val="22"/>
        </w:rPr>
        <w:t>26 June 2026</w:t>
      </w:r>
    </w:p>
    <w:p>
      <w:pPr>
        <w:spacing w:after="0" w:line="276" w:lineRule="auto"/>
        <w:ind w:firstLine="0"/>
      </w:pPr>
      <w:r>
        <w:rPr>
          <w:rFonts w:ascii="Times New Roman" w:hAnsi="Times New Roman" w:eastAsia="Times New Roman"/>
          <w:sz w:val="22"/>
        </w:rPr>
        <w:t>Editor-in-Chief</w:t>
      </w:r>
    </w:p>
    <w:p>
      <w:pPr>
        <w:spacing w:after="0" w:line="276" w:lineRule="auto"/>
        <w:ind w:firstLine="0"/>
      </w:pPr>
      <w:r>
        <w:rPr>
          <w:rFonts w:ascii="Times New Roman" w:hAnsi="Times New Roman" w:eastAsia="Times New Roman"/>
          <w:sz w:val="22"/>
        </w:rPr>
        <w:t>Journal of Research in Dental and Maxillofacial Sciences</w:t>
      </w:r>
    </w:p>
    <w:p>
      <w:pPr>
        <w:spacing w:after="0" w:line="276" w:lineRule="auto"/>
        <w:ind w:firstLine="0"/>
      </w:pPr>
      <w:r>
        <w:rPr>
          <w:rFonts w:ascii="Times New Roman" w:hAnsi="Times New Roman" w:eastAsia="Times New Roman"/>
          <w:sz w:val="22"/>
        </w:rPr>
        <w:t>Dental School, Tehran Medical Sciences</w:t>
      </w:r>
    </w:p>
    <w:p>
      <w:pPr>
        <w:spacing w:after="0" w:line="276" w:lineRule="auto"/>
        <w:ind w:firstLine="0"/>
      </w:pPr>
      <w:r>
        <w:rPr>
          <w:rFonts w:ascii="Times New Roman" w:hAnsi="Times New Roman" w:eastAsia="Times New Roman"/>
          <w:sz w:val="22"/>
        </w:rPr>
        <w:t>Islamic Azad University, Tehran, Iran</w:t>
      </w:r>
    </w:p>
    <w:p>
      <w:pPr>
        <w:spacing w:before="140" w:after="100" w:line="276" w:lineRule="auto"/>
        <w:ind w:firstLine="0"/>
      </w:pPr>
      <w:r>
        <w:rPr>
          <w:rFonts w:ascii="Times New Roman" w:hAnsi="Times New Roman" w:eastAsia="Times New Roman"/>
          <w:sz w:val="22"/>
        </w:rPr>
        <w:t>Dear Editor-in-Chief,</w:t>
      </w:r>
    </w:p>
    <w:p>
      <w:pPr>
        <w:keepNext w:val="0"/>
        <w:spacing w:after="0" w:line="276" w:lineRule="auto"/>
        <w:ind w:firstLine="432"/>
      </w:pPr>
      <w:r>
        <w:rPr>
          <w:rFonts w:ascii="Times New Roman" w:hAnsi="Times New Roman" w:eastAsia="Times New Roman"/>
        </w:rPr>
        <w:t>On behalf of all authors, I am pleased to submit the manuscript entitled “Legal and Ethical Governance of Forensic Dental Records in Hospitals” for consideration as a Review Article in the Journal of Research in Dental and Maxillofacial Sciences.</w:t>
      </w:r>
    </w:p>
    <w:p>
      <w:pPr>
        <w:keepNext w:val="0"/>
        <w:spacing w:after="0" w:line="276" w:lineRule="auto"/>
        <w:ind w:firstLine="432"/>
      </w:pPr>
      <w:r>
        <w:rPr>
          <w:rFonts w:ascii="Times New Roman" w:hAnsi="Times New Roman" w:eastAsia="Times New Roman"/>
        </w:rPr>
        <w:t>This narrative review examines how hospitals can govern dental records when those records are required for human identification or other medico-legal purposes. The manuscript focuses on odontograms, radiographs, clinical images, digital dental information, confidentiality, lawful disclosure, professional role boundaries, and institutional accountability. We believe the topic is appropriate for the journal because it addresses forensic dentistry, dental documentation, oral-health information management, and the responsible application of dental records in legal and disaster-response settings.</w:t>
      </w:r>
    </w:p>
    <w:p>
      <w:pPr>
        <w:keepNext w:val="0"/>
        <w:spacing w:after="0" w:line="276" w:lineRule="auto"/>
        <w:ind w:firstLine="432"/>
      </w:pPr>
      <w:r>
        <w:rPr>
          <w:rFonts w:ascii="Times New Roman" w:hAnsi="Times New Roman" w:eastAsia="Times New Roman"/>
        </w:rPr>
        <w:t>We confirm that the manuscript is original, has not been published previously, and is not under consideration by another journal. All authors have made substantial scholarly contributions, approved the submitted version, agree with the stated author order, and accept responsibility for the integrity of the work. The manuscript does not involve human participants, animals, clinical specimens, or identifiable patient data; therefore, ethical approval and informed consent were not required.</w:t>
      </w:r>
    </w:p>
    <w:p>
      <w:pPr>
        <w:keepNext w:val="0"/>
        <w:spacing w:after="0" w:line="276" w:lineRule="auto"/>
        <w:ind w:firstLine="432"/>
      </w:pPr>
      <w:r>
        <w:rPr>
          <w:rFonts w:ascii="Times New Roman" w:hAnsi="Times New Roman" w:eastAsia="Times New Roman"/>
        </w:rPr>
        <w:t>Disclosure of previous submission: An earlier version of this manuscript was submitted to the Journal of Nepal Health Research Council (JNHRC) and was rejected before publication. It is not under appeal and is not under active consideration elsewhere. The present version has been substantively revised, with a narrowed dental-forensic focus, a transparent narrative review method, strengthened legal and ethical analysis, revised references, and an implementation-oriented governance framework.</w:t>
      </w:r>
    </w:p>
    <w:p>
      <w:pPr>
        <w:keepNext w:val="0"/>
        <w:spacing w:after="0" w:line="276" w:lineRule="auto"/>
        <w:ind w:firstLine="432"/>
      </w:pPr>
      <w:r>
        <w:rPr>
          <w:rFonts w:ascii="Times New Roman" w:hAnsi="Times New Roman" w:eastAsia="Times New Roman"/>
        </w:rPr>
        <w:t>The authors declare no financial or non-financial conflicts of interest. This work received no specific grant from any funding agency in the public, commercial, or not-for-profit sectors. We respectfully request consideration of this manuscript for publication.</w:t>
      </w:r>
    </w:p>
    <w:p>
      <w:pPr>
        <w:spacing w:before="140" w:after="0" w:line="276" w:lineRule="auto"/>
        <w:ind w:firstLine="0"/>
      </w:pPr>
      <w:r>
        <w:rPr>
          <w:rFonts w:ascii="Times New Roman" w:hAnsi="Times New Roman" w:eastAsia="Times New Roman"/>
          <w:sz w:val="22"/>
        </w:rPr>
        <w:t>Sincerely,</w:t>
      </w:r>
    </w:p>
    <w:p>
      <w:pPr>
        <w:spacing w:after="0" w:line="276" w:lineRule="auto"/>
        <w:ind w:firstLine="0"/>
      </w:pPr>
      <w:r>
        <w:rPr>
          <w:rFonts w:ascii="Times New Roman" w:hAnsi="Times New Roman" w:eastAsia="Times New Roman"/>
          <w:sz w:val="21"/>
        </w:rPr>
        <w:t>Yessy Andriani Fauziah</w:t>
      </w:r>
    </w:p>
    <w:p>
      <w:pPr>
        <w:spacing w:after="0" w:line="276" w:lineRule="auto"/>
        <w:ind w:firstLine="0"/>
      </w:pPr>
      <w:r>
        <w:rPr>
          <w:rFonts w:ascii="Times New Roman" w:hAnsi="Times New Roman" w:eastAsia="Times New Roman"/>
          <w:sz w:val="21"/>
        </w:rPr>
        <w:t>Corresponding Author</w:t>
      </w:r>
    </w:p>
    <w:p>
      <w:pPr>
        <w:spacing w:after="0" w:line="276" w:lineRule="auto"/>
        <w:ind w:firstLine="0"/>
      </w:pPr>
      <w:r>
        <w:rPr>
          <w:rFonts w:ascii="Times New Roman" w:hAnsi="Times New Roman" w:eastAsia="Times New Roman"/>
          <w:sz w:val="21"/>
        </w:rPr>
        <w:t>School of Dental Medicine, Universitas Ciputra</w:t>
      </w:r>
    </w:p>
    <w:p>
      <w:pPr>
        <w:spacing w:after="0" w:line="276" w:lineRule="auto"/>
        <w:ind w:firstLine="0"/>
      </w:pPr>
      <w:r>
        <w:rPr>
          <w:rFonts w:ascii="Times New Roman" w:hAnsi="Times New Roman" w:eastAsia="Times New Roman"/>
          <w:sz w:val="21"/>
        </w:rPr>
        <w:t>CitraLand CBD Boulevard, Made, Sambikerep, Surabaya 60219, Indonesia</w:t>
      </w:r>
    </w:p>
    <w:p>
      <w:pPr>
        <w:spacing w:after="0" w:line="276" w:lineRule="auto"/>
        <w:ind w:firstLine="0"/>
      </w:pPr>
      <w:r>
        <w:rPr>
          <w:rFonts w:ascii="Times New Roman" w:hAnsi="Times New Roman" w:eastAsia="Times New Roman"/>
          <w:sz w:val="21"/>
        </w:rPr>
        <w:t>E-mail: yessy.andriani@ciputra.ac.id | Telephone: +62 857-3008-8872</w:t>
      </w:r>
    </w:p>
    <w:p>
      <w:r>
        <w:br w:type="page"/>
      </w:r>
    </w:p>
    <w:p>
      <w:pPr>
        <w:spacing w:after="200" w:line="240" w:lineRule="auto"/>
        <w:ind w:firstLine="0"/>
        <w:jc w:val="center"/>
      </w:pPr>
      <w:r>
        <w:rPr>
          <w:rFonts w:ascii="Times New Roman" w:hAnsi="Times New Roman" w:eastAsia="Times New Roman"/>
          <w:b/>
          <w:sz w:val="26"/>
        </w:rPr>
        <w:t>COPYRIGHT AND PUBLICATION AGREEMENT</w:t>
      </w:r>
    </w:p>
    <w:p>
      <w:pPr>
        <w:spacing w:after="120" w:line="300" w:lineRule="auto"/>
        <w:ind w:firstLine="0"/>
      </w:pPr>
      <w:r>
        <w:rPr>
          <w:rFonts w:ascii="Times New Roman" w:hAnsi="Times New Roman" w:eastAsia="Times New Roman"/>
          <w:b/>
          <w:sz w:val="22"/>
        </w:rPr>
        <w:t xml:space="preserve">Manuscript title: </w:t>
      </w:r>
      <w:r>
        <w:rPr>
          <w:rFonts w:ascii="Times New Roman" w:hAnsi="Times New Roman" w:eastAsia="Times New Roman"/>
          <w:sz w:val="22"/>
        </w:rPr>
        <w:t>Legal and Ethical Governance of Forensic Dental Records in Hospitals</w:t>
      </w:r>
    </w:p>
    <w:p>
      <w:pPr>
        <w:spacing w:after="120" w:line="300" w:lineRule="auto"/>
        <w:ind w:firstLine="0"/>
      </w:pPr>
      <w:r>
        <w:rPr>
          <w:rFonts w:ascii="Times New Roman" w:hAnsi="Times New Roman" w:eastAsia="Times New Roman"/>
          <w:b/>
          <w:sz w:val="22"/>
        </w:rPr>
        <w:t xml:space="preserve">We, the undersigned authors, certify that: </w:t>
      </w:r>
      <w:r>
        <w:rPr>
          <w:rFonts w:ascii="Times New Roman" w:hAnsi="Times New Roman" w:eastAsia="Times New Roman"/>
          <w:sz w:val="22"/>
        </w:rPr>
        <w:t>(1) the manuscript is original and has not been published or submitted elsewhere; (2) all listed authors meet authorship criteria, have approved the final manuscript, and accept responsibility for its content; (3) all relevant conflicts of interest and funding information have been disclosed; (4) the manuscript contains no material that infringes the rights of any third party; and (5) upon acceptance, we grant the Journal of Research in Dental and Maxillofacial Sciences the rights necessary to publish, reproduce, distribute, and archive the article in accordance with the journal’s publication and Creative Commons Attribution-NonCommercial 4.0 licensing terms.</w:t>
      </w:r>
    </w:p>
    <w:p>
      <w:pPr>
        <w:spacing w:after="120" w:line="300" w:lineRule="auto"/>
        <w:ind w:firstLine="0"/>
      </w:pPr>
      <w:r>
        <w:rPr>
          <w:rFonts w:ascii="Times New Roman" w:hAnsi="Times New Roman" w:eastAsia="Times New Roman"/>
          <w:b/>
          <w:sz w:val="22"/>
        </w:rPr>
        <w:t xml:space="preserve">Effect of agreement: </w:t>
      </w:r>
      <w:r>
        <w:rPr>
          <w:rFonts w:ascii="Times New Roman" w:hAnsi="Times New Roman" w:eastAsia="Times New Roman"/>
          <w:sz w:val="22"/>
        </w:rPr>
        <w:t>This agreement takes effect only if the manuscript is accepted for publication.</w:t>
      </w:r>
    </w:p>
    <w:p>
      <w:pPr>
        <w:spacing w:after="120" w:line="300" w:lineRule="auto"/>
        <w:ind w:firstLine="0"/>
      </w:pPr>
      <w:r>
        <w:rPr>
          <w:rFonts w:ascii="Times New Roman" w:hAnsi="Times New Roman" w:eastAsia="Times New Roman"/>
          <w:b/>
          <w:sz w:val="22"/>
        </w:rPr>
        <w:t xml:space="preserve">Author signatures: </w:t>
      </w:r>
      <w:r>
        <w:rPr>
          <w:rFonts w:ascii="Times New Roman" w:hAnsi="Times New Roman" w:eastAsia="Times New Roman"/>
          <w:sz w:val="22"/>
        </w:rPr>
        <w:t>All authors must sign below in the same order as listed in the manuscript.</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70"/>
        <w:gridCol w:w="2570"/>
        <w:gridCol w:w="2570"/>
        <w:gridCol w:w="2570"/>
      </w:tblGrid>
      <w:tr>
        <w:tc>
          <w:tcPr>
            <w:tcW w:type="dxa" w:w="2592"/>
            <w:shd w:fill="D9E2F3"/>
            <w:tcMar>
              <w:top w:w="80" w:type="dxa"/>
              <w:start w:w="80" w:type="dxa"/>
              <w:bottom w:w="80" w:type="dxa"/>
              <w:end w:w="80" w:type="dxa"/>
            </w:tcMar>
          </w:tcPr>
          <w:p>
            <w:pPr>
              <w:spacing w:line="240" w:lineRule="auto"/>
              <w:jc w:val="center"/>
            </w:pPr>
            <w:r>
              <w:rPr>
                <w:rFonts w:ascii="Times New Roman" w:hAnsi="Times New Roman" w:eastAsia="Times New Roman"/>
                <w:b/>
                <w:sz w:val="18"/>
              </w:rPr>
              <w:t>Author</w:t>
            </w:r>
          </w:p>
        </w:tc>
        <w:tc>
          <w:tcPr>
            <w:tcW w:type="dxa" w:w="3600"/>
            <w:shd w:fill="D9E2F3"/>
            <w:tcMar>
              <w:top w:w="80" w:type="dxa"/>
              <w:start w:w="80" w:type="dxa"/>
              <w:bottom w:w="80" w:type="dxa"/>
              <w:end w:w="80" w:type="dxa"/>
            </w:tcMar>
          </w:tcPr>
          <w:p>
            <w:pPr>
              <w:spacing w:line="240" w:lineRule="auto"/>
              <w:jc w:val="center"/>
            </w:pPr>
            <w:r>
              <w:rPr>
                <w:rFonts w:ascii="Times New Roman" w:hAnsi="Times New Roman" w:eastAsia="Times New Roman"/>
                <w:b/>
                <w:sz w:val="18"/>
              </w:rPr>
              <w:t>Affiliation</w:t>
            </w:r>
          </w:p>
        </w:tc>
        <w:tc>
          <w:tcPr>
            <w:tcW w:type="dxa" w:w="2448"/>
            <w:shd w:fill="D9E2F3"/>
            <w:tcMar>
              <w:top w:w="80" w:type="dxa"/>
              <w:start w:w="80" w:type="dxa"/>
              <w:bottom w:w="80" w:type="dxa"/>
              <w:end w:w="80" w:type="dxa"/>
            </w:tcMar>
          </w:tcPr>
          <w:p>
            <w:pPr>
              <w:spacing w:line="240" w:lineRule="auto"/>
              <w:jc w:val="center"/>
            </w:pPr>
            <w:r>
              <w:rPr>
                <w:rFonts w:ascii="Times New Roman" w:hAnsi="Times New Roman" w:eastAsia="Times New Roman"/>
                <w:b/>
                <w:sz w:val="18"/>
              </w:rPr>
              <w:t>Signature</w:t>
            </w:r>
          </w:p>
        </w:tc>
        <w:tc>
          <w:tcPr>
            <w:tcW w:type="dxa" w:w="1440"/>
            <w:shd w:fill="D9E2F3"/>
            <w:tcMar>
              <w:top w:w="80" w:type="dxa"/>
              <w:start w:w="80" w:type="dxa"/>
              <w:bottom w:w="80" w:type="dxa"/>
              <w:end w:w="80" w:type="dxa"/>
            </w:tcMar>
          </w:tcPr>
          <w:p>
            <w:pPr>
              <w:spacing w:line="240" w:lineRule="auto"/>
              <w:jc w:val="center"/>
            </w:pPr>
            <w:r>
              <w:rPr>
                <w:rFonts w:ascii="Times New Roman" w:hAnsi="Times New Roman" w:eastAsia="Times New Roman"/>
                <w:b/>
                <w:sz w:val="18"/>
              </w:rPr>
              <w:t>Date</w:t>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Yessy Andriani Fauziah</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School of Dental Medicine, Universitas Ciputra, Surabaya, Indonesia</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Eveline Yulia Darmadi</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School of Dental Medicine, Universitas Ciputra, Surabaya, Indonesia</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Farouk Al-Ghazaly</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Faculty of Dental Medicine, Al-Saeed University, Taiz, Yemen</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Dwi Setianingtyas</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Department of Oral Medicine, Faculty of Dentistry, Universitas Hang Tuah, Surabaya, Indonesia</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Dian Agustin Wahjuningrum</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Department of Conservative Dentistry, Faculty of Dental Medicine, Universitas Airlangga, Surabaya, Indonesia</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Ajinkya Pawar</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Department of Conservative Dentistry and Endodontics, Nair Hospital Dental College, Mumbai, Maharashtra, India</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r>
        <w:tc>
          <w:tcPr>
            <w:tcW w:type="dxa" w:w="2592"/>
            <w:tcMar>
              <w:top w:w="180" w:type="dxa"/>
              <w:start w:w="80" w:type="dxa"/>
              <w:bottom w:w="180" w:type="dxa"/>
              <w:end w:w="80" w:type="dxa"/>
            </w:tcMar>
          </w:tcPr>
          <w:p>
            <w:pPr>
              <w:spacing w:line="240" w:lineRule="auto"/>
            </w:pPr>
            <w:r>
              <w:rPr>
                <w:rFonts w:ascii="Times New Roman" w:hAnsi="Times New Roman" w:eastAsia="Times New Roman"/>
                <w:sz w:val="18"/>
              </w:rPr>
              <w:t>Dany Agus Susanto</w:t>
            </w:r>
          </w:p>
        </w:tc>
        <w:tc>
          <w:tcPr>
            <w:tcW w:type="dxa" w:w="3600"/>
            <w:tcMar>
              <w:top w:w="180" w:type="dxa"/>
              <w:start w:w="80" w:type="dxa"/>
              <w:bottom w:w="180" w:type="dxa"/>
              <w:end w:w="80" w:type="dxa"/>
            </w:tcMar>
          </w:tcPr>
          <w:p>
            <w:pPr>
              <w:spacing w:line="240" w:lineRule="auto"/>
            </w:pPr>
            <w:r>
              <w:rPr>
                <w:rFonts w:ascii="Times New Roman" w:hAnsi="Times New Roman" w:eastAsia="Times New Roman"/>
                <w:sz w:val="18"/>
              </w:rPr>
              <w:t>Faculty of Law, Universitas 45 Surabaya, Surabaya, Indonesia</w:t>
            </w:r>
          </w:p>
        </w:tc>
        <w:tc>
          <w:tcPr>
            <w:tcW w:type="dxa" w:w="2448"/>
            <w:tcMar>
              <w:top w:w="180" w:type="dxa"/>
              <w:start w:w="80" w:type="dxa"/>
              <w:bottom w:w="180" w:type="dxa"/>
              <w:end w:w="80" w:type="dxa"/>
            </w:tcMar>
          </w:tcPr>
          <w:p>
            <w:pPr>
              <w:spacing w:line="240" w:lineRule="auto"/>
            </w:pPr>
            <w:r>
              <w:rPr>
                <w:rFonts w:ascii="Times New Roman" w:hAnsi="Times New Roman" w:eastAsia="Times New Roman"/>
                <w:sz w:val="18"/>
              </w:rPr>
            </w:r>
          </w:p>
        </w:tc>
        <w:tc>
          <w:tcPr>
            <w:tcW w:type="dxa" w:w="1440"/>
            <w:tcMar>
              <w:top w:w="180" w:type="dxa"/>
              <w:start w:w="80" w:type="dxa"/>
              <w:bottom w:w="180" w:type="dxa"/>
              <w:end w:w="80" w:type="dxa"/>
            </w:tcMar>
          </w:tcPr>
          <w:p>
            <w:pPr>
              <w:spacing w:line="240" w:lineRule="auto"/>
            </w:pPr>
            <w:r>
              <w:rPr>
                <w:rFonts w:ascii="Times New Roman" w:hAnsi="Times New Roman" w:eastAsia="Times New Roman"/>
                <w:sz w:val="18"/>
              </w:rPr>
            </w:r>
          </w:p>
        </w:tc>
      </w:tr>
    </w:tbl>
    <w:sectPr>
      <w:footerReference w:type="default" r:id="rId9"/>
      <w:pgSz w:w="12240" w:h="15840"/>
      <w:pgMar w:top="979"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76" w:lineRule="auto" w:before="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