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2B87" w14:textId="77777777" w:rsidR="00FB7300" w:rsidRDefault="00000000" w:rsidP="00C5306F">
      <w:pPr>
        <w:spacing w:after="40"/>
        <w:jc w:val="both"/>
      </w:pPr>
      <w:r>
        <w:rPr>
          <w:b/>
          <w:sz w:val="28"/>
        </w:rPr>
        <w:t>Governance of Forensic Dental Records in Hospital-Based Identification Services</w:t>
      </w:r>
    </w:p>
    <w:p w14:paraId="25E1A8CB" w14:textId="77777777" w:rsidR="00FB7300" w:rsidRDefault="00000000" w:rsidP="00C5306F">
      <w:pPr>
        <w:spacing w:after="240"/>
        <w:jc w:val="both"/>
      </w:pPr>
      <w:r>
        <w:rPr>
          <w:i/>
        </w:rPr>
        <w:t>Narrative Review</w:t>
      </w:r>
    </w:p>
    <w:p w14:paraId="5D1549EA" w14:textId="77777777" w:rsidR="00FB7300" w:rsidRDefault="00000000" w:rsidP="00C5306F">
      <w:pPr>
        <w:spacing w:before="240" w:after="60"/>
        <w:jc w:val="both"/>
      </w:pPr>
      <w:r>
        <w:rPr>
          <w:b/>
        </w:rPr>
        <w:t>ABSTRACT</w:t>
      </w:r>
    </w:p>
    <w:p w14:paraId="14C16B81" w14:textId="77777777" w:rsidR="00FB7300" w:rsidRDefault="00000000" w:rsidP="00C5306F">
      <w:pPr>
        <w:jc w:val="both"/>
      </w:pPr>
      <w:r>
        <w:t>Dental records are created for clinical care, but their value may extend to forensic identification, disaster victim identification, and other authorised medico-legal purposes. Their utility depends not only on the presence of dental findings but also on the integrity, traceability, accessibility, and lawful release of the record. This narrative review critically examines governance of forensic dental records in hospital-based identification services. A structured narrative search of PubMed, Scopus, Web of Science, and Google Scholar, supplemented by legal and professional materials, addressed record maintenance, radiographic comparison, digital dental information, confidentiality, disclosure, disaster victim identification, and hospital accountability. The evidence indicates that odontograms, radiographs, three-dimensional images, clinical photographs, scans, prosthetic records, and treatment chronology can support comparative identification when they are complete and their provenance is preserved. The most persistent governance weaknesses are incomplete documentation, weak linkage of images to the clinical record, informal disclosure, poorly defined roles, and absence of an auditable release pathway. Digital systems and artificial intelligence may improve retrieval and comparison, but they also increase the importance of access controls, metadata preservation, validation, human oversight, and accountability. Hospitals should adopt a forensic-ready dental record policy with minimum documentation standards, role-based access, secure transfer, disclosure logging, and referral pathways to qualified forensic dental personnel. Such arrangements protect confidentiality while enabling lawful, reliable use of dental information when identification is required.</w:t>
      </w:r>
    </w:p>
    <w:p w14:paraId="5B45F101" w14:textId="77777777" w:rsidR="00FB7300" w:rsidRDefault="00000000" w:rsidP="00C5306F">
      <w:pPr>
        <w:spacing w:after="120"/>
        <w:jc w:val="both"/>
      </w:pPr>
      <w:r>
        <w:rPr>
          <w:b/>
        </w:rPr>
        <w:t>Keywords: dental records; forensic dentistry; hospital governance; identification; confidentiality.</w:t>
      </w:r>
    </w:p>
    <w:p w14:paraId="253B9599" w14:textId="77777777" w:rsidR="00FB7300" w:rsidRDefault="00000000" w:rsidP="00C5306F">
      <w:pPr>
        <w:spacing w:before="240" w:after="60"/>
        <w:jc w:val="both"/>
      </w:pPr>
      <w:r>
        <w:rPr>
          <w:b/>
        </w:rPr>
        <w:t>INTRODUCTION</w:t>
      </w:r>
    </w:p>
    <w:p w14:paraId="79E6C713" w14:textId="77777777" w:rsidR="00FB7300" w:rsidRDefault="00000000" w:rsidP="00C5306F">
      <w:pPr>
        <w:ind w:firstLine="283"/>
        <w:jc w:val="both"/>
      </w:pPr>
      <w:r>
        <w:t xml:space="preserve">Forensic dentistry uses dental evidence to address questions of human identification, age assessment, injury interpretation, and legal investigation. In disaster victim identification (DVI), dental comparison remains particularly important when fingerprints are unavailable, when DNA </w:t>
      </w:r>
      <w:r>
        <w:lastRenderedPageBreak/>
        <w:t>testing is delayed or incomplete, or when the condition of the remains limits other methods. Teeth, restorations, endodontic treatment, prostheses, anatomical variations, radiographs, and treatment histories can provide a combination of discriminating features that is not easily reproduced. Contemporary DVI literature continues to regard forensic odontology as a primary identification discipline, while also emphasising that sound conclusions depend on good antemortem records, transparent comparison, and quality assurance [1-6].</w:t>
      </w:r>
    </w:p>
    <w:p w14:paraId="25702275" w14:textId="77777777" w:rsidR="00FB7300" w:rsidRDefault="00000000" w:rsidP="00C5306F">
      <w:pPr>
        <w:ind w:firstLine="283"/>
        <w:jc w:val="both"/>
      </w:pPr>
      <w:r>
        <w:t>Dental information is not automatically forensic-ready. An odontogram without a date, a radiograph without a patient identifier, a digital image separated from the clinical record, or a note that does not describe treatment chronology may have limited value during a later identification. Surveys in several countries have repeatedly shown uneven knowledge of forensic responsibilities and inconsistent maintenance of dental records. In addition to routine omissions such as incomplete charts and missing signatures, the transition to digital records creates risks related to metadata loss, uncontrolled copying, unlogged export, and fragmented storage across different clinical systems [7-16].</w:t>
      </w:r>
    </w:p>
    <w:p w14:paraId="59E6B466" w14:textId="77777777" w:rsidR="00FB7300" w:rsidRDefault="00000000" w:rsidP="00C5306F">
      <w:pPr>
        <w:ind w:firstLine="283"/>
        <w:jc w:val="both"/>
      </w:pPr>
      <w:r>
        <w:t>The governance problem is therefore broader than keeping a complete chart. Hospitals and dental services may receive requests from forensic teams, law-enforcement agencies, courts, insurers, or DVI coordinators. The request may concern a narrow item such as a panoramic radiograph, a full dental chart, a copy of a digital scan, or an explanatory statement from a treating dentist. In each situation, the institution must balance confidentiality with a lawful, proportionate purpose. Professional confidentiality, data protection, and the integrity of evidence are not competing goals; rather, they require a documented process that defines authority, scope, transfer method, and accountability [17-20].</w:t>
      </w:r>
    </w:p>
    <w:p w14:paraId="02A39B5A" w14:textId="77777777" w:rsidR="00FB7300" w:rsidRDefault="00000000" w:rsidP="00C5306F">
      <w:pPr>
        <w:ind w:firstLine="283"/>
        <w:jc w:val="both"/>
      </w:pPr>
      <w:r>
        <w:t>Indonesian health, medical-record, personal-data, and implementing regulations provide a general framework for stewardship of clinical information. Ethical principles provide an additional basis for weighing individual autonomy, prevention of harm, social benefit, and fairness. However, neither broad regulation nor general ethical principles alone can substitute for an operational dental-record pathway within a hospital. This narrative review critically synthesises the evidence on forensic dental record governance and proposes a practical framework for hospital-based identification services [21-25].</w:t>
      </w:r>
    </w:p>
    <w:p w14:paraId="598B8D8E" w14:textId="77777777" w:rsidR="00FB7300" w:rsidRDefault="00000000" w:rsidP="00C5306F">
      <w:pPr>
        <w:spacing w:before="240" w:after="60"/>
        <w:jc w:val="both"/>
      </w:pPr>
      <w:r>
        <w:rPr>
          <w:b/>
        </w:rPr>
        <w:t>MATERIALS AND METHODS</w:t>
      </w:r>
    </w:p>
    <w:p w14:paraId="59C273D4" w14:textId="77777777" w:rsidR="00FB7300" w:rsidRDefault="00000000" w:rsidP="00C5306F">
      <w:pPr>
        <w:ind w:firstLine="283"/>
        <w:jc w:val="both"/>
      </w:pPr>
      <w:r>
        <w:lastRenderedPageBreak/>
        <w:t>This work was designed as a narrative review with a structured legal and ethical synthesis. The review question was: what governance controls enable hospital dental records to be used reliably and lawfully for forensic identification while protecting patient rights? The review addressed four linked domains: forensic usefulness of clinical dental records; confidentiality, consent, and disclosure; digital dental data and emerging technologies; and organisational accountability in routine and disaster settings.</w:t>
      </w:r>
    </w:p>
    <w:p w14:paraId="13E2646F" w14:textId="77777777" w:rsidR="00FB7300" w:rsidRDefault="00000000" w:rsidP="00C5306F">
      <w:pPr>
        <w:ind w:firstLine="283"/>
        <w:jc w:val="both"/>
      </w:pPr>
      <w:r>
        <w:t>Targeted searches were undertaken in PubMed, Scopus, Web of Science, and Google Scholar, supplemented by citation tracking and review of statutory, professional, and DVI guidance materials. Search terms were combined using Boolean operators and included forensic dentistry, forensic odontology, dental record, dental chart, odontogram, dental radiograph, panoramic radiograph, digital dental record, disaster victim identification, confidentiality, consent, hospital governance, personal data protection, artificial intelligence, and identification. Searches concentrated on English-language materials published from 2006 to April 2026, while retaining foundational ethical and professional sources where they remained directly relevant to current governance questions.</w:t>
      </w:r>
    </w:p>
    <w:p w14:paraId="6F33B6AF" w14:textId="77777777" w:rsidR="00FB7300" w:rsidRDefault="00000000" w:rsidP="00C5306F">
      <w:pPr>
        <w:ind w:firstLine="283"/>
        <w:jc w:val="both"/>
      </w:pPr>
      <w:r>
        <w:t>Materials were included when they reported original research, systematic or narrative reviews, professional guidance, legal or policy analysis, or DVI experience relevant to dental record creation, preservation, access, interpretation, disclosure, or use in identification. Sources that addressed only bite-mark comparison without a record-governance component, unsupported opinion pieces, and publications without sufficient methodological information were not used as primary support for recommendations. Each source was evaluated qualitatively for study design, methodological transparency, direct relevance to hospital records, applicability to forensic identification, and consistency with legal and ethical principles. The evidence base was primarily observational, descriptive, technical, and policy-oriented; no quantitative pooling or formal risk-of-bias assessment was undertaken because the purpose was to develop a critically reasoned governance framework rather than estimate a pooled effect.</w:t>
      </w:r>
    </w:p>
    <w:p w14:paraId="2DF458E7" w14:textId="77777777" w:rsidR="00FB7300" w:rsidRDefault="00000000" w:rsidP="00C5306F">
      <w:pPr>
        <w:ind w:firstLine="283"/>
        <w:jc w:val="both"/>
      </w:pPr>
      <w:r>
        <w:t>This review involved no human participants, animals, clinical specimens, or identifiable patient information. Ethical approval and informed consent were therefore not required.</w:t>
      </w:r>
    </w:p>
    <w:p w14:paraId="12035D2E" w14:textId="77777777" w:rsidR="00FB7300" w:rsidRDefault="00000000" w:rsidP="00C5306F">
      <w:pPr>
        <w:spacing w:before="240" w:after="60"/>
        <w:jc w:val="both"/>
      </w:pPr>
      <w:r>
        <w:rPr>
          <w:b/>
        </w:rPr>
        <w:t>RESULTS</w:t>
      </w:r>
    </w:p>
    <w:p w14:paraId="261A5739" w14:textId="77777777" w:rsidR="00FB7300" w:rsidRDefault="00000000" w:rsidP="00C5306F">
      <w:pPr>
        <w:spacing w:before="180" w:after="40"/>
        <w:jc w:val="both"/>
      </w:pPr>
      <w:r>
        <w:rPr>
          <w:b/>
        </w:rPr>
        <w:t>Forensic value begins with record integrity</w:t>
      </w:r>
    </w:p>
    <w:p w14:paraId="5B90F14F" w14:textId="77777777" w:rsidR="00FB7300" w:rsidRDefault="00000000" w:rsidP="00C5306F">
      <w:pPr>
        <w:ind w:firstLine="283"/>
        <w:jc w:val="both"/>
      </w:pPr>
      <w:r>
        <w:lastRenderedPageBreak/>
        <w:t>The antemortem dental record set may include contemporaneous odontograms, clinical notes, periodontal charts, periapical and panoramic radiographs, cone-beam computed tomography images, intraoral photographs, digital scans, casts, prosthetic records, and details of restorative or endodontic treatment. These items are not equally informative in every case. Their forensic contribution increases when they show multiple independent features, can be linked to a specific patient and date of care, and are available in an original or controlled-copy form. Radiographs are particularly valuable because they can document internal dental anatomy, root morphology, restorative patterns, endodontic treatment, developmental features, and anatomical relationships that may not be captured by an odontogram alone [26-33].</w:t>
      </w:r>
    </w:p>
    <w:p w14:paraId="6286481A" w14:textId="77777777" w:rsidR="00FB7300" w:rsidRDefault="00000000" w:rsidP="00C5306F">
      <w:pPr>
        <w:ind w:firstLine="283"/>
        <w:jc w:val="both"/>
      </w:pPr>
      <w:r>
        <w:t>Record quality is the principal determinant of whether clinical information can later be interpreted with confidence. Unclear notation, omitted dates, missing operator identification, inconsistent terminology, unlabelled images, and undocumented treatment changes may weaken an otherwise technically feasible comparison. Forensic reliability is not created retrospectively by a specialist; it is built through routine clinical documentation. Hospitals should therefore regard the dental record as a longitudinal clinical document whose possible forensic value depends on chronology, provenance, and the ability to distinguish original information from later amendment. Table 1 summarises record components with particular forensic value and corresponding controls for preserving their provenance.</w:t>
      </w:r>
    </w:p>
    <w:p w14:paraId="5488F692" w14:textId="77777777" w:rsidR="00FB7300" w:rsidRDefault="00000000" w:rsidP="00C5306F">
      <w:pPr>
        <w:ind w:firstLine="283"/>
        <w:jc w:val="both"/>
      </w:pPr>
      <w:r>
        <w:t>Minimum documentation requirements should include a stable patient identifier, date of care, clinician authentication, standard notation, explicit recording of extractions and restorations, linkage of each image to the relevant encounter, and retention of original image files. Corrections should be traceable rather than silently replacing the original content. A system that permits the clinic to reconstruct what was known at a particular time is more useful for clinical continuity and more defensible in a later medico-legal process. The same requirements apply to external referrals and transferred images: the source, date, and extent of the record must remain apparent.</w:t>
      </w:r>
    </w:p>
    <w:p w14:paraId="256812D0" w14:textId="77777777" w:rsidR="00FB7300" w:rsidRDefault="00000000" w:rsidP="00C5306F">
      <w:pPr>
        <w:spacing w:before="180" w:after="40"/>
        <w:jc w:val="both"/>
      </w:pPr>
      <w:r>
        <w:rPr>
          <w:b/>
        </w:rPr>
        <w:t>Digital dental information and data stewardship</w:t>
      </w:r>
    </w:p>
    <w:p w14:paraId="24A66BE3" w14:textId="77777777" w:rsidR="00FB7300" w:rsidRDefault="00000000" w:rsidP="00C5306F">
      <w:pPr>
        <w:ind w:firstLine="283"/>
        <w:jc w:val="both"/>
      </w:pPr>
      <w:r>
        <w:t xml:space="preserve">Digital systems can improve retrieval, standardisation, storage capacity, and comparison of dental information. Computer-assisted matching, panoramic-radiograph algorithms, three-dimensional imaging, and artificial-intelligence-supported methods may assist the search for potential correspondences, reduce manual workload, and support triage in large-scale </w:t>
      </w:r>
      <w:r>
        <w:lastRenderedPageBreak/>
        <w:t>identification. The current evidence nevertheless presents these technologies as adjuncts to, rather than replacements for, expert interpretation and documented forensic reasoning [34-44].</w:t>
      </w:r>
    </w:p>
    <w:p w14:paraId="1F85B164" w14:textId="77777777" w:rsidR="00FB7300" w:rsidRDefault="00000000" w:rsidP="00C5306F">
      <w:pPr>
        <w:ind w:firstLine="283"/>
        <w:jc w:val="both"/>
      </w:pPr>
      <w:r>
        <w:t>The digital record environment introduces risks that are easily overlooked. An image exported to a personal device, a cloud file shared without an access record, or a scan that loses its original metadata may retain visual information while losing its evidentiary context. Systems should retain original files, preserve acquisition details and metadata, control editing rights, log access and export, use approved secure transfer channels, and record the recipient and purpose of every disclosure. The governance objective is not to make the information inaccessible; it is to make access accountable, limited to the authorised purpose, and capable of audit.</w:t>
      </w:r>
    </w:p>
    <w:p w14:paraId="66F31F92" w14:textId="77777777" w:rsidR="00FB7300" w:rsidRDefault="00000000" w:rsidP="00C5306F">
      <w:pPr>
        <w:ind w:firstLine="283"/>
        <w:jc w:val="both"/>
      </w:pPr>
      <w:r>
        <w:t>Artificial intelligence creates an additional layer of responsibility. Algorithmic output may accelerate comparison or flag possible similarities, but it should not be treated as a final identification without human review, technical validation, documented performance limits, and a lawful basis for data processing. Hospitals should avoid uploading dental images to unapproved external platforms and should define who is authorised to use any decision-support tool, which datasets may be processed, how outputs are checked, and how any erroneous match is investigated. A governance policy should also state that the final forensic opinion remains a professional responsibility, not an automated result [19,20,38-44].</w:t>
      </w:r>
    </w:p>
    <w:p w14:paraId="180F0081" w14:textId="77777777" w:rsidR="00FB7300" w:rsidRDefault="00000000" w:rsidP="00C5306F">
      <w:pPr>
        <w:spacing w:before="180" w:after="40"/>
        <w:jc w:val="both"/>
      </w:pPr>
      <w:r>
        <w:rPr>
          <w:b/>
        </w:rPr>
        <w:t>Confidentiality, consent, and lawful disclosure</w:t>
      </w:r>
    </w:p>
    <w:p w14:paraId="12930DE3" w14:textId="77777777" w:rsidR="00FB7300" w:rsidRDefault="00000000" w:rsidP="00C5306F">
      <w:pPr>
        <w:ind w:firstLine="283"/>
        <w:jc w:val="both"/>
      </w:pPr>
      <w:r>
        <w:t>Confidentiality is the default position for dental information because it protects patients, supports trust in clinical care, and limits unnecessary dissemination of sensitive health data. A request for records should therefore not be handled as an informal professional favour. The designated hospital officer should verify the requester’s identity and authority, clarify the purpose and legal basis, define the minimum necessary information, identify whether consent is available or required, and document the decision to release or refuse the requested information [17,18].</w:t>
      </w:r>
    </w:p>
    <w:p w14:paraId="2E8879B5" w14:textId="77777777" w:rsidR="00FB7300" w:rsidRDefault="00000000" w:rsidP="00C5306F">
      <w:pPr>
        <w:ind w:firstLine="283"/>
        <w:jc w:val="both"/>
      </w:pPr>
      <w:r>
        <w:t xml:space="preserve">Consent may be appropriate in certain non-emergency circumstances, but it is not necessarily the only lawful basis for disclosure when a properly authorised forensic process exists. The operational requirement is to distinguish a clinically useful request from a legally authorised request and to release only the information needed for that purpose. Broader health and data-governance principles support role-based access, minimisation of disclosure, secure transfer, retention of an audit trail, and escalation to legal or ethics support when the scope of a request is </w:t>
      </w:r>
      <w:r>
        <w:lastRenderedPageBreak/>
        <w:t>unclear. In Indonesia, the health, medical-record, personal-data, and implementing regulations should be read together with local hospital policy and the circumstances of each request [19-25].</w:t>
      </w:r>
    </w:p>
    <w:p w14:paraId="44B1F017" w14:textId="77777777" w:rsidR="00FB7300" w:rsidRDefault="00000000" w:rsidP="00C5306F">
      <w:pPr>
        <w:ind w:firstLine="283"/>
        <w:jc w:val="both"/>
      </w:pPr>
      <w:r>
        <w:t>A hospital disclosure log should record the identity and authority of the requester, the source record, the exact files released, the legal basis or consent pathway, the decision maker, the secure transfer method, and the date and time of release. This record protects the patient by limiting avoidable exposure and protects clinicians and institutions by showing that access was not informal, excessive, or untraceable. Table 2 presents a practical release pathway that can be adapted to the legal requirements and information systems of individual hospitals.</w:t>
      </w:r>
    </w:p>
    <w:p w14:paraId="79548C4D" w14:textId="77777777" w:rsidR="00FB7300" w:rsidRDefault="00000000" w:rsidP="00C5306F">
      <w:pPr>
        <w:spacing w:before="180" w:after="40"/>
        <w:jc w:val="both"/>
      </w:pPr>
      <w:r>
        <w:rPr>
          <w:b/>
        </w:rPr>
        <w:t>DVI readiness, role separation, and institutional coordination</w:t>
      </w:r>
    </w:p>
    <w:p w14:paraId="3B976008" w14:textId="77777777" w:rsidR="00FB7300" w:rsidRDefault="00000000" w:rsidP="00C5306F">
      <w:pPr>
        <w:ind w:firstLine="283"/>
        <w:jc w:val="both"/>
      </w:pPr>
      <w:r>
        <w:t>DVI is the setting in which the value of prepared governance becomes most visible. In a major incident, hospitals may be asked to locate dental records quickly, certify copies, provide radiographs, clarify notation, or coordinate with forensic teams. Evidence from DVI practice and mass-disaster experience consistently shows the importance of systematic antemortem data collection, quality assurance, controlled information exchange, multidisciplinary coordination, and reconciliation of multiple identification methods [45-51].</w:t>
      </w:r>
    </w:p>
    <w:p w14:paraId="394BE8B3" w14:textId="77777777" w:rsidR="00FB7300" w:rsidRDefault="00000000" w:rsidP="00C5306F">
      <w:pPr>
        <w:ind w:firstLine="283"/>
        <w:jc w:val="both"/>
      </w:pPr>
      <w:r>
        <w:t>Urgency does not remove the need for safeguards. It increases the need for a designated record custodian, a known retrieval pathway, and a clear chain of transfer. The treating dentist may provide essential clinical context, but that role is not identical to serving as the forensic examiner or expert witness. The clinical role centres on care, record accuracy, and confidentiality; the forensic role requires independence, transparent comparison, and the ability to explain an opinion in a legal setting. Hospitals should separate record custody, clinical care, forensic comparison, and expert testimony whenever possible [55-60].</w:t>
      </w:r>
    </w:p>
    <w:p w14:paraId="302AF40B" w14:textId="77777777" w:rsidR="00FB7300" w:rsidRDefault="00000000" w:rsidP="00C5306F">
      <w:pPr>
        <w:ind w:firstLine="283"/>
        <w:jc w:val="both"/>
      </w:pPr>
      <w:r>
        <w:t>Preparedness should include staff education, periodic testing of record retrieval, an updated list of authorised contacts, and referral arrangements with recognised forensic dental or DVI services. Such measures are proportionate even in hospitals without a dedicated forensic dentistry unit because they strengthen everyday documentation and help prevent improvised decisions during high-pressure events.</w:t>
      </w:r>
    </w:p>
    <w:p w14:paraId="7AE11BBD" w14:textId="77777777" w:rsidR="00FB7300" w:rsidRDefault="00000000" w:rsidP="00C5306F">
      <w:pPr>
        <w:spacing w:before="240" w:after="60"/>
        <w:jc w:val="both"/>
      </w:pPr>
      <w:r>
        <w:rPr>
          <w:b/>
        </w:rPr>
        <w:t>DISCUSSION</w:t>
      </w:r>
    </w:p>
    <w:p w14:paraId="28F22862" w14:textId="77777777" w:rsidR="00FB7300" w:rsidRDefault="00000000" w:rsidP="00C5306F">
      <w:pPr>
        <w:ind w:firstLine="283"/>
        <w:jc w:val="both"/>
      </w:pPr>
      <w:r>
        <w:t xml:space="preserve">This review supports a central conclusion: high-quality dental documentation is both a clinical-quality requirement and an element of forensic preparedness. The same chart, radiograph, </w:t>
      </w:r>
      <w:r>
        <w:lastRenderedPageBreak/>
        <w:t>or scan that informs treatment today may later assist in identifying an unconscious patient, a missing person, or a disaster victim. That potential dual use does not mean that every dental record becomes unrestricted evidence. Rather, it creates a duty to maintain information carefully and to establish a defensible pathway for lawful access. The hospital's responsibility is therefore not simply to store data but to govern how that data is preserved, accessed, copied, transferred, interpreted, and reviewed.</w:t>
      </w:r>
    </w:p>
    <w:p w14:paraId="6D0401DA" w14:textId="77777777" w:rsidR="00FB7300" w:rsidRDefault="00000000" w:rsidP="00C5306F">
      <w:pPr>
        <w:ind w:firstLine="283"/>
        <w:jc w:val="both"/>
      </w:pPr>
      <w:r>
        <w:t>A practical governance model has five linked elements. First, hospitals should define a minimum forensic-ready dental record consisting of dated charting, stable patient identifiers, image linkage, treatment chronology, and preservation of original information. Second, access and disclosure should be controlled through verified authority, a minimum-necessary rule, secure transfer, and a permanent audit trail. Third, forensic interpretation should be referred to appropriately qualified personnel rather than presumed to be part of routine clinical practice. Fourth, information systems should support version history, metadata preservation, and controlled export. Fifth, staff should receive recurrent education on record integrity, privacy, and the pathway for forensic requests. These elements should be incorporated into existing clinical-governance arrangements rather than developed as a detached forensic policy.</w:t>
      </w:r>
    </w:p>
    <w:p w14:paraId="4DC8089F" w14:textId="77777777" w:rsidR="00FB7300" w:rsidRDefault="00000000" w:rsidP="00C5306F">
      <w:pPr>
        <w:ind w:firstLine="283"/>
        <w:jc w:val="both"/>
      </w:pPr>
      <w:r>
        <w:t>The model is relevant beyond DVI. Hospital dental records may be needed in cases involving unidentified patients, missing persons, medicolegal investigation of dental trauma, or requests for expert evidence. In each setting, the question is not whether dentists should cooperate with a legitimate process, but how cooperation can occur without compromising patient rights, clinical trust, or the reliability of the record. Clear operating procedures reduce the burden on individual clinicians, who otherwise may feel pressured to make legal or ethical decisions without institutional support. A written pathway also enables periodic audit: the hospital can examine whether records are consistently complete, whether images remain linked to the patient record, and whether disclosures have occurred through approved channels.</w:t>
      </w:r>
    </w:p>
    <w:p w14:paraId="0DFFA27E" w14:textId="77777777" w:rsidR="00FB7300" w:rsidRDefault="00000000" w:rsidP="00C5306F">
      <w:pPr>
        <w:ind w:firstLine="283"/>
        <w:jc w:val="both"/>
      </w:pPr>
      <w:r>
        <w:t>Digital innovation widens the practical benefits and the ethical stakes. Automated matching and artificial intelligence may assist with rapid triage, but their apparent efficiency can obscure weak data quality, selection bias, unvalidated performance, and uncertainty about cross-border data transfer. Hospitals should require a documented validation process before adopting such systems for any forensic purpose. The policy should specify the role of human review, how disagreements are resolved, how raw and processed images are retained, and how software-</w:t>
      </w:r>
      <w:r>
        <w:lastRenderedPageBreak/>
        <w:t>related errors are reported. A decision-support system may help identify candidates for review; it cannot remove the need for expert judgment or a documented rationale for a final conclusion.</w:t>
      </w:r>
    </w:p>
    <w:p w14:paraId="23097060" w14:textId="77777777" w:rsidR="00FB7300" w:rsidRDefault="00000000" w:rsidP="00C5306F">
      <w:pPr>
        <w:ind w:firstLine="283"/>
        <w:jc w:val="both"/>
      </w:pPr>
      <w:r>
        <w:t>The evidence base has limitations. Many studies are surveys of awareness, descriptions of record-keeping practices, technical validation studies, DVI experience reports, or narrative reviews. These sources identify recurrent problems but do not yield a universal threshold for declaring an individual identified on the basis of dental comparison. The weight of a comparison depends on the number and quality of concordant features, the possible pool of alternatives, image comparability, and the transparency of the reasoning process. This limitation reinforces the need for hospitals to avoid superficial checklists and to refer interpretive work to qualified forensic professionals when an expert opinion is required.</w:t>
      </w:r>
    </w:p>
    <w:p w14:paraId="3C28D9FC" w14:textId="77777777" w:rsidR="00FB7300" w:rsidRDefault="00000000" w:rsidP="00C5306F">
      <w:pPr>
        <w:ind w:firstLine="283"/>
        <w:jc w:val="both"/>
      </w:pPr>
      <w:r>
        <w:t>For Indonesian hospitals, implementation does not require every facility to establish a standalone forensic dentistry unit. A proportionate approach is feasible: strengthen routine dental documentation; nominate an accountable custodian for medico-legal record requests; establish a standard operating procedure for verification, authorisation, copying, secure transfer, and disclosure logging; and maintain referral links with forensic dental services. This approach aligns clinical record stewardship with patient protection, hospital accountability, and public-interest identification. Future research should examine the quality of digital dental records across hospital systems, test the feasibility of audit tools, and explore clinicians' experiences with real forensic record requests.</w:t>
      </w:r>
    </w:p>
    <w:p w14:paraId="063F5A7D" w14:textId="77777777" w:rsidR="00FB7300" w:rsidRDefault="00000000" w:rsidP="00C5306F">
      <w:pPr>
        <w:spacing w:before="240" w:after="60"/>
        <w:jc w:val="both"/>
      </w:pPr>
      <w:r>
        <w:rPr>
          <w:b/>
        </w:rPr>
        <w:t>CONCLUSION</w:t>
      </w:r>
    </w:p>
    <w:p w14:paraId="477F1AE4" w14:textId="77777777" w:rsidR="00FB7300" w:rsidRDefault="00000000" w:rsidP="00C5306F">
      <w:pPr>
        <w:ind w:firstLine="283"/>
        <w:jc w:val="both"/>
      </w:pPr>
      <w:r>
        <w:t>Forensic value is created by the quality, traceability, and governance of routine dental records. Hospital-based dental services should preserve complete documentation, retain original images and metadata, restrict access, record each disclosure, and distinguish clinical record release from forensic interpretation. A clear, ethically grounded protocol can protect confidentiality and patient autonomy while supporting lawful, reliable dental identification when it is genuinely required.</w:t>
      </w:r>
    </w:p>
    <w:p w14:paraId="7237807B" w14:textId="77777777" w:rsidR="00FB7300" w:rsidRDefault="00000000" w:rsidP="00C5306F">
      <w:pPr>
        <w:spacing w:before="240" w:after="60"/>
        <w:jc w:val="both"/>
      </w:pPr>
      <w:r>
        <w:rPr>
          <w:b/>
        </w:rPr>
        <w:t>ETHICAL APPROVAL AND INFORMED CONSENT</w:t>
      </w:r>
    </w:p>
    <w:p w14:paraId="5648DEDA" w14:textId="77777777" w:rsidR="00FB7300" w:rsidRDefault="00000000" w:rsidP="00C5306F">
      <w:pPr>
        <w:ind w:firstLine="283"/>
        <w:jc w:val="both"/>
      </w:pPr>
      <w:r>
        <w:t>This narrative review did not involve human participants, animals, clinical specimens, or identifiable personal data. Ethical approval and informed consent were not required.</w:t>
      </w:r>
    </w:p>
    <w:p w14:paraId="449A27E3" w14:textId="77777777" w:rsidR="00FB7300" w:rsidRDefault="00000000" w:rsidP="00C5306F">
      <w:pPr>
        <w:spacing w:before="240" w:after="60"/>
        <w:jc w:val="both"/>
      </w:pPr>
      <w:r>
        <w:rPr>
          <w:b/>
        </w:rPr>
        <w:lastRenderedPageBreak/>
        <w:t>ACKNOWLEDGMENTS</w:t>
      </w:r>
    </w:p>
    <w:p w14:paraId="68F90F5F" w14:textId="77777777" w:rsidR="00FB7300" w:rsidRDefault="00000000" w:rsidP="00C5306F">
      <w:pPr>
        <w:ind w:firstLine="283"/>
        <w:jc w:val="both"/>
      </w:pPr>
      <w:r>
        <w:t>The authors thank the institutions and professional communities whose published work informed this review. An AI-assisted language tool (ChatGPT, OpenAI) was used during early language organisation and drafting. It was not used to generate data, analyse evidence, make clinical or legal decisions, or create figures. All content, citations, interpretation, and final wording were critically reviewed by the authors, who accept full responsibility for the manuscript.</w:t>
      </w:r>
    </w:p>
    <w:p w14:paraId="35CF9C89" w14:textId="77777777" w:rsidR="00FB7300" w:rsidRDefault="00000000" w:rsidP="00C5306F">
      <w:pPr>
        <w:spacing w:before="240" w:after="60"/>
        <w:jc w:val="both"/>
      </w:pPr>
      <w:r>
        <w:rPr>
          <w:b/>
        </w:rPr>
        <w:t>FUNDING</w:t>
      </w:r>
    </w:p>
    <w:p w14:paraId="78B4F242" w14:textId="77777777" w:rsidR="00FB7300" w:rsidRDefault="00000000" w:rsidP="00C5306F">
      <w:pPr>
        <w:ind w:firstLine="283"/>
        <w:jc w:val="both"/>
      </w:pPr>
      <w:r>
        <w:t>This work received no specific grant from any funding agency in the public, commercial, or not-for-profit sectors.</w:t>
      </w:r>
    </w:p>
    <w:p w14:paraId="50BEBA8C" w14:textId="77777777" w:rsidR="00FB7300" w:rsidRDefault="00000000" w:rsidP="00C5306F">
      <w:pPr>
        <w:spacing w:before="240" w:after="60"/>
        <w:jc w:val="both"/>
      </w:pPr>
      <w:r>
        <w:rPr>
          <w:b/>
        </w:rPr>
        <w:t>CONFLICT OF INTEREST</w:t>
      </w:r>
    </w:p>
    <w:p w14:paraId="40076E57" w14:textId="77777777" w:rsidR="00FB7300" w:rsidRDefault="00000000" w:rsidP="00C5306F">
      <w:pPr>
        <w:ind w:firstLine="283"/>
        <w:jc w:val="both"/>
      </w:pPr>
      <w:r>
        <w:t>The authors declare no financial or non-financial conflicts of interest.</w:t>
      </w:r>
    </w:p>
    <w:p w14:paraId="7820E581" w14:textId="77777777" w:rsidR="00FB7300" w:rsidRDefault="00000000" w:rsidP="00C5306F">
      <w:pPr>
        <w:spacing w:before="240" w:after="60"/>
        <w:jc w:val="both"/>
      </w:pPr>
      <w:r>
        <w:rPr>
          <w:b/>
        </w:rPr>
        <w:t>DATA AVAILABILITY STATEMENT</w:t>
      </w:r>
    </w:p>
    <w:p w14:paraId="21118744" w14:textId="77777777" w:rsidR="00FB7300" w:rsidRDefault="00000000" w:rsidP="00C5306F">
      <w:pPr>
        <w:ind w:firstLine="283"/>
        <w:jc w:val="both"/>
      </w:pPr>
      <w:r>
        <w:t>No primary dataset was generated or analysed for this narrative review. All materials supporting the conclusions are available in the cited sources.</w:t>
      </w:r>
    </w:p>
    <w:p w14:paraId="387F09DB" w14:textId="77777777" w:rsidR="00FB7300" w:rsidRDefault="00000000" w:rsidP="00C5306F">
      <w:pPr>
        <w:spacing w:before="240" w:after="60"/>
        <w:jc w:val="both"/>
      </w:pPr>
      <w:r>
        <w:rPr>
          <w:b/>
        </w:rPr>
        <w:t>REFERENCES</w:t>
      </w:r>
    </w:p>
    <w:p w14:paraId="7CA9DB57" w14:textId="77777777" w:rsidR="00FB7300" w:rsidRDefault="00000000" w:rsidP="00C5306F">
      <w:pPr>
        <w:spacing w:line="480" w:lineRule="auto"/>
        <w:ind w:hanging="283"/>
        <w:jc w:val="both"/>
      </w:pPr>
      <w:r>
        <w:t>1. Forrest A. Forensic odontology in DVI: current practice and recent advances. Forensic Sci Res. 2019;4(4):316-330. doi:10.1080/20961790.2019.1678710.</w:t>
      </w:r>
    </w:p>
    <w:p w14:paraId="1B508F12" w14:textId="77777777" w:rsidR="00FB7300" w:rsidRDefault="00000000" w:rsidP="00C5306F">
      <w:pPr>
        <w:spacing w:line="480" w:lineRule="auto"/>
        <w:ind w:hanging="283"/>
        <w:jc w:val="both"/>
      </w:pPr>
      <w:r>
        <w:t>2. Zikir A, Manica S. Forensic dentistry and disaster victim identification (DVI) in Indonesia. Aust J Forensic Sci. 2021;53(1):75-83. doi:10.1080/00450618.2019.1661513.</w:t>
      </w:r>
    </w:p>
    <w:p w14:paraId="7C8D5FC1" w14:textId="77777777" w:rsidR="00FB7300" w:rsidRDefault="00000000" w:rsidP="00C5306F">
      <w:pPr>
        <w:spacing w:line="480" w:lineRule="auto"/>
        <w:ind w:hanging="283"/>
        <w:jc w:val="both"/>
      </w:pPr>
      <w:r>
        <w:t>3. Miller RG. Forensic odontology in disaster victim identification. J Forensic Sci. 2024;69(5):1630-1636. doi:10.1111/1556-4029.15471.</w:t>
      </w:r>
    </w:p>
    <w:p w14:paraId="569F747C" w14:textId="77777777" w:rsidR="00FB7300" w:rsidRDefault="00000000" w:rsidP="00C5306F">
      <w:pPr>
        <w:spacing w:line="480" w:lineRule="auto"/>
        <w:ind w:hanging="283"/>
        <w:jc w:val="both"/>
      </w:pPr>
      <w:r>
        <w:t>4. Wood RE, Gardner T. Forensic odontology in DVI-A path forward. J Forensic Sci. 2024;69(5):1620-1629. doi:10.1111/1556-4029.15412.</w:t>
      </w:r>
    </w:p>
    <w:p w14:paraId="3E449F2D" w14:textId="77777777" w:rsidR="00FB7300" w:rsidRDefault="00000000" w:rsidP="00C5306F">
      <w:pPr>
        <w:spacing w:line="480" w:lineRule="auto"/>
        <w:ind w:hanging="283"/>
        <w:jc w:val="both"/>
      </w:pPr>
      <w:r>
        <w:lastRenderedPageBreak/>
        <w:t>5. Berketa JW, James H, Lake AW. Forensic odontology involvement in disaster victim identification. Forensic Sci Med Pathol. 2012;8(2):148-156. doi:10.1007/s12024-011-9279-9.</w:t>
      </w:r>
    </w:p>
    <w:p w14:paraId="699B4AED" w14:textId="77777777" w:rsidR="00FB7300" w:rsidRDefault="00000000" w:rsidP="00C5306F">
      <w:pPr>
        <w:spacing w:line="480" w:lineRule="auto"/>
        <w:ind w:hanging="283"/>
        <w:jc w:val="both"/>
      </w:pPr>
      <w:r>
        <w:t>6. Boedi RM, Angelakopoulos N, Nuzzolese E, Pandey H, Mânica S, Franco A. Positive identification through comparative dental analysis in mass disaster: a systematic review and meta-analysis. Forensic Sci Med Pathol. 2025;21(2):916-925. doi:10.1007/s12024-024-00876-7.</w:t>
      </w:r>
    </w:p>
    <w:p w14:paraId="05964E2D" w14:textId="77777777" w:rsidR="00FB7300" w:rsidRDefault="00000000" w:rsidP="00C5306F">
      <w:pPr>
        <w:spacing w:line="480" w:lineRule="auto"/>
        <w:ind w:hanging="283"/>
        <w:jc w:val="both"/>
      </w:pPr>
      <w:r>
        <w:t>7. Pavičin IS, Jonjić A, Maretić I, Dumančić J, Zymber Çeshko A. Maintenance of dental records and forensic odontology awareness: a survey of Croatian dentists with implications for dental education. Dent J (Basel). 2021;9(4):37. doi:10.3390/dj9040037.</w:t>
      </w:r>
    </w:p>
    <w:p w14:paraId="7241D349" w14:textId="77777777" w:rsidR="00FB7300" w:rsidRDefault="00000000" w:rsidP="00C5306F">
      <w:pPr>
        <w:spacing w:line="480" w:lineRule="auto"/>
        <w:ind w:hanging="283"/>
        <w:jc w:val="both"/>
      </w:pPr>
      <w:r>
        <w:t>8. Baqai HS, Zaidi SJA, Baig QA, Bashir MB, Anwar M, Ansari AS. Maintenance of dental records and awareness of forensic odontology among Pakistani dentists: a mixed-method study with implications for dental data repository. BMC Oral Health. 2023;23:783. doi:10.1186/s12903-023-03500-2.</w:t>
      </w:r>
    </w:p>
    <w:p w14:paraId="62538789" w14:textId="77777777" w:rsidR="00FB7300" w:rsidRDefault="00000000" w:rsidP="00C5306F">
      <w:pPr>
        <w:spacing w:line="480" w:lineRule="auto"/>
        <w:ind w:hanging="283"/>
        <w:jc w:val="both"/>
      </w:pPr>
      <w:r>
        <w:t>9. Alamoudi RA, Alghamdi NS. Awareness of forensic dentistry among dental professionals in western Saudi Arabia: a knowledge, attitude, and practice-based cross-sectional study. Medicine (Baltimore). 2024;103(14):e37738. doi:10.1097/MD.0000000000037738.</w:t>
      </w:r>
    </w:p>
    <w:p w14:paraId="398381E4" w14:textId="77777777" w:rsidR="00FB7300" w:rsidRDefault="00000000" w:rsidP="00C5306F">
      <w:pPr>
        <w:spacing w:line="480" w:lineRule="auto"/>
        <w:ind w:hanging="283"/>
        <w:jc w:val="both"/>
      </w:pPr>
      <w:r>
        <w:t>10. Khalifa FN, Ibrahim FM, Ghaly MM, Elhabbak SM, Soltan M, Hamdy MK. Forensic odontology-related awareness, knowledge, and attitude among dentists and dental students in two Egyptian universities: a survey-based study. J Forensic Odontostomatol. 2024;42(2):28-38. doi:10.5281/zenodo.13335793.</w:t>
      </w:r>
    </w:p>
    <w:p w14:paraId="051AC99E" w14:textId="77777777" w:rsidR="00FB7300" w:rsidRDefault="00000000" w:rsidP="00C5306F">
      <w:pPr>
        <w:spacing w:line="480" w:lineRule="auto"/>
        <w:ind w:hanging="283"/>
        <w:jc w:val="both"/>
      </w:pPr>
      <w:r>
        <w:t>11. Borah B, Gowsalya M, Kale AD, Angadi PV. Assessment of knowledge among dental practitioners regarding digital dental record platform as a forensic aid for personal identification. J Oral Maxillofac Pathol. 2025;29(2):301-308. doi:10.4103/jomfp.jomfp_190_24.</w:t>
      </w:r>
    </w:p>
    <w:p w14:paraId="6FB5784E" w14:textId="77777777" w:rsidR="00FB7300" w:rsidRDefault="00000000" w:rsidP="00C5306F">
      <w:pPr>
        <w:spacing w:line="480" w:lineRule="auto"/>
        <w:ind w:hanging="283"/>
        <w:jc w:val="both"/>
      </w:pPr>
      <w:r>
        <w:lastRenderedPageBreak/>
        <w:t>12. Giannakopoulos K, Lambrou-Christodoulou P, Kaklamanos EG. Awareness of forensic odontology among dental students and faculty in Cyprus: a survey-based study. Dent J (Basel). 2024;12(1):6. doi:10.3390/dj12010006.</w:t>
      </w:r>
    </w:p>
    <w:p w14:paraId="1FD5343C" w14:textId="77777777" w:rsidR="00FB7300" w:rsidRDefault="00000000" w:rsidP="00C5306F">
      <w:pPr>
        <w:spacing w:line="480" w:lineRule="auto"/>
        <w:ind w:hanging="283"/>
        <w:jc w:val="both"/>
      </w:pPr>
      <w:r>
        <w:t>13. Waleed P, Baba F, Alsulami S, Tarakji B. Importance of dental records in forensic dental identification. Acta Inform Med. 2015;23(1):49-52. doi:10.5455/aim.2015.23.49-52.</w:t>
      </w:r>
    </w:p>
    <w:p w14:paraId="5141AADA" w14:textId="77777777" w:rsidR="00FB7300" w:rsidRDefault="00000000" w:rsidP="00C5306F">
      <w:pPr>
        <w:spacing w:line="480" w:lineRule="auto"/>
        <w:ind w:hanging="283"/>
        <w:jc w:val="both"/>
      </w:pPr>
      <w:r>
        <w:t>14. Devadiga A. What's the deal with dental records for practicing dentists? Importance in general and forensic dentistry. J Forensic Dent Sci. 2014;6(1):9-15. doi:10.4103/0975-1475.127764.</w:t>
      </w:r>
    </w:p>
    <w:p w14:paraId="5F444ADB" w14:textId="77777777" w:rsidR="00FB7300" w:rsidRDefault="00000000" w:rsidP="00C5306F">
      <w:pPr>
        <w:spacing w:line="480" w:lineRule="auto"/>
        <w:ind w:hanging="283"/>
        <w:jc w:val="both"/>
      </w:pPr>
      <w:r>
        <w:t>15. Gupta A, Mishra G, Bhutani H, Hoshing C, Bhalla A. Forensic revolution need maintenance of dental records of patients by the dentists: a descriptive study. J Int Soc Prev Community Dent. 2016;6(4):316-320. doi:10.4103/2231-0762.186799.</w:t>
      </w:r>
    </w:p>
    <w:p w14:paraId="59F88F58" w14:textId="77777777" w:rsidR="00FB7300" w:rsidRDefault="00000000" w:rsidP="00C5306F">
      <w:pPr>
        <w:spacing w:line="480" w:lineRule="auto"/>
        <w:ind w:hanging="283"/>
        <w:jc w:val="both"/>
      </w:pPr>
      <w:r>
        <w:t>16. Lorkiewicz-Muszynska D, Przystanska A, Glapinski M, Kociemba W, Zaba C. Difficulties in personal identification caused by unreliable dental records. J Forensic Leg Med. 2013;20(8):1135-1138. doi:10.1016/j.jflm.2013.09.003.</w:t>
      </w:r>
    </w:p>
    <w:p w14:paraId="2FA0105E" w14:textId="77777777" w:rsidR="00FB7300" w:rsidRDefault="00000000" w:rsidP="00C5306F">
      <w:pPr>
        <w:spacing w:line="480" w:lineRule="auto"/>
        <w:ind w:hanging="283"/>
        <w:jc w:val="both"/>
      </w:pPr>
      <w:r>
        <w:t>17. Sallis C, Manica S. Comparative dental analysis: should dentists release dental records? Dent Update. 2021;48(2):148-151. doi:10.12968/denu.2021.48.2.148.</w:t>
      </w:r>
    </w:p>
    <w:p w14:paraId="2AA0A11E" w14:textId="77777777" w:rsidR="00FB7300" w:rsidRDefault="00000000" w:rsidP="00C5306F">
      <w:pPr>
        <w:spacing w:line="480" w:lineRule="auto"/>
        <w:ind w:hanging="283"/>
        <w:jc w:val="both"/>
      </w:pPr>
      <w:r>
        <w:t>18. Garbin CAS, Garbin AJI, Saliba NA, de Lima DC, de Macedo APA. Analysis of the ethical aspects of professional confidentiality in dental practice. J Appl Oral Sci. 2008;16(1):75-80. doi:10.1590/S1678-77572008000100015.</w:t>
      </w:r>
    </w:p>
    <w:p w14:paraId="6F51D3DD" w14:textId="77777777" w:rsidR="00FB7300" w:rsidRDefault="00000000" w:rsidP="00C5306F">
      <w:pPr>
        <w:spacing w:line="480" w:lineRule="auto"/>
        <w:ind w:hanging="283"/>
        <w:jc w:val="both"/>
      </w:pPr>
      <w:r>
        <w:t>19. Mariño RJ, Zaror C. Legal issues in digital oral health: a scoping review. BMC Health Serv Res. 2024;24(1):6. doi:10.1186/s12913-023-10476-w.</w:t>
      </w:r>
    </w:p>
    <w:p w14:paraId="3139A891" w14:textId="77777777" w:rsidR="00FB7300" w:rsidRDefault="00000000" w:rsidP="00C5306F">
      <w:pPr>
        <w:spacing w:line="480" w:lineRule="auto"/>
        <w:ind w:hanging="283"/>
        <w:jc w:val="both"/>
      </w:pPr>
      <w:r>
        <w:t>20. Brinz J, Eslamiamirabadi N, Salamati A, Tresp V, Schwendicke F, Tichy A. Data sharing for responsible artificial intelligence in dentistry: a narrative review of legal frameworks and privacy-preserving techniques. J Dent. 2025;163:106130. doi:10.1016/j.jdent.2025.106130.</w:t>
      </w:r>
    </w:p>
    <w:p w14:paraId="0C049015" w14:textId="77777777" w:rsidR="00FB7300" w:rsidRDefault="00000000" w:rsidP="00C5306F">
      <w:pPr>
        <w:spacing w:line="480" w:lineRule="auto"/>
        <w:ind w:hanging="283"/>
        <w:jc w:val="both"/>
      </w:pPr>
      <w:r>
        <w:lastRenderedPageBreak/>
        <w:t>21. Republic of Indonesia. Law Number 17 of 2023 concerning Health. Jakarta: Government of Indonesia; 2023.</w:t>
      </w:r>
    </w:p>
    <w:p w14:paraId="26181B18" w14:textId="77777777" w:rsidR="00FB7300" w:rsidRDefault="00000000" w:rsidP="00C5306F">
      <w:pPr>
        <w:spacing w:line="480" w:lineRule="auto"/>
        <w:ind w:hanging="283"/>
        <w:jc w:val="both"/>
      </w:pPr>
      <w:r>
        <w:t>22. Republic of Indonesia. Regulation of the Minister of Health Number 24 of 2022 concerning Medical Records. Jakarta: Ministry of Health of the Republic of Indonesia; 2022.</w:t>
      </w:r>
    </w:p>
    <w:p w14:paraId="05D43AAB" w14:textId="77777777" w:rsidR="00FB7300" w:rsidRDefault="00000000" w:rsidP="00C5306F">
      <w:pPr>
        <w:spacing w:line="480" w:lineRule="auto"/>
        <w:ind w:hanging="283"/>
        <w:jc w:val="both"/>
      </w:pPr>
      <w:r>
        <w:t>23. Republic of Indonesia. Law Number 27 of 2022 concerning Personal Data Protection. Jakarta: Government of Indonesia; 2022.</w:t>
      </w:r>
    </w:p>
    <w:p w14:paraId="39DB6885" w14:textId="77777777" w:rsidR="00FB7300" w:rsidRDefault="00000000" w:rsidP="00C5306F">
      <w:pPr>
        <w:spacing w:line="480" w:lineRule="auto"/>
        <w:ind w:hanging="283"/>
        <w:jc w:val="both"/>
      </w:pPr>
      <w:r>
        <w:t>24. Republic of Indonesia. Government Regulation Number 28 of 2024 concerning the implementing regulation of Law Number 17 of 2023 concerning Health. Jakarta: Government of Indonesia; 2024.</w:t>
      </w:r>
    </w:p>
    <w:p w14:paraId="31458B36" w14:textId="77777777" w:rsidR="00FB7300" w:rsidRDefault="00000000" w:rsidP="00C5306F">
      <w:pPr>
        <w:spacing w:line="480" w:lineRule="auto"/>
        <w:ind w:hanging="283"/>
        <w:jc w:val="both"/>
      </w:pPr>
      <w:r>
        <w:t>25. Gillon R. Medical ethics: four principles plus attention to scope. BMJ. 1994;309(6948):184. doi:10.1136/bmj.309.6948.184.</w:t>
      </w:r>
    </w:p>
    <w:p w14:paraId="53FA68BD" w14:textId="77777777" w:rsidR="00FB7300" w:rsidRDefault="00000000" w:rsidP="00C5306F">
      <w:pPr>
        <w:spacing w:line="480" w:lineRule="auto"/>
        <w:ind w:hanging="283"/>
        <w:jc w:val="both"/>
      </w:pPr>
      <w:r>
        <w:t>26. Forrest AS. Collection and recording of radiological information for forensic purposes. Aust Dent J. 2012;57 Suppl 1:24-32. doi:10.1111/j.1834-7819.2011.01658.x.</w:t>
      </w:r>
    </w:p>
    <w:p w14:paraId="4890F77F" w14:textId="77777777" w:rsidR="00FB7300" w:rsidRDefault="00000000" w:rsidP="00C5306F">
      <w:pPr>
        <w:spacing w:line="480" w:lineRule="auto"/>
        <w:ind w:hanging="283"/>
        <w:jc w:val="both"/>
      </w:pPr>
      <w:r>
        <w:t>27. Chiam SL, Page M, Higgins D, Taylor J. Validity of forensic odontology identification by comparison of conventional dental radiographs: a scoping review. Sci Justice. 2019;59(1):93-101. doi:10.1016/j.scijus.2018.08.008.</w:t>
      </w:r>
    </w:p>
    <w:p w14:paraId="7C739EFF" w14:textId="77777777" w:rsidR="00FB7300" w:rsidRDefault="00000000" w:rsidP="00C5306F">
      <w:pPr>
        <w:spacing w:line="480" w:lineRule="auto"/>
        <w:ind w:hanging="283"/>
        <w:jc w:val="both"/>
      </w:pPr>
      <w:r>
        <w:t>28. Sims CA, Berketa J, Higgins D. Is human identification by dental comparison a scientifically valid process? Sci Justice. 2020;60(5):403-405. doi:10.1016/j.scijus.2020.03.006.</w:t>
      </w:r>
    </w:p>
    <w:p w14:paraId="7AA790FF" w14:textId="77777777" w:rsidR="00FB7300" w:rsidRDefault="00000000" w:rsidP="00C5306F">
      <w:pPr>
        <w:spacing w:line="480" w:lineRule="auto"/>
        <w:ind w:hanging="283"/>
        <w:jc w:val="both"/>
      </w:pPr>
      <w:r>
        <w:t>29. Thampan N, Janani R, Ramya R, Bharanidharan R, Kumar AR, Rajkumar K. Antemortem dental records versus individual identification. J Forensic Dent Sci. 2018;10(3):158-163. doi:10.4103/jfo.jfds_13_18.</w:t>
      </w:r>
    </w:p>
    <w:p w14:paraId="09728A4A" w14:textId="77777777" w:rsidR="00FB7300" w:rsidRDefault="00000000" w:rsidP="00C5306F">
      <w:pPr>
        <w:spacing w:line="480" w:lineRule="auto"/>
        <w:ind w:hanging="283"/>
        <w:jc w:val="both"/>
      </w:pPr>
      <w:r>
        <w:t>30. Gorza L, Gaddis M, Tyrer L, et al. Accuracy of dental identification of individuals with unrestored permanent teeth by visual comparison with radiographs of mixed dentition. Forensic Sci Int. 2018;289:337-343. doi:10.1016/j.forsciint.2018.06.004.</w:t>
      </w:r>
    </w:p>
    <w:p w14:paraId="0A2FF1E8" w14:textId="77777777" w:rsidR="00FB7300" w:rsidRDefault="00000000" w:rsidP="00C5306F">
      <w:pPr>
        <w:spacing w:line="480" w:lineRule="auto"/>
        <w:ind w:hanging="283"/>
        <w:jc w:val="both"/>
      </w:pPr>
      <w:r>
        <w:lastRenderedPageBreak/>
        <w:t>31. Du H, Li M, Li G, Lyu T, Tian XM. Specific oral and maxillofacial identifiers in panoramic radiographs used for human identification. J Forensic Sci. 2021;66(3):910-918. doi:10.1111/1556-4029.14673.</w:t>
      </w:r>
    </w:p>
    <w:p w14:paraId="6C600D85" w14:textId="77777777" w:rsidR="00FB7300" w:rsidRDefault="00000000" w:rsidP="00C5306F">
      <w:pPr>
        <w:spacing w:line="480" w:lineRule="auto"/>
        <w:ind w:hanging="283"/>
        <w:jc w:val="both"/>
      </w:pPr>
      <w:r>
        <w:t>32. Angelakopoulos N, Franco A, Willems G, Fieuws S, Thevissen P. Clinically detectable dental identifiers observed in intra-oral photographs and extra-oral radiographs, validated for human identification purposes. J Forensic Sci. 2017;62(4):900-906. doi:10.1111/1556-4029.13310.</w:t>
      </w:r>
    </w:p>
    <w:p w14:paraId="3BF3A905" w14:textId="77777777" w:rsidR="00FB7300" w:rsidRDefault="00000000" w:rsidP="00C5306F">
      <w:pPr>
        <w:spacing w:line="480" w:lineRule="auto"/>
        <w:ind w:hanging="283"/>
        <w:jc w:val="both"/>
      </w:pPr>
      <w:r>
        <w:t>33. Tohnak S, Mehnert AJH, Mahoney M, Crozier S. Synthesizing dental radiographs for human identification. J Dent Res. 2007;86(11):1057-1062. doi:10.1177/154405910708601107.</w:t>
      </w:r>
    </w:p>
    <w:p w14:paraId="0DA7E87B" w14:textId="77777777" w:rsidR="00FB7300" w:rsidRDefault="00000000" w:rsidP="00C5306F">
      <w:pPr>
        <w:spacing w:line="480" w:lineRule="auto"/>
        <w:ind w:hanging="283"/>
        <w:jc w:val="both"/>
      </w:pPr>
      <w:r>
        <w:t>34. Chomdej T, Pankaow W, Choychumroon S. Intelligent dental identification system (IDIS) in forensic medicine. Forensic Sci Int. 2006;158(1):27-38. doi:10.1016/j.forsciint.2005.05.001.</w:t>
      </w:r>
    </w:p>
    <w:p w14:paraId="7D8E6AFB" w14:textId="77777777" w:rsidR="00FB7300" w:rsidRDefault="00000000" w:rsidP="00C5306F">
      <w:pPr>
        <w:spacing w:line="480" w:lineRule="auto"/>
        <w:ind w:hanging="283"/>
        <w:jc w:val="both"/>
      </w:pPr>
      <w:r>
        <w:t>35. Clement JG, Winship V, Ceddia J, Al-Amad S, Morales A, Hill AJ. New software for computer-assisted dental-data matching in disaster victim identification and long-term missing persons investigations: DAVID Web. Forensic Sci Int. 2006;159 Suppl 1:S24-S29. doi:10.1016/j.forsciint.2006.02.006.</w:t>
      </w:r>
    </w:p>
    <w:p w14:paraId="5BAB1724" w14:textId="77777777" w:rsidR="00FB7300" w:rsidRDefault="00000000" w:rsidP="00C5306F">
      <w:pPr>
        <w:spacing w:line="480" w:lineRule="auto"/>
        <w:ind w:hanging="283"/>
        <w:jc w:val="both"/>
      </w:pPr>
      <w:r>
        <w:t>36. Reesu GV, Woodsend B, Manica S, Revie GF, Brown NL, Mossey PA. Automated identification from dental data (AutoIDD): a new development in digital forensics. Forensic Sci Int. 2020;309:110218. doi:10.1016/j.forsciint.2020.110218.</w:t>
      </w:r>
    </w:p>
    <w:p w14:paraId="4DA3B8F0" w14:textId="77777777" w:rsidR="00FB7300" w:rsidRDefault="00000000" w:rsidP="00C5306F">
      <w:pPr>
        <w:spacing w:line="480" w:lineRule="auto"/>
        <w:ind w:hanging="283"/>
        <w:jc w:val="both"/>
      </w:pPr>
      <w:r>
        <w:t>37. Fan F, Zhang S, Wang H, et al. Automatic human identification from panoramic dental radiographs using the convolutional neural network. Forensic Sci Int. 2020;314:110416. doi:10.1016/j.forsciint.2020.110416.</w:t>
      </w:r>
    </w:p>
    <w:p w14:paraId="1CFAA881" w14:textId="77777777" w:rsidR="00FB7300" w:rsidRDefault="00000000" w:rsidP="00C5306F">
      <w:pPr>
        <w:spacing w:line="480" w:lineRule="auto"/>
        <w:ind w:hanging="283"/>
        <w:jc w:val="both"/>
      </w:pPr>
      <w:r>
        <w:t>38. Matsuda S, Yoshida H, Ebata K, Shimada I, Yoshimura H. Forensic odontology with digital technologies: a systematic review. J Forensic Leg Med. 2020;74:102004. doi:10.1016/j.jflm.2020.102004.</w:t>
      </w:r>
    </w:p>
    <w:p w14:paraId="571F241E" w14:textId="77777777" w:rsidR="00FB7300" w:rsidRDefault="00000000" w:rsidP="00C5306F">
      <w:pPr>
        <w:spacing w:line="480" w:lineRule="auto"/>
        <w:ind w:hanging="283"/>
        <w:jc w:val="both"/>
      </w:pPr>
      <w:r>
        <w:lastRenderedPageBreak/>
        <w:t>39. Khanagar SB, Vishwanathaiah S, Naik S, Al-Kheraif AA, Divakar DD, Sarode SC, et al. Application and performance of artificial intelligence technology in forensic odontology: a systematic review. Leg Med (Tokyo). 2021;48:101826. doi:10.1016/j.legalmed.2020.101826.</w:t>
      </w:r>
    </w:p>
    <w:p w14:paraId="60B98922" w14:textId="77777777" w:rsidR="00FB7300" w:rsidRDefault="00000000" w:rsidP="00C5306F">
      <w:pPr>
        <w:spacing w:line="480" w:lineRule="auto"/>
        <w:ind w:hanging="283"/>
        <w:jc w:val="both"/>
      </w:pPr>
      <w:r>
        <w:t>40. Mohammad N, Ahmad R, Kurniawan A, Mohd Yusof MYPM. Applications of contemporary artificial intelligence technology in forensic odontology as primary forensic identifier: a scoping review. Front Artif Intell. 2022;5:1049584. doi:10.3389/frai.2022.1049584.</w:t>
      </w:r>
    </w:p>
    <w:p w14:paraId="48CECF51" w14:textId="77777777" w:rsidR="00FB7300" w:rsidRDefault="00000000" w:rsidP="00C5306F">
      <w:pPr>
        <w:spacing w:line="480" w:lineRule="auto"/>
        <w:ind w:hanging="283"/>
        <w:jc w:val="both"/>
      </w:pPr>
      <w:r>
        <w:t>41. Radu CC, Hogea T, Carașca C, Radu CM. Forensic odontology in the digital era: a narrative review of current methods and emerging trends. Diagnostics. 2025;15(20):2550. doi:10.3390/diagnostics15202550.</w:t>
      </w:r>
    </w:p>
    <w:p w14:paraId="40F43AD4" w14:textId="77777777" w:rsidR="00FB7300" w:rsidRDefault="00000000" w:rsidP="00C5306F">
      <w:pPr>
        <w:spacing w:line="480" w:lineRule="auto"/>
        <w:ind w:hanging="283"/>
        <w:jc w:val="both"/>
      </w:pPr>
      <w:r>
        <w:t>42. Reesu GV, Brown NL. Application of 3D imaging and selfies in forensic dental identification. J Forensic Leg Med. 2022;89:102354. doi:10.1016/j.jflm.2022.102354.</w:t>
      </w:r>
    </w:p>
    <w:p w14:paraId="7481C023" w14:textId="77777777" w:rsidR="00FB7300" w:rsidRDefault="00000000" w:rsidP="00C5306F">
      <w:pPr>
        <w:spacing w:line="480" w:lineRule="auto"/>
        <w:ind w:hanging="283"/>
        <w:jc w:val="both"/>
      </w:pPr>
      <w:r>
        <w:t>43. Perkins H, Hughes T, Forrest A, Higgins D. 3D dental records in Australian dental practice: a hidden gold mine for forensic identification. Aust J Forensic Sci. 2025;57(3):322-339. doi:10.1080/00450618.2024.2359432.</w:t>
      </w:r>
    </w:p>
    <w:p w14:paraId="30B4F8D9" w14:textId="77777777" w:rsidR="00FB7300" w:rsidRDefault="00000000" w:rsidP="00C5306F">
      <w:pPr>
        <w:spacing w:line="480" w:lineRule="auto"/>
        <w:ind w:hanging="283"/>
        <w:jc w:val="both"/>
      </w:pPr>
      <w:r>
        <w:t>44. Auderset FC, Connert T, Meller C, Filippi A, Dagassan-Berndt DC. Evaluation of five methods to identify composite restorations in human teeth on a forensic purpose: an ex vivo comparative study. Int J Legal Med. 2024;138(1):85-96. doi:10.1007/s00414-022-02869-z.</w:t>
      </w:r>
    </w:p>
    <w:p w14:paraId="29BB79AB" w14:textId="77777777" w:rsidR="00FB7300" w:rsidRDefault="00000000" w:rsidP="00C5306F">
      <w:pPr>
        <w:spacing w:line="480" w:lineRule="auto"/>
        <w:ind w:hanging="283"/>
        <w:jc w:val="both"/>
      </w:pPr>
      <w:r>
        <w:t>45. De Valck E. Major incident response: collecting ante-mortem data. Forensic Sci Int. 2006;159 Suppl 1:S15-S19. doi:10.1016/j.forsciint.2006.02.004.</w:t>
      </w:r>
    </w:p>
    <w:p w14:paraId="183770FC" w14:textId="77777777" w:rsidR="00FB7300" w:rsidRDefault="00000000" w:rsidP="00C5306F">
      <w:pPr>
        <w:spacing w:line="480" w:lineRule="auto"/>
        <w:ind w:hanging="283"/>
        <w:jc w:val="both"/>
      </w:pPr>
      <w:r>
        <w:t>46. Petju M, Suteerayongprasert W, Thongpud R, et al. Importance of dental records for victim identification following the Indian Ocean tsunami disaster in Thailand. Public Health. 2007;121(4):251-257. doi:10.1016/j.puhe.2006.12.003.</w:t>
      </w:r>
    </w:p>
    <w:p w14:paraId="21F6418D" w14:textId="77777777" w:rsidR="00FB7300" w:rsidRDefault="00000000" w:rsidP="00C5306F">
      <w:pPr>
        <w:spacing w:line="480" w:lineRule="auto"/>
        <w:ind w:hanging="283"/>
        <w:jc w:val="both"/>
      </w:pPr>
      <w:r>
        <w:t>47. Sweet D. Interpol DVI best-practice standards: an overview. Forensic Sci Int. 2010;201(1-3):18-21. doi:10.1016/j.forsciint.2010.02.031.</w:t>
      </w:r>
    </w:p>
    <w:p w14:paraId="7F3D7511" w14:textId="77777777" w:rsidR="00FB7300" w:rsidRDefault="00000000" w:rsidP="00C5306F">
      <w:pPr>
        <w:spacing w:line="480" w:lineRule="auto"/>
        <w:ind w:hanging="283"/>
        <w:jc w:val="both"/>
      </w:pPr>
      <w:r>
        <w:lastRenderedPageBreak/>
        <w:t>48. International Criminal Police Organization. Disaster Victim Identification Guide. Lyon: INTERPOL; 2018.</w:t>
      </w:r>
    </w:p>
    <w:p w14:paraId="73C10BE0" w14:textId="77777777" w:rsidR="00FB7300" w:rsidRDefault="00000000" w:rsidP="00C5306F">
      <w:pPr>
        <w:spacing w:line="480" w:lineRule="auto"/>
        <w:ind w:hanging="283"/>
        <w:jc w:val="both"/>
      </w:pPr>
      <w:r>
        <w:t>49. Prajapati G, Sarode SC, Sarode GS, Shelke P, Awan KH, Patil S. Role of forensic odontology in the identification of victims of major mass disasters across the world: a systematic review. PLoS One. 2018;13(6):e0199791. doi:10.1371/journal.pone.0199791.</w:t>
      </w:r>
    </w:p>
    <w:p w14:paraId="4FF19692" w14:textId="77777777" w:rsidR="00FB7300" w:rsidRDefault="00000000" w:rsidP="00C5306F">
      <w:pPr>
        <w:spacing w:line="480" w:lineRule="auto"/>
        <w:ind w:hanging="283"/>
        <w:jc w:val="both"/>
      </w:pPr>
      <w:r>
        <w:t>50. Yasar ZF, Durukan E, Buken E. The knowledge level of dentists in Turkey about their potential role on the disaster victims identification team. Disaster Med Public Health Prep. 2019;13(3):533-538. doi:10.1017/dmp.2018.111.</w:t>
      </w:r>
    </w:p>
    <w:p w14:paraId="022A452C" w14:textId="77777777" w:rsidR="00FB7300" w:rsidRDefault="00000000" w:rsidP="00C5306F">
      <w:pPr>
        <w:spacing w:line="480" w:lineRule="auto"/>
        <w:ind w:hanging="283"/>
        <w:jc w:val="both"/>
      </w:pPr>
      <w:r>
        <w:t>51. Prakash P. Future-ready military healthcare: forensic odontology training and digital dental records integration in the Indian Armed Forces. Med J Armed Forces India. 2025;81(6):644-648. doi:10.1016/j.mjafi.2024.06.006.</w:t>
      </w:r>
    </w:p>
    <w:p w14:paraId="2AAC4C34" w14:textId="77777777" w:rsidR="00FB7300" w:rsidRDefault="00000000" w:rsidP="00C5306F">
      <w:pPr>
        <w:spacing w:line="480" w:lineRule="auto"/>
        <w:ind w:hanging="283"/>
        <w:jc w:val="both"/>
      </w:pPr>
      <w:r>
        <w:t>52. Jalilvand MA, Raeisi AR, Shaarbafchizadeh N. Hospital governance accountability structure: a scoping review. BMC Health Serv Res. 2024;24:47. doi:10.1186/s12913-023-10135-0.</w:t>
      </w:r>
    </w:p>
    <w:p w14:paraId="2EF4289B" w14:textId="77777777" w:rsidR="00FB7300" w:rsidRDefault="00000000" w:rsidP="00C5306F">
      <w:pPr>
        <w:spacing w:line="480" w:lineRule="auto"/>
        <w:ind w:hanging="283"/>
        <w:jc w:val="both"/>
      </w:pPr>
      <w:r>
        <w:t>53. Schleyer TKL. Should dentistry be part of the National Health Information Infrastructure? J Am Dent Assoc. 2004;135(12):1687-1695. doi:10.14219/jada.archive.2004.0120.</w:t>
      </w:r>
    </w:p>
    <w:p w14:paraId="67C69840" w14:textId="77777777" w:rsidR="00FB7300" w:rsidRDefault="00000000" w:rsidP="00C5306F">
      <w:pPr>
        <w:spacing w:line="480" w:lineRule="auto"/>
        <w:ind w:hanging="283"/>
        <w:jc w:val="both"/>
      </w:pPr>
      <w:r>
        <w:t>54. Knott NJ. The use of information and communication technology in dentistry. Br Dent J. 2013;214(4):151-153. doi:10.1038/sj.bdj.2013.157.</w:t>
      </w:r>
    </w:p>
    <w:p w14:paraId="48CBB634" w14:textId="77777777" w:rsidR="00FB7300" w:rsidRDefault="00000000" w:rsidP="00C5306F">
      <w:pPr>
        <w:spacing w:line="480" w:lineRule="auto"/>
        <w:ind w:hanging="283"/>
        <w:jc w:val="both"/>
      </w:pPr>
      <w:r>
        <w:t>55. Nuzzolese E, Di Vella G. Future project concerning mass disaster management: a forensic odontology prospectus. Int Dent J. 2007;57(4):261-266. doi:10.1111/j.1875-595X.2007.tb00130.x.</w:t>
      </w:r>
    </w:p>
    <w:p w14:paraId="4A19B265" w14:textId="77777777" w:rsidR="00FB7300" w:rsidRDefault="00000000" w:rsidP="00C5306F">
      <w:pPr>
        <w:spacing w:line="480" w:lineRule="auto"/>
        <w:ind w:hanging="283"/>
        <w:jc w:val="both"/>
      </w:pPr>
      <w:r>
        <w:t>56. Hill AJ, Hewson I, Lain R. The role of the forensic odontologist in disaster victim identification: lessons for management. Forensic Sci Int. 2011;205(1-3):44-47. doi:10.1016/j.forsciint.2010.08.013.</w:t>
      </w:r>
    </w:p>
    <w:p w14:paraId="56DDADCC" w14:textId="77777777" w:rsidR="00FB7300" w:rsidRDefault="00000000" w:rsidP="00C5306F">
      <w:pPr>
        <w:spacing w:line="480" w:lineRule="auto"/>
        <w:ind w:hanging="283"/>
        <w:jc w:val="both"/>
      </w:pPr>
      <w:r>
        <w:lastRenderedPageBreak/>
        <w:t>57. Dahal S, Chaudhary GK, Maharjan MR, Walung ED. A dental perspective on the successes and limitations of the disaster victim identification response to the Nepal earthquake. Forensic Sci Res. 2022;7(3):366-370. doi:10.1080/20961790.2022.2034716.</w:t>
      </w:r>
    </w:p>
    <w:p w14:paraId="11615489" w14:textId="77777777" w:rsidR="00FB7300" w:rsidRDefault="00000000" w:rsidP="00C5306F">
      <w:pPr>
        <w:spacing w:line="480" w:lineRule="auto"/>
        <w:ind w:hanging="283"/>
        <w:jc w:val="both"/>
      </w:pPr>
      <w:r>
        <w:t>58. de Boer HH, Roberts J, Delabarde T, Mundorff AZ, Blau S. Disaster victim identification operations with fragmented, burnt, or commingled remains: experience-based recommendations. Forensic Sci Res. 2020;5(3):191-201. doi:10.1080/20961790.2020.1751385.</w:t>
      </w:r>
    </w:p>
    <w:p w14:paraId="5DF4D50C" w14:textId="77777777" w:rsidR="00FB7300" w:rsidRDefault="00000000" w:rsidP="00C5306F">
      <w:pPr>
        <w:spacing w:line="480" w:lineRule="auto"/>
        <w:ind w:hanging="283"/>
        <w:jc w:val="both"/>
      </w:pPr>
      <w:r>
        <w:t>59. Krishan K, Kanchan T, Garg AK. Dental evidence in forensic identification: an overview, methodology and present status. Open Dent J. 2015;9:250-256. doi:10.2174/1874210601509010250.</w:t>
      </w:r>
    </w:p>
    <w:p w14:paraId="149E1FED" w14:textId="77777777" w:rsidR="00FB7300" w:rsidRDefault="00000000" w:rsidP="00C5306F">
      <w:pPr>
        <w:spacing w:line="480" w:lineRule="auto"/>
        <w:ind w:hanging="283"/>
        <w:jc w:val="both"/>
      </w:pPr>
      <w:r>
        <w:t>60. Hinchliffe J. Forensic odontology, Part 1. Dental identification. Br Dent J. 2011;210(5):219-224. doi:10.1038/sj.bdj.2011.146.</w:t>
      </w:r>
    </w:p>
    <w:p w14:paraId="113B9686" w14:textId="77777777" w:rsidR="00FB7300" w:rsidRDefault="00000000" w:rsidP="00C5306F">
      <w:pPr>
        <w:spacing w:before="240" w:after="60"/>
        <w:jc w:val="both"/>
      </w:pPr>
      <w:r>
        <w:rPr>
          <w:b/>
        </w:rPr>
        <w:t>TABLES</w:t>
      </w:r>
    </w:p>
    <w:p w14:paraId="360A5AD6" w14:textId="77777777" w:rsidR="00FB7300" w:rsidRDefault="00000000" w:rsidP="00C5306F">
      <w:pPr>
        <w:spacing w:after="60"/>
        <w:jc w:val="both"/>
      </w:pPr>
      <w:r>
        <w:rPr>
          <w:b/>
        </w:rPr>
        <w:t>Table 1. Core hospital dental records, forensic contribution, and governance controls.</w:t>
      </w:r>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3"/>
        <w:gridCol w:w="2351"/>
        <w:gridCol w:w="2351"/>
        <w:gridCol w:w="2351"/>
      </w:tblGrid>
      <w:tr w:rsidR="00FB7300" w14:paraId="55D46A36" w14:textId="77777777" w:rsidTr="00FF56CC">
        <w:tc>
          <w:tcPr>
            <w:tcW w:w="2243" w:type="dxa"/>
            <w:tcBorders>
              <w:bottom w:val="single" w:sz="4" w:space="0" w:color="auto"/>
            </w:tcBorders>
          </w:tcPr>
          <w:p w14:paraId="464B9A82" w14:textId="77777777" w:rsidR="00FB7300" w:rsidRDefault="00000000" w:rsidP="00C5306F">
            <w:pPr>
              <w:spacing w:line="240" w:lineRule="auto"/>
              <w:jc w:val="both"/>
            </w:pPr>
            <w:r>
              <w:rPr>
                <w:b/>
                <w:sz w:val="18"/>
              </w:rPr>
              <w:t>Record component</w:t>
            </w:r>
          </w:p>
        </w:tc>
        <w:tc>
          <w:tcPr>
            <w:tcW w:w="2351" w:type="dxa"/>
            <w:tcBorders>
              <w:bottom w:val="single" w:sz="4" w:space="0" w:color="auto"/>
            </w:tcBorders>
          </w:tcPr>
          <w:p w14:paraId="5D73541A" w14:textId="77777777" w:rsidR="00FB7300" w:rsidRDefault="00000000" w:rsidP="00C5306F">
            <w:pPr>
              <w:spacing w:line="240" w:lineRule="auto"/>
              <w:jc w:val="both"/>
            </w:pPr>
            <w:r>
              <w:rPr>
                <w:b/>
                <w:sz w:val="18"/>
              </w:rPr>
              <w:t>Forensic contribution</w:t>
            </w:r>
          </w:p>
        </w:tc>
        <w:tc>
          <w:tcPr>
            <w:tcW w:w="2351" w:type="dxa"/>
            <w:tcBorders>
              <w:bottom w:val="single" w:sz="4" w:space="0" w:color="auto"/>
            </w:tcBorders>
          </w:tcPr>
          <w:p w14:paraId="2C6E5259" w14:textId="77777777" w:rsidR="00FB7300" w:rsidRDefault="00000000" w:rsidP="00C5306F">
            <w:pPr>
              <w:spacing w:line="240" w:lineRule="auto"/>
              <w:jc w:val="both"/>
            </w:pPr>
            <w:r>
              <w:rPr>
                <w:b/>
                <w:sz w:val="18"/>
              </w:rPr>
              <w:t>Key vulnerability</w:t>
            </w:r>
          </w:p>
        </w:tc>
        <w:tc>
          <w:tcPr>
            <w:tcW w:w="2351" w:type="dxa"/>
            <w:tcBorders>
              <w:bottom w:val="single" w:sz="4" w:space="0" w:color="auto"/>
            </w:tcBorders>
          </w:tcPr>
          <w:p w14:paraId="1F59DF33" w14:textId="77777777" w:rsidR="00FB7300" w:rsidRDefault="00000000" w:rsidP="00C5306F">
            <w:pPr>
              <w:spacing w:line="240" w:lineRule="auto"/>
              <w:jc w:val="both"/>
            </w:pPr>
            <w:r>
              <w:rPr>
                <w:b/>
                <w:sz w:val="18"/>
              </w:rPr>
              <w:t>Minimum governance control</w:t>
            </w:r>
          </w:p>
        </w:tc>
      </w:tr>
      <w:tr w:rsidR="00FB7300" w14:paraId="4A8DFEF0" w14:textId="77777777" w:rsidTr="00FF56CC">
        <w:tc>
          <w:tcPr>
            <w:tcW w:w="2243" w:type="dxa"/>
            <w:tcBorders>
              <w:top w:val="single" w:sz="4" w:space="0" w:color="auto"/>
            </w:tcBorders>
          </w:tcPr>
          <w:p w14:paraId="50FB8CC8" w14:textId="77777777" w:rsidR="00FB7300" w:rsidRDefault="00000000" w:rsidP="00C5306F">
            <w:pPr>
              <w:spacing w:line="240" w:lineRule="auto"/>
              <w:jc w:val="both"/>
            </w:pPr>
            <w:r>
              <w:rPr>
                <w:sz w:val="18"/>
              </w:rPr>
              <w:t>Contemporaneous odontogram and treatment chart</w:t>
            </w:r>
          </w:p>
        </w:tc>
        <w:tc>
          <w:tcPr>
            <w:tcW w:w="2351" w:type="dxa"/>
            <w:tcBorders>
              <w:top w:val="single" w:sz="4" w:space="0" w:color="auto"/>
            </w:tcBorders>
          </w:tcPr>
          <w:p w14:paraId="5D54B576" w14:textId="77777777" w:rsidR="00FB7300" w:rsidRDefault="00000000" w:rsidP="00C5306F">
            <w:pPr>
              <w:spacing w:line="240" w:lineRule="auto"/>
              <w:jc w:val="both"/>
            </w:pPr>
            <w:r>
              <w:rPr>
                <w:sz w:val="18"/>
              </w:rPr>
              <w:t>Documents tooth status, restorations, extractions, anomalies, and treatment chronology for AM-PM comparison.</w:t>
            </w:r>
          </w:p>
        </w:tc>
        <w:tc>
          <w:tcPr>
            <w:tcW w:w="2351" w:type="dxa"/>
            <w:tcBorders>
              <w:top w:val="single" w:sz="4" w:space="0" w:color="auto"/>
            </w:tcBorders>
          </w:tcPr>
          <w:p w14:paraId="15C263C9" w14:textId="77777777" w:rsidR="00FB7300" w:rsidRDefault="00000000" w:rsidP="00C5306F">
            <w:pPr>
              <w:spacing w:line="240" w:lineRule="auto"/>
              <w:jc w:val="both"/>
            </w:pPr>
            <w:r>
              <w:rPr>
                <w:sz w:val="18"/>
              </w:rPr>
              <w:t>Undated entries, non-standard notation, incomplete updates.</w:t>
            </w:r>
          </w:p>
        </w:tc>
        <w:tc>
          <w:tcPr>
            <w:tcW w:w="2351" w:type="dxa"/>
            <w:tcBorders>
              <w:top w:val="single" w:sz="4" w:space="0" w:color="auto"/>
            </w:tcBorders>
          </w:tcPr>
          <w:p w14:paraId="5D7AC96B" w14:textId="77777777" w:rsidR="00FB7300" w:rsidRDefault="00000000" w:rsidP="00C5306F">
            <w:pPr>
              <w:spacing w:line="240" w:lineRule="auto"/>
              <w:jc w:val="both"/>
            </w:pPr>
            <w:r>
              <w:rPr>
                <w:sz w:val="18"/>
              </w:rPr>
              <w:t>Use standard notation; date and authenticate entries; preserve prior versions and identify the clinician responsible.</w:t>
            </w:r>
          </w:p>
        </w:tc>
      </w:tr>
      <w:tr w:rsidR="00FB7300" w14:paraId="786E257E" w14:textId="77777777" w:rsidTr="00FF56CC">
        <w:tc>
          <w:tcPr>
            <w:tcW w:w="2243" w:type="dxa"/>
          </w:tcPr>
          <w:p w14:paraId="447A1AB3" w14:textId="77777777" w:rsidR="00FB7300" w:rsidRDefault="00000000" w:rsidP="00C5306F">
            <w:pPr>
              <w:spacing w:line="240" w:lineRule="auto"/>
              <w:jc w:val="both"/>
            </w:pPr>
            <w:r>
              <w:rPr>
                <w:sz w:val="18"/>
              </w:rPr>
              <w:t>Radiographs and three-dimensional images</w:t>
            </w:r>
          </w:p>
        </w:tc>
        <w:tc>
          <w:tcPr>
            <w:tcW w:w="2351" w:type="dxa"/>
          </w:tcPr>
          <w:p w14:paraId="1B5F12E1" w14:textId="77777777" w:rsidR="00FB7300" w:rsidRDefault="00000000" w:rsidP="00C5306F">
            <w:pPr>
              <w:spacing w:line="240" w:lineRule="auto"/>
              <w:jc w:val="both"/>
            </w:pPr>
            <w:r>
              <w:rPr>
                <w:sz w:val="18"/>
              </w:rPr>
              <w:t>Provide anatomical, restorative, endodontic, and developmental features that support comparison.</w:t>
            </w:r>
          </w:p>
        </w:tc>
        <w:tc>
          <w:tcPr>
            <w:tcW w:w="2351" w:type="dxa"/>
          </w:tcPr>
          <w:p w14:paraId="29641104" w14:textId="77777777" w:rsidR="00FB7300" w:rsidRDefault="00000000" w:rsidP="00C5306F">
            <w:pPr>
              <w:spacing w:line="240" w:lineRule="auto"/>
              <w:jc w:val="both"/>
            </w:pPr>
            <w:r>
              <w:rPr>
                <w:sz w:val="18"/>
              </w:rPr>
              <w:t>Missing identifiers, unlabeled exports, altered images, loss of metadata.</w:t>
            </w:r>
          </w:p>
        </w:tc>
        <w:tc>
          <w:tcPr>
            <w:tcW w:w="2351" w:type="dxa"/>
          </w:tcPr>
          <w:p w14:paraId="7EED80AB" w14:textId="77777777" w:rsidR="00FB7300" w:rsidRDefault="00000000" w:rsidP="00C5306F">
            <w:pPr>
              <w:spacing w:line="240" w:lineRule="auto"/>
              <w:jc w:val="both"/>
            </w:pPr>
            <w:r>
              <w:rPr>
                <w:sz w:val="18"/>
              </w:rPr>
              <w:t>Retain original files and metadata; record acquisition date and patient identifier; restrict editing rights and log exports.</w:t>
            </w:r>
          </w:p>
        </w:tc>
      </w:tr>
      <w:tr w:rsidR="00FB7300" w14:paraId="4D532E97" w14:textId="77777777" w:rsidTr="00FF56CC">
        <w:tc>
          <w:tcPr>
            <w:tcW w:w="2243" w:type="dxa"/>
          </w:tcPr>
          <w:p w14:paraId="34A138E7" w14:textId="77777777" w:rsidR="00FB7300" w:rsidRDefault="00000000" w:rsidP="00C5306F">
            <w:pPr>
              <w:spacing w:line="240" w:lineRule="auto"/>
              <w:jc w:val="both"/>
            </w:pPr>
            <w:r>
              <w:rPr>
                <w:sz w:val="18"/>
              </w:rPr>
              <w:t>Clinical photographs, scans, casts, and prosthetic records</w:t>
            </w:r>
          </w:p>
        </w:tc>
        <w:tc>
          <w:tcPr>
            <w:tcW w:w="2351" w:type="dxa"/>
          </w:tcPr>
          <w:p w14:paraId="2810BF93" w14:textId="77777777" w:rsidR="00FB7300" w:rsidRDefault="00000000" w:rsidP="00C5306F">
            <w:pPr>
              <w:spacing w:line="240" w:lineRule="auto"/>
              <w:jc w:val="both"/>
            </w:pPr>
            <w:r>
              <w:rPr>
                <w:sz w:val="18"/>
              </w:rPr>
              <w:t>May document morphology, prostheses, appliances, and treatment-specific features.</w:t>
            </w:r>
          </w:p>
        </w:tc>
        <w:tc>
          <w:tcPr>
            <w:tcW w:w="2351" w:type="dxa"/>
          </w:tcPr>
          <w:p w14:paraId="25923316" w14:textId="77777777" w:rsidR="00FB7300" w:rsidRDefault="00000000" w:rsidP="00C5306F">
            <w:pPr>
              <w:spacing w:line="240" w:lineRule="auto"/>
              <w:jc w:val="both"/>
            </w:pPr>
            <w:r>
              <w:rPr>
                <w:sz w:val="18"/>
              </w:rPr>
              <w:t>Informal storage, low resolution, lack of provenance.</w:t>
            </w:r>
          </w:p>
        </w:tc>
        <w:tc>
          <w:tcPr>
            <w:tcW w:w="2351" w:type="dxa"/>
          </w:tcPr>
          <w:p w14:paraId="74BE8DCF" w14:textId="77777777" w:rsidR="00FB7300" w:rsidRDefault="00000000" w:rsidP="00C5306F">
            <w:pPr>
              <w:spacing w:line="240" w:lineRule="auto"/>
              <w:jc w:val="both"/>
            </w:pPr>
            <w:r>
              <w:rPr>
                <w:sz w:val="18"/>
              </w:rPr>
              <w:t>Store in the clinical record; retain provenance; document date, device, and responsible clinician.</w:t>
            </w:r>
          </w:p>
        </w:tc>
      </w:tr>
      <w:tr w:rsidR="00FB7300" w14:paraId="79F93919" w14:textId="77777777" w:rsidTr="00FF56CC">
        <w:tc>
          <w:tcPr>
            <w:tcW w:w="2243" w:type="dxa"/>
          </w:tcPr>
          <w:p w14:paraId="0B2F4262" w14:textId="77777777" w:rsidR="00FB7300" w:rsidRDefault="00000000" w:rsidP="00C5306F">
            <w:pPr>
              <w:spacing w:line="240" w:lineRule="auto"/>
              <w:jc w:val="both"/>
            </w:pPr>
            <w:r>
              <w:rPr>
                <w:sz w:val="18"/>
              </w:rPr>
              <w:t>Disclosure and transfer log</w:t>
            </w:r>
          </w:p>
        </w:tc>
        <w:tc>
          <w:tcPr>
            <w:tcW w:w="2351" w:type="dxa"/>
          </w:tcPr>
          <w:p w14:paraId="2F124FD1" w14:textId="77777777" w:rsidR="00FB7300" w:rsidRDefault="00000000" w:rsidP="00C5306F">
            <w:pPr>
              <w:spacing w:line="240" w:lineRule="auto"/>
              <w:jc w:val="both"/>
            </w:pPr>
            <w:r>
              <w:rPr>
                <w:sz w:val="18"/>
              </w:rPr>
              <w:t>Demonstrates legal basis, recipient, files released, and transfer method.</w:t>
            </w:r>
          </w:p>
        </w:tc>
        <w:tc>
          <w:tcPr>
            <w:tcW w:w="2351" w:type="dxa"/>
          </w:tcPr>
          <w:p w14:paraId="6C8CD0D3" w14:textId="77777777" w:rsidR="00FB7300" w:rsidRDefault="00000000" w:rsidP="00C5306F">
            <w:pPr>
              <w:spacing w:line="240" w:lineRule="auto"/>
              <w:jc w:val="both"/>
            </w:pPr>
            <w:r>
              <w:rPr>
                <w:sz w:val="18"/>
              </w:rPr>
              <w:t>Unlogged disclosure, personal-email transfer, inability to reconstruct chain of custody.</w:t>
            </w:r>
          </w:p>
        </w:tc>
        <w:tc>
          <w:tcPr>
            <w:tcW w:w="2351" w:type="dxa"/>
          </w:tcPr>
          <w:p w14:paraId="71342EED" w14:textId="77777777" w:rsidR="00FB7300" w:rsidRDefault="00000000" w:rsidP="00C5306F">
            <w:pPr>
              <w:spacing w:line="240" w:lineRule="auto"/>
              <w:jc w:val="both"/>
            </w:pPr>
            <w:r>
              <w:rPr>
                <w:sz w:val="18"/>
              </w:rPr>
              <w:t>Use a standard release form; verify authority; apply secure transfer; retain a complete disclosure log.</w:t>
            </w:r>
          </w:p>
        </w:tc>
      </w:tr>
    </w:tbl>
    <w:p w14:paraId="69106FC9" w14:textId="77777777" w:rsidR="00FB7300" w:rsidRDefault="00000000" w:rsidP="00C5306F">
      <w:pPr>
        <w:spacing w:after="160"/>
        <w:jc w:val="both"/>
      </w:pPr>
      <w:r>
        <w:rPr>
          <w:i/>
        </w:rPr>
        <w:t>Note: AM-PM = antemortem-postmortem. Controls should be adapted to applicable law, hospital policy, and the institution’s information system.</w:t>
      </w:r>
    </w:p>
    <w:p w14:paraId="4477DBB6" w14:textId="77777777" w:rsidR="00FF56CC" w:rsidRDefault="00FF56CC" w:rsidP="00C5306F">
      <w:pPr>
        <w:spacing w:after="60"/>
        <w:jc w:val="both"/>
        <w:rPr>
          <w:b/>
        </w:rPr>
      </w:pPr>
    </w:p>
    <w:p w14:paraId="369D6E07" w14:textId="0C416978" w:rsidR="00FB7300" w:rsidRDefault="00000000" w:rsidP="00C5306F">
      <w:pPr>
        <w:spacing w:after="60"/>
        <w:jc w:val="both"/>
      </w:pPr>
      <w:r>
        <w:rPr>
          <w:b/>
        </w:rPr>
        <w:lastRenderedPageBreak/>
        <w:t>Table 2. Hospital pathway for releasing dental records for forensic purposes.</w:t>
      </w:r>
    </w:p>
    <w:tbl>
      <w:tblPr>
        <w:tblStyle w:val="TableGrid"/>
        <w:tblW w:w="0" w:type="auto"/>
        <w:tblInd w:w="108" w:type="dxa"/>
        <w:tblBorders>
          <w:insideH w:val="none" w:sz="0" w:space="0" w:color="auto"/>
          <w:insideV w:val="none" w:sz="0" w:space="0" w:color="auto"/>
        </w:tblBorders>
        <w:tblLook w:val="04A0" w:firstRow="1" w:lastRow="0" w:firstColumn="1" w:lastColumn="0" w:noHBand="0" w:noVBand="1"/>
      </w:tblPr>
      <w:tblGrid>
        <w:gridCol w:w="3027"/>
        <w:gridCol w:w="3135"/>
        <w:gridCol w:w="3135"/>
      </w:tblGrid>
      <w:tr w:rsidR="00FB7300" w14:paraId="58446191" w14:textId="77777777" w:rsidTr="00FF56CC">
        <w:tc>
          <w:tcPr>
            <w:tcW w:w="3027" w:type="dxa"/>
            <w:tcBorders>
              <w:top w:val="single" w:sz="4" w:space="0" w:color="auto"/>
              <w:left w:val="nil"/>
              <w:bottom w:val="single" w:sz="4" w:space="0" w:color="auto"/>
            </w:tcBorders>
          </w:tcPr>
          <w:p w14:paraId="5092CD9F" w14:textId="77777777" w:rsidR="00FB7300" w:rsidRDefault="00000000" w:rsidP="00C5306F">
            <w:pPr>
              <w:spacing w:line="240" w:lineRule="auto"/>
              <w:jc w:val="both"/>
            </w:pPr>
            <w:r>
              <w:rPr>
                <w:b/>
                <w:sz w:val="18"/>
              </w:rPr>
              <w:t>Step</w:t>
            </w:r>
          </w:p>
        </w:tc>
        <w:tc>
          <w:tcPr>
            <w:tcW w:w="3135" w:type="dxa"/>
            <w:tcBorders>
              <w:top w:val="single" w:sz="4" w:space="0" w:color="auto"/>
              <w:bottom w:val="single" w:sz="4" w:space="0" w:color="auto"/>
            </w:tcBorders>
          </w:tcPr>
          <w:p w14:paraId="2AE726C1" w14:textId="77777777" w:rsidR="00FB7300" w:rsidRDefault="00000000" w:rsidP="00C5306F">
            <w:pPr>
              <w:spacing w:line="240" w:lineRule="auto"/>
              <w:jc w:val="both"/>
            </w:pPr>
            <w:r>
              <w:rPr>
                <w:b/>
                <w:sz w:val="18"/>
              </w:rPr>
              <w:t>Required action</w:t>
            </w:r>
          </w:p>
        </w:tc>
        <w:tc>
          <w:tcPr>
            <w:tcW w:w="3135" w:type="dxa"/>
            <w:tcBorders>
              <w:top w:val="single" w:sz="4" w:space="0" w:color="auto"/>
              <w:bottom w:val="single" w:sz="4" w:space="0" w:color="auto"/>
              <w:right w:val="nil"/>
            </w:tcBorders>
          </w:tcPr>
          <w:p w14:paraId="00C6735D" w14:textId="77777777" w:rsidR="00FB7300" w:rsidRDefault="00000000" w:rsidP="00C5306F">
            <w:pPr>
              <w:spacing w:line="240" w:lineRule="auto"/>
              <w:jc w:val="both"/>
            </w:pPr>
            <w:r>
              <w:rPr>
                <w:b/>
                <w:sz w:val="18"/>
              </w:rPr>
              <w:t>Control point</w:t>
            </w:r>
          </w:p>
        </w:tc>
      </w:tr>
      <w:tr w:rsidR="00FB7300" w14:paraId="5003B6DD" w14:textId="77777777" w:rsidTr="00FF56CC">
        <w:tc>
          <w:tcPr>
            <w:tcW w:w="3027" w:type="dxa"/>
            <w:tcBorders>
              <w:top w:val="single" w:sz="4" w:space="0" w:color="auto"/>
              <w:left w:val="nil"/>
            </w:tcBorders>
          </w:tcPr>
          <w:p w14:paraId="525FED04" w14:textId="77777777" w:rsidR="00FB7300" w:rsidRDefault="00000000" w:rsidP="00C5306F">
            <w:pPr>
              <w:spacing w:line="240" w:lineRule="auto"/>
              <w:jc w:val="both"/>
            </w:pPr>
            <w:r>
              <w:rPr>
                <w:sz w:val="18"/>
              </w:rPr>
              <w:t>1</w:t>
            </w:r>
          </w:p>
        </w:tc>
        <w:tc>
          <w:tcPr>
            <w:tcW w:w="3135" w:type="dxa"/>
            <w:tcBorders>
              <w:top w:val="single" w:sz="4" w:space="0" w:color="auto"/>
            </w:tcBorders>
          </w:tcPr>
          <w:p w14:paraId="451482A0" w14:textId="77777777" w:rsidR="00FB7300" w:rsidRDefault="00000000" w:rsidP="00C5306F">
            <w:pPr>
              <w:spacing w:line="240" w:lineRule="auto"/>
              <w:jc w:val="both"/>
            </w:pPr>
            <w:r>
              <w:rPr>
                <w:sz w:val="18"/>
              </w:rPr>
              <w:t>Verify the request: confirm identity, authority, purpose, and legal basis.</w:t>
            </w:r>
          </w:p>
        </w:tc>
        <w:tc>
          <w:tcPr>
            <w:tcW w:w="3135" w:type="dxa"/>
            <w:tcBorders>
              <w:top w:val="single" w:sz="4" w:space="0" w:color="auto"/>
              <w:right w:val="nil"/>
            </w:tcBorders>
          </w:tcPr>
          <w:p w14:paraId="3EE41B9A" w14:textId="77777777" w:rsidR="00FB7300" w:rsidRDefault="00000000" w:rsidP="00C5306F">
            <w:pPr>
              <w:spacing w:line="240" w:lineRule="auto"/>
              <w:jc w:val="both"/>
            </w:pPr>
            <w:r>
              <w:rPr>
                <w:sz w:val="18"/>
              </w:rPr>
              <w:t>Do not act on informal, unverifiable, or overly broad requests.</w:t>
            </w:r>
          </w:p>
        </w:tc>
      </w:tr>
      <w:tr w:rsidR="00FB7300" w14:paraId="3E53D7A5" w14:textId="77777777" w:rsidTr="00FF56CC">
        <w:tc>
          <w:tcPr>
            <w:tcW w:w="3027" w:type="dxa"/>
            <w:tcBorders>
              <w:left w:val="nil"/>
            </w:tcBorders>
          </w:tcPr>
          <w:p w14:paraId="398B26E9" w14:textId="77777777" w:rsidR="00FB7300" w:rsidRDefault="00000000" w:rsidP="00C5306F">
            <w:pPr>
              <w:spacing w:line="240" w:lineRule="auto"/>
              <w:jc w:val="both"/>
            </w:pPr>
            <w:r>
              <w:rPr>
                <w:sz w:val="18"/>
              </w:rPr>
              <w:t>2</w:t>
            </w:r>
          </w:p>
        </w:tc>
        <w:tc>
          <w:tcPr>
            <w:tcW w:w="3135" w:type="dxa"/>
          </w:tcPr>
          <w:p w14:paraId="2A607E54" w14:textId="77777777" w:rsidR="00FB7300" w:rsidRDefault="00000000" w:rsidP="00C5306F">
            <w:pPr>
              <w:spacing w:line="240" w:lineRule="auto"/>
              <w:jc w:val="both"/>
            </w:pPr>
            <w:r>
              <w:rPr>
                <w:sz w:val="18"/>
              </w:rPr>
              <w:t>Define the minimum necessary information, such as odontogram, radiographs, or prosthetic information.</w:t>
            </w:r>
          </w:p>
        </w:tc>
        <w:tc>
          <w:tcPr>
            <w:tcW w:w="3135" w:type="dxa"/>
            <w:tcBorders>
              <w:right w:val="nil"/>
            </w:tcBorders>
          </w:tcPr>
          <w:p w14:paraId="52DB3382" w14:textId="77777777" w:rsidR="00FB7300" w:rsidRDefault="00000000" w:rsidP="00C5306F">
            <w:pPr>
              <w:spacing w:line="240" w:lineRule="auto"/>
              <w:jc w:val="both"/>
            </w:pPr>
            <w:r>
              <w:rPr>
                <w:sz w:val="18"/>
              </w:rPr>
              <w:t>Avoid release of unrelated clinical information.</w:t>
            </w:r>
          </w:p>
        </w:tc>
      </w:tr>
      <w:tr w:rsidR="00FB7300" w14:paraId="5BE42CCE" w14:textId="77777777" w:rsidTr="00FF56CC">
        <w:tc>
          <w:tcPr>
            <w:tcW w:w="3027" w:type="dxa"/>
            <w:tcBorders>
              <w:left w:val="nil"/>
            </w:tcBorders>
          </w:tcPr>
          <w:p w14:paraId="3184B17B" w14:textId="77777777" w:rsidR="00FB7300" w:rsidRDefault="00000000" w:rsidP="00C5306F">
            <w:pPr>
              <w:spacing w:line="240" w:lineRule="auto"/>
              <w:jc w:val="both"/>
            </w:pPr>
            <w:r>
              <w:rPr>
                <w:sz w:val="18"/>
              </w:rPr>
              <w:t>3</w:t>
            </w:r>
          </w:p>
        </w:tc>
        <w:tc>
          <w:tcPr>
            <w:tcW w:w="3135" w:type="dxa"/>
          </w:tcPr>
          <w:p w14:paraId="4A997BAC" w14:textId="77777777" w:rsidR="00FB7300" w:rsidRDefault="00000000" w:rsidP="00C5306F">
            <w:pPr>
              <w:spacing w:line="240" w:lineRule="auto"/>
              <w:jc w:val="both"/>
            </w:pPr>
            <w:r>
              <w:rPr>
                <w:sz w:val="18"/>
              </w:rPr>
              <w:t>Obtain internal authorisation from the designated record custodian and, when needed, legal or ethics support.</w:t>
            </w:r>
          </w:p>
        </w:tc>
        <w:tc>
          <w:tcPr>
            <w:tcW w:w="3135" w:type="dxa"/>
            <w:tcBorders>
              <w:right w:val="nil"/>
            </w:tcBorders>
          </w:tcPr>
          <w:p w14:paraId="7D2A53F7" w14:textId="77777777" w:rsidR="00FB7300" w:rsidRDefault="00000000" w:rsidP="00C5306F">
            <w:pPr>
              <w:spacing w:line="240" w:lineRule="auto"/>
              <w:jc w:val="both"/>
            </w:pPr>
            <w:r>
              <w:rPr>
                <w:sz w:val="18"/>
              </w:rPr>
              <w:t>Document decision-maker, rationale, and scope approved.</w:t>
            </w:r>
          </w:p>
        </w:tc>
      </w:tr>
      <w:tr w:rsidR="00FB7300" w14:paraId="55F68D0B" w14:textId="77777777" w:rsidTr="00FF56CC">
        <w:tc>
          <w:tcPr>
            <w:tcW w:w="3027" w:type="dxa"/>
            <w:tcBorders>
              <w:left w:val="nil"/>
            </w:tcBorders>
          </w:tcPr>
          <w:p w14:paraId="5B97C143" w14:textId="77777777" w:rsidR="00FB7300" w:rsidRDefault="00000000" w:rsidP="00C5306F">
            <w:pPr>
              <w:spacing w:line="240" w:lineRule="auto"/>
              <w:jc w:val="both"/>
            </w:pPr>
            <w:r>
              <w:rPr>
                <w:sz w:val="18"/>
              </w:rPr>
              <w:t>4</w:t>
            </w:r>
          </w:p>
        </w:tc>
        <w:tc>
          <w:tcPr>
            <w:tcW w:w="3135" w:type="dxa"/>
          </w:tcPr>
          <w:p w14:paraId="67DE0CCA" w14:textId="77777777" w:rsidR="00FB7300" w:rsidRDefault="00000000" w:rsidP="00C5306F">
            <w:pPr>
              <w:spacing w:line="240" w:lineRule="auto"/>
              <w:jc w:val="both"/>
            </w:pPr>
            <w:r>
              <w:rPr>
                <w:sz w:val="18"/>
              </w:rPr>
              <w:t>Prepare controlled copies without altering original files; retain metadata and identify the source record.</w:t>
            </w:r>
          </w:p>
        </w:tc>
        <w:tc>
          <w:tcPr>
            <w:tcW w:w="3135" w:type="dxa"/>
            <w:tcBorders>
              <w:right w:val="nil"/>
            </w:tcBorders>
          </w:tcPr>
          <w:p w14:paraId="4C9D9F56" w14:textId="77777777" w:rsidR="00FB7300" w:rsidRDefault="00000000" w:rsidP="00C5306F">
            <w:pPr>
              <w:spacing w:line="240" w:lineRule="auto"/>
              <w:jc w:val="both"/>
            </w:pPr>
            <w:r>
              <w:rPr>
                <w:sz w:val="18"/>
              </w:rPr>
              <w:t>Preserve originals; identify copies as controlled or certified where appropriate.</w:t>
            </w:r>
          </w:p>
        </w:tc>
      </w:tr>
      <w:tr w:rsidR="00FB7300" w14:paraId="7BF29D6B" w14:textId="77777777" w:rsidTr="00FF56CC">
        <w:tc>
          <w:tcPr>
            <w:tcW w:w="3027" w:type="dxa"/>
            <w:tcBorders>
              <w:left w:val="nil"/>
            </w:tcBorders>
          </w:tcPr>
          <w:p w14:paraId="6E8DC0ED" w14:textId="77777777" w:rsidR="00FB7300" w:rsidRDefault="00000000" w:rsidP="00C5306F">
            <w:pPr>
              <w:spacing w:line="240" w:lineRule="auto"/>
              <w:jc w:val="both"/>
            </w:pPr>
            <w:r>
              <w:rPr>
                <w:sz w:val="18"/>
              </w:rPr>
              <w:t>5</w:t>
            </w:r>
          </w:p>
        </w:tc>
        <w:tc>
          <w:tcPr>
            <w:tcW w:w="3135" w:type="dxa"/>
          </w:tcPr>
          <w:p w14:paraId="4F2F2D72" w14:textId="77777777" w:rsidR="00FB7300" w:rsidRDefault="00000000" w:rsidP="00C5306F">
            <w:pPr>
              <w:spacing w:line="240" w:lineRule="auto"/>
              <w:jc w:val="both"/>
            </w:pPr>
            <w:r>
              <w:rPr>
                <w:sz w:val="18"/>
              </w:rPr>
              <w:t>Transfer through the approved secure method and record recipient, date, time, and file list.</w:t>
            </w:r>
          </w:p>
        </w:tc>
        <w:tc>
          <w:tcPr>
            <w:tcW w:w="3135" w:type="dxa"/>
            <w:tcBorders>
              <w:right w:val="nil"/>
            </w:tcBorders>
          </w:tcPr>
          <w:p w14:paraId="5FEF573D" w14:textId="77777777" w:rsidR="00FB7300" w:rsidRDefault="00000000" w:rsidP="00C5306F">
            <w:pPr>
              <w:spacing w:line="240" w:lineRule="auto"/>
              <w:jc w:val="both"/>
            </w:pPr>
            <w:r>
              <w:rPr>
                <w:sz w:val="18"/>
              </w:rPr>
              <w:t>Do not use personal devices or unencrypted informal channels.</w:t>
            </w:r>
          </w:p>
        </w:tc>
      </w:tr>
      <w:tr w:rsidR="00FB7300" w14:paraId="024A445D" w14:textId="77777777" w:rsidTr="00FF56CC">
        <w:tc>
          <w:tcPr>
            <w:tcW w:w="3027" w:type="dxa"/>
            <w:tcBorders>
              <w:left w:val="nil"/>
            </w:tcBorders>
          </w:tcPr>
          <w:p w14:paraId="258DFF0B" w14:textId="77777777" w:rsidR="00FB7300" w:rsidRDefault="00000000" w:rsidP="00C5306F">
            <w:pPr>
              <w:spacing w:line="240" w:lineRule="auto"/>
              <w:jc w:val="both"/>
            </w:pPr>
            <w:r>
              <w:rPr>
                <w:sz w:val="18"/>
              </w:rPr>
              <w:t>6</w:t>
            </w:r>
          </w:p>
        </w:tc>
        <w:tc>
          <w:tcPr>
            <w:tcW w:w="3135" w:type="dxa"/>
          </w:tcPr>
          <w:p w14:paraId="537E157F" w14:textId="77777777" w:rsidR="00FB7300" w:rsidRDefault="00000000" w:rsidP="00C5306F">
            <w:pPr>
              <w:spacing w:line="240" w:lineRule="auto"/>
              <w:jc w:val="both"/>
            </w:pPr>
            <w:r>
              <w:rPr>
                <w:sz w:val="18"/>
              </w:rPr>
              <w:t>Refer requests for an identification opinion to a qualified forensic dentist or recognised forensic service.</w:t>
            </w:r>
          </w:p>
        </w:tc>
        <w:tc>
          <w:tcPr>
            <w:tcW w:w="3135" w:type="dxa"/>
            <w:tcBorders>
              <w:right w:val="nil"/>
            </w:tcBorders>
          </w:tcPr>
          <w:p w14:paraId="270B9470" w14:textId="77777777" w:rsidR="00FB7300" w:rsidRDefault="00000000" w:rsidP="00C5306F">
            <w:pPr>
              <w:spacing w:line="240" w:lineRule="auto"/>
              <w:jc w:val="both"/>
            </w:pPr>
            <w:r>
              <w:rPr>
                <w:sz w:val="18"/>
              </w:rPr>
              <w:t>Separate record release from forensic interpretation and expert testimony.</w:t>
            </w:r>
          </w:p>
        </w:tc>
      </w:tr>
      <w:tr w:rsidR="00FB7300" w14:paraId="5FA52BF2" w14:textId="77777777" w:rsidTr="00FF56CC">
        <w:tc>
          <w:tcPr>
            <w:tcW w:w="3027" w:type="dxa"/>
            <w:tcBorders>
              <w:left w:val="nil"/>
              <w:bottom w:val="single" w:sz="4" w:space="0" w:color="auto"/>
            </w:tcBorders>
          </w:tcPr>
          <w:p w14:paraId="762D55AF" w14:textId="77777777" w:rsidR="00FB7300" w:rsidRDefault="00000000" w:rsidP="00C5306F">
            <w:pPr>
              <w:spacing w:line="240" w:lineRule="auto"/>
              <w:jc w:val="both"/>
            </w:pPr>
            <w:r>
              <w:rPr>
                <w:sz w:val="18"/>
              </w:rPr>
              <w:t>7</w:t>
            </w:r>
          </w:p>
        </w:tc>
        <w:tc>
          <w:tcPr>
            <w:tcW w:w="3135" w:type="dxa"/>
            <w:tcBorders>
              <w:bottom w:val="single" w:sz="4" w:space="0" w:color="auto"/>
            </w:tcBorders>
          </w:tcPr>
          <w:p w14:paraId="443D19BB" w14:textId="77777777" w:rsidR="00FB7300" w:rsidRDefault="00000000" w:rsidP="00C5306F">
            <w:pPr>
              <w:spacing w:line="240" w:lineRule="auto"/>
              <w:jc w:val="both"/>
            </w:pPr>
            <w:r>
              <w:rPr>
                <w:sz w:val="18"/>
              </w:rPr>
              <w:t>Retain the disclosure log and review the process through clinical-governance mechanisms.</w:t>
            </w:r>
          </w:p>
        </w:tc>
        <w:tc>
          <w:tcPr>
            <w:tcW w:w="3135" w:type="dxa"/>
            <w:tcBorders>
              <w:bottom w:val="single" w:sz="4" w:space="0" w:color="auto"/>
              <w:right w:val="nil"/>
            </w:tcBorders>
          </w:tcPr>
          <w:p w14:paraId="7710EEC6" w14:textId="77777777" w:rsidR="00FB7300" w:rsidRDefault="00000000" w:rsidP="00C5306F">
            <w:pPr>
              <w:spacing w:line="240" w:lineRule="auto"/>
              <w:jc w:val="both"/>
            </w:pPr>
            <w:r>
              <w:rPr>
                <w:sz w:val="18"/>
              </w:rPr>
              <w:t>Use audits and staff feedback to improve the procedure.</w:t>
            </w:r>
          </w:p>
        </w:tc>
      </w:tr>
    </w:tbl>
    <w:p w14:paraId="5E93D33B" w14:textId="77777777" w:rsidR="00FB7300" w:rsidRDefault="00000000" w:rsidP="00C5306F">
      <w:pPr>
        <w:spacing w:after="120"/>
        <w:jc w:val="both"/>
      </w:pPr>
      <w:r>
        <w:rPr>
          <w:i/>
        </w:rPr>
        <w:t>Note: This pathway is a governance framework, not legal advice. Hospitals must apply their own legal obligations and escalation procedures.</w:t>
      </w:r>
    </w:p>
    <w:sectPr w:rsidR="00FB7300">
      <w:footerReference w:type="default" r:id="rId8"/>
      <w:pgSz w:w="12240" w:h="15840"/>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0D47" w14:textId="77777777" w:rsidR="00771D56" w:rsidRDefault="00771D56">
      <w:pPr>
        <w:spacing w:line="240" w:lineRule="auto"/>
      </w:pPr>
      <w:r>
        <w:separator/>
      </w:r>
    </w:p>
  </w:endnote>
  <w:endnote w:type="continuationSeparator" w:id="0">
    <w:p w14:paraId="0E5C5E4D" w14:textId="77777777" w:rsidR="00771D56" w:rsidRDefault="00771D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16B5" w14:textId="77777777" w:rsidR="00FB7300" w:rsidRDefault="00000000">
    <w:pPr>
      <w:pStyle w:val="Footer"/>
      <w:jc w:val="center"/>
    </w:pPr>
    <w:r>
      <w:rPr>
        <w:sz w:val="20"/>
      </w:rPr>
      <w:t xml:space="preserve">Page </w:t>
    </w:r>
    <w:r>
      <w:fldChar w:fldCharType="begin"/>
    </w:r>
    <w:r>
      <w:instrText>PAGE</w:instrText>
    </w:r>
    <w:r w:rsidR="00FF56CC">
      <w:fldChar w:fldCharType="separate"/>
    </w:r>
    <w:r w:rsidR="00FF56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C7C6" w14:textId="77777777" w:rsidR="00771D56" w:rsidRDefault="00771D56">
      <w:pPr>
        <w:spacing w:line="240" w:lineRule="auto"/>
      </w:pPr>
      <w:r>
        <w:separator/>
      </w:r>
    </w:p>
  </w:footnote>
  <w:footnote w:type="continuationSeparator" w:id="0">
    <w:p w14:paraId="7A16AB00" w14:textId="77777777" w:rsidR="00771D56" w:rsidRDefault="00771D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574532">
    <w:abstractNumId w:val="8"/>
  </w:num>
  <w:num w:numId="2" w16cid:durableId="1649361127">
    <w:abstractNumId w:val="6"/>
  </w:num>
  <w:num w:numId="3" w16cid:durableId="520584385">
    <w:abstractNumId w:val="5"/>
  </w:num>
  <w:num w:numId="4" w16cid:durableId="1328364704">
    <w:abstractNumId w:val="4"/>
  </w:num>
  <w:num w:numId="5" w16cid:durableId="1331563517">
    <w:abstractNumId w:val="7"/>
  </w:num>
  <w:num w:numId="6" w16cid:durableId="81530944">
    <w:abstractNumId w:val="3"/>
  </w:num>
  <w:num w:numId="7" w16cid:durableId="1340043832">
    <w:abstractNumId w:val="2"/>
  </w:num>
  <w:num w:numId="8" w16cid:durableId="54549782">
    <w:abstractNumId w:val="1"/>
  </w:num>
  <w:num w:numId="9" w16cid:durableId="18456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1D56"/>
    <w:rsid w:val="00AA1D8D"/>
    <w:rsid w:val="00B47730"/>
    <w:rsid w:val="00C5306F"/>
    <w:rsid w:val="00CB0664"/>
    <w:rsid w:val="00E00D40"/>
    <w:rsid w:val="00FB7300"/>
    <w:rsid w:val="00FC693F"/>
    <w:rsid w:val="00FF56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1BC98"/>
  <w14:defaultImageDpi w14:val="300"/>
  <w15:docId w15:val="{F9F7F345-207C-4373-B1A7-EFC217B3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5478</Words>
  <Characters>31229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3</cp:revision>
  <dcterms:created xsi:type="dcterms:W3CDTF">2013-12-23T23:15:00Z</dcterms:created>
  <dcterms:modified xsi:type="dcterms:W3CDTF">2026-06-26T09:23:00Z</dcterms:modified>
  <cp:category/>
</cp:coreProperties>
</file>