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i w:val="0"/>
          <w:sz w:val="28"/>
        </w:rPr>
        <w:t>Governance of Forensic Dental Records in Hospital-Based Identification Services</w:t>
      </w:r>
    </w:p>
    <w:p>
      <w:pPr>
        <w:spacing w:before="0" w:after="240" w:line="360" w:lineRule="auto"/>
        <w:jc w:val="center"/>
      </w:pPr>
      <w:r>
        <w:rPr>
          <w:rFonts w:ascii="Times New Roman" w:hAnsi="Times New Roman" w:eastAsia="Times New Roman"/>
          <w:b w:val="0"/>
          <w:i/>
          <w:sz w:val="24"/>
        </w:rPr>
        <w:t>Narrative Review</w:t>
      </w:r>
    </w:p>
    <w:p>
      <w:pPr>
        <w:spacing w:before="0" w:after="120" w:line="360" w:lineRule="auto"/>
        <w:jc w:val="center"/>
      </w:pPr>
      <w:r>
        <w:rPr>
          <w:rFonts w:ascii="Times New Roman" w:hAnsi="Times New Roman" w:eastAsia="Times New Roman"/>
          <w:b w:val="0"/>
          <w:i w:val="0"/>
          <w:sz w:val="24"/>
        </w:rPr>
        <w:t>Yessy Andriani Fauziah*1, Eveline Yulia Darmadi1, Farouk Al-Ghazaly2, Dwi Setianingtyas3, Dian Agustin Wahjuningrum4, Ajinkya Pawar5, Dany Agus Susanto6</w:t>
      </w:r>
    </w:p>
    <w:p>
      <w:pPr>
        <w:spacing w:before="0" w:after="0" w:line="360" w:lineRule="auto"/>
        <w:jc w:val="center"/>
      </w:pPr>
      <w:r>
        <w:rPr>
          <w:rFonts w:ascii="Times New Roman" w:hAnsi="Times New Roman" w:eastAsia="Times New Roman"/>
          <w:b w:val="0"/>
          <w:i w:val="0"/>
          <w:sz w:val="24"/>
        </w:rPr>
        <w:t>1School of Dental Medicine, Universitas Ciputra Surabaya, Surabaya, Indonesia.</w:t>
      </w:r>
    </w:p>
    <w:p>
      <w:pPr>
        <w:spacing w:before="0" w:after="0" w:line="360" w:lineRule="auto"/>
        <w:jc w:val="center"/>
      </w:pPr>
      <w:r>
        <w:rPr>
          <w:rFonts w:ascii="Times New Roman" w:hAnsi="Times New Roman" w:eastAsia="Times New Roman"/>
          <w:b w:val="0"/>
          <w:i w:val="0"/>
          <w:sz w:val="24"/>
        </w:rPr>
        <w:t>2Faculty of Dental Medicine, Al-Saeed University, Taiz, Yemen.</w:t>
      </w:r>
    </w:p>
    <w:p>
      <w:pPr>
        <w:spacing w:before="0" w:after="0" w:line="360" w:lineRule="auto"/>
        <w:jc w:val="center"/>
      </w:pPr>
      <w:r>
        <w:rPr>
          <w:rFonts w:ascii="Times New Roman" w:hAnsi="Times New Roman" w:eastAsia="Times New Roman"/>
          <w:b w:val="0"/>
          <w:i w:val="0"/>
          <w:sz w:val="24"/>
        </w:rPr>
        <w:t>3Department of Oral Medicine, Faculty of Dentistry, Universitas Hang Tuah, Surabaya, Indonesia.</w:t>
      </w:r>
    </w:p>
    <w:p>
      <w:pPr>
        <w:spacing w:before="0" w:after="0" w:line="360" w:lineRule="auto"/>
        <w:jc w:val="center"/>
      </w:pPr>
      <w:r>
        <w:rPr>
          <w:rFonts w:ascii="Times New Roman" w:hAnsi="Times New Roman" w:eastAsia="Times New Roman"/>
          <w:b w:val="0"/>
          <w:i w:val="0"/>
          <w:sz w:val="24"/>
        </w:rPr>
        <w:t>4Department of Conservative Dentistry, Faculty of Dental Medicine, Universitas Airlangga, Surabaya, Indonesia.</w:t>
      </w:r>
    </w:p>
    <w:p>
      <w:pPr>
        <w:spacing w:before="0" w:after="0" w:line="360" w:lineRule="auto"/>
        <w:jc w:val="center"/>
      </w:pPr>
      <w:r>
        <w:rPr>
          <w:rFonts w:ascii="Times New Roman" w:hAnsi="Times New Roman" w:eastAsia="Times New Roman"/>
          <w:b w:val="0"/>
          <w:i w:val="0"/>
          <w:sz w:val="24"/>
        </w:rPr>
        <w:t>5Department of Conservative Dentistry and Endodontics, Nair Hospital Dental College, Maharashtra, India.</w:t>
      </w:r>
    </w:p>
    <w:p>
      <w:pPr>
        <w:spacing w:before="0" w:after="0" w:line="360" w:lineRule="auto"/>
        <w:jc w:val="center"/>
      </w:pPr>
      <w:r>
        <w:rPr>
          <w:rFonts w:ascii="Times New Roman" w:hAnsi="Times New Roman" w:eastAsia="Times New Roman"/>
          <w:b w:val="0"/>
          <w:i w:val="0"/>
          <w:sz w:val="24"/>
        </w:rPr>
        <w:t>6Faculty of Law, Universitas 45, Surabaya, Indonesia.</w:t>
      </w:r>
    </w:p>
    <w:p>
      <w:pPr>
        <w:spacing w:before="0" w:after="80" w:line="360" w:lineRule="auto"/>
      </w:pPr>
      <w:r>
        <w:rPr>
          <w:rFonts w:ascii="Times New Roman" w:hAnsi="Times New Roman" w:eastAsia="Times New Roman"/>
          <w:b w:val="0"/>
          <w:i w:val="0"/>
          <w:sz w:val="24"/>
        </w:rPr>
      </w:r>
    </w:p>
    <w:p>
      <w:pPr>
        <w:spacing w:before="0" w:after="60" w:line="360" w:lineRule="auto"/>
      </w:pPr>
      <w:r>
        <w:rPr>
          <w:rFonts w:ascii="Times New Roman" w:hAnsi="Times New Roman" w:eastAsia="Times New Roman"/>
          <w:b w:val="0"/>
          <w:i w:val="0"/>
          <w:sz w:val="24"/>
        </w:rPr>
        <w:t>Running title: Forensic Dental Record Governance</w:t>
      </w:r>
    </w:p>
    <w:p>
      <w:pPr>
        <w:spacing w:before="0" w:after="60" w:line="360" w:lineRule="auto"/>
      </w:pPr>
      <w:r>
        <w:rPr>
          <w:rFonts w:ascii="Times New Roman" w:hAnsi="Times New Roman" w:eastAsia="Times New Roman"/>
          <w:b w:val="0"/>
          <w:i w:val="0"/>
          <w:sz w:val="24"/>
        </w:rPr>
        <w:t>Correspondence: Yessy Andriani Fauziah, School of Dental Medicine, Universitas Ciputra Surabaya, CitraLand CBD Boulevard, Made, Sambikerep, Surabaya 60219, Indonesia. Tel: +62 857 3008 8872. Email: yessy.andriani@ciputra.ac.id.</w:t>
      </w:r>
    </w:p>
    <w:p>
      <w:pPr>
        <w:spacing w:before="0" w:after="60" w:line="360" w:lineRule="auto"/>
      </w:pPr>
      <w:r>
        <w:rPr>
          <w:rFonts w:ascii="Times New Roman" w:hAnsi="Times New Roman" w:eastAsia="Times New Roman"/>
          <w:b w:val="0"/>
          <w:i w:val="0"/>
          <w:sz w:val="24"/>
        </w:rPr>
        <w:t>ORCID iDs: Yessy Andriani Fauziah: 0009-0008-7423-7437; Eveline Yulia Darmadi: 0009-0002-3948-6987; Farouk Al-Ghazaly: 0009-0003-4080-9090; Dwi Setianingtyas: 0009-0000-6977-7326; Dian Agustin Wahjuningrum: 0000-0002-5168-1016; Ajinkya Pawar: 0000-0003-3985-5674; Dany Agus Susanto: 0009-0000-1780-2788</w:t>
      </w:r>
    </w:p>
    <w:p>
      <w:pPr>
        <w:spacing w:before="0" w:after="60" w:line="360" w:lineRule="auto"/>
      </w:pPr>
      <w:r>
        <w:rPr>
          <w:rFonts w:ascii="Times New Roman" w:hAnsi="Times New Roman" w:eastAsia="Times New Roman"/>
          <w:b w:val="0"/>
          <w:i w:val="0"/>
          <w:sz w:val="24"/>
        </w:rPr>
        <w:t>Article type: Narrative Review.</w:t>
      </w:r>
    </w:p>
    <w:p>
      <w:pPr>
        <w:spacing w:before="0" w:after="200" w:line="360" w:lineRule="auto"/>
      </w:pPr>
      <w:r>
        <w:rPr>
          <w:rFonts w:ascii="Times New Roman" w:hAnsi="Times New Roman" w:eastAsia="Times New Roman"/>
          <w:sz w:val="24"/>
        </w:rPr>
        <w:t>Word count (main text, excluding abstract, references, and tables): 2,603 words.</w:t>
      </w:r>
    </w:p>
    <w:p>
      <w:pPr>
        <w:spacing w:before="240" w:after="60" w:line="360" w:lineRule="auto"/>
      </w:pPr>
      <w:r>
        <w:rPr>
          <w:rFonts w:ascii="Times New Roman" w:hAnsi="Times New Roman" w:eastAsia="Times New Roman"/>
          <w:b/>
          <w:sz w:val="24"/>
        </w:rPr>
        <w:t>AUTHORS’ CONTRIBUTIONS</w:t>
      </w:r>
    </w:p>
    <w:p>
      <w:pPr>
        <w:spacing w:before="0" w:after="0" w:line="360" w:lineRule="auto"/>
        <w:ind w:firstLine="283"/>
      </w:pPr>
      <w:r>
        <w:rPr>
          <w:rFonts w:ascii="Times New Roman" w:hAnsi="Times New Roman" w:eastAsia="Times New Roman"/>
          <w:b w:val="0"/>
          <w:i w:val="0"/>
          <w:sz w:val="24"/>
        </w:rPr>
        <w:t>Yessy Andriani Fauziah developed the original idea, led the literature search and synthesis, drafted the manuscript, and accepts primary responsibility for the final article.</w:t>
      </w:r>
    </w:p>
    <w:p>
      <w:pPr>
        <w:spacing w:before="0" w:after="0" w:line="360" w:lineRule="auto"/>
        <w:ind w:firstLine="283"/>
      </w:pPr>
      <w:r>
        <w:rPr>
          <w:rFonts w:ascii="Times New Roman" w:hAnsi="Times New Roman" w:eastAsia="Times New Roman"/>
          <w:b w:val="0"/>
          <w:i w:val="0"/>
          <w:sz w:val="24"/>
        </w:rPr>
        <w:t>Eveline Yulia Darmadi contributed to the methodology, literature search, ethical analysis, and critical revision.</w:t>
      </w:r>
    </w:p>
    <w:p>
      <w:pPr>
        <w:spacing w:before="0" w:after="0" w:line="360" w:lineRule="auto"/>
        <w:ind w:firstLine="283"/>
      </w:pPr>
      <w:r>
        <w:rPr>
          <w:rFonts w:ascii="Times New Roman" w:hAnsi="Times New Roman" w:eastAsia="Times New Roman"/>
          <w:b w:val="0"/>
          <w:i w:val="0"/>
          <w:sz w:val="24"/>
        </w:rPr>
        <w:t>Farouk Al-Ghazaly contributed forensic-dentistry expertise, literature interpretation, and critical revision.</w:t>
      </w:r>
    </w:p>
    <w:p>
      <w:pPr>
        <w:spacing w:before="0" w:after="0" w:line="360" w:lineRule="auto"/>
        <w:ind w:firstLine="283"/>
      </w:pPr>
      <w:r>
        <w:rPr>
          <w:rFonts w:ascii="Times New Roman" w:hAnsi="Times New Roman" w:eastAsia="Times New Roman"/>
          <w:b w:val="0"/>
          <w:i w:val="0"/>
          <w:sz w:val="24"/>
        </w:rPr>
        <w:t>Dwi Setianingtyas contributed oral-medicine perspectives, literature interpretation, and critical revision.</w:t>
      </w:r>
    </w:p>
    <w:p>
      <w:pPr>
        <w:spacing w:before="0" w:after="0" w:line="360" w:lineRule="auto"/>
        <w:ind w:firstLine="283"/>
      </w:pPr>
      <w:r>
        <w:rPr>
          <w:rFonts w:ascii="Times New Roman" w:hAnsi="Times New Roman" w:eastAsia="Times New Roman"/>
          <w:b w:val="0"/>
          <w:i w:val="0"/>
          <w:sz w:val="24"/>
        </w:rPr>
        <w:t>Dian Agustin Wahjuningrum contributed dental-record and imaging perspectives, literature interpretation, and critical revision.</w:t>
      </w:r>
    </w:p>
    <w:p>
      <w:pPr>
        <w:spacing w:before="0" w:after="0" w:line="360" w:lineRule="auto"/>
        <w:ind w:firstLine="283"/>
      </w:pPr>
      <w:r>
        <w:rPr>
          <w:rFonts w:ascii="Times New Roman" w:hAnsi="Times New Roman" w:eastAsia="Times New Roman"/>
          <w:b w:val="0"/>
          <w:i w:val="0"/>
          <w:sz w:val="24"/>
        </w:rPr>
        <w:t>Ajinkya Pawar contributed restorative and endodontic-record perspectives, literature interpretation, and critical revision.</w:t>
      </w:r>
    </w:p>
    <w:p>
      <w:pPr>
        <w:spacing w:before="0" w:after="0" w:line="360" w:lineRule="auto"/>
        <w:ind w:firstLine="283"/>
      </w:pPr>
      <w:r>
        <w:rPr>
          <w:rFonts w:ascii="Times New Roman" w:hAnsi="Times New Roman" w:eastAsia="Times New Roman"/>
          <w:b w:val="0"/>
          <w:i w:val="0"/>
          <w:sz w:val="24"/>
        </w:rPr>
        <w:t>Dany Agus Susanto contributed legal analysis, interpretation of regulatory issues, and critical revision.</w:t>
      </w:r>
    </w:p>
    <w:p>
      <w:pPr>
        <w:spacing w:before="0" w:after="0" w:line="360" w:lineRule="auto"/>
        <w:ind w:firstLine="283"/>
      </w:pPr>
      <w:r>
        <w:rPr>
          <w:rFonts w:ascii="Times New Roman" w:hAnsi="Times New Roman" w:eastAsia="Times New Roman"/>
          <w:b w:val="0"/>
          <w:i w:val="0"/>
          <w:sz w:val="24"/>
        </w:rPr>
        <w:t>All authors approved the final manuscript and agree to be accountable for all aspects of the work.</w:t>
      </w:r>
    </w:p>
    <w:p>
      <w:pPr>
        <w:spacing w:before="240" w:after="60" w:line="360" w:lineRule="auto"/>
      </w:pPr>
      <w:r>
        <w:rPr>
          <w:rFonts w:ascii="Times New Roman" w:hAnsi="Times New Roman" w:eastAsia="Times New Roman"/>
          <w:b/>
          <w:sz w:val="24"/>
        </w:rPr>
        <w:t>DECLARATIONS</w:t>
      </w:r>
    </w:p>
    <w:p>
      <w:pPr>
        <w:spacing w:before="0" w:after="0" w:line="360" w:lineRule="auto"/>
        <w:ind w:firstLine="283"/>
      </w:pPr>
      <w:r>
        <w:rPr>
          <w:rFonts w:ascii="Times New Roman" w:hAnsi="Times New Roman" w:eastAsia="Times New Roman"/>
          <w:b w:val="0"/>
          <w:i w:val="0"/>
          <w:sz w:val="24"/>
        </w:rPr>
        <w:t>Funding: No specific grant was received for this work.</w:t>
      </w:r>
    </w:p>
    <w:p>
      <w:pPr>
        <w:spacing w:before="0" w:after="0" w:line="360" w:lineRule="auto"/>
        <w:ind w:firstLine="283"/>
      </w:pPr>
      <w:r>
        <w:rPr>
          <w:rFonts w:ascii="Times New Roman" w:hAnsi="Times New Roman" w:eastAsia="Times New Roman"/>
          <w:b w:val="0"/>
          <w:i w:val="0"/>
          <w:sz w:val="24"/>
        </w:rPr>
        <w:t>Conflicts of interest: The authors declare no financial or non-financial conflicts of interest.</w:t>
      </w:r>
    </w:p>
    <w:p>
      <w:pPr>
        <w:spacing w:before="0" w:after="0" w:line="360" w:lineRule="auto"/>
        <w:ind w:firstLine="283"/>
      </w:pPr>
      <w:r>
        <w:rPr>
          <w:rFonts w:ascii="Times New Roman" w:hAnsi="Times New Roman" w:eastAsia="Times New Roman"/>
          <w:b w:val="0"/>
          <w:i w:val="0"/>
          <w:sz w:val="24"/>
        </w:rPr>
        <w:t>Data availability: No primary dataset was generated or analysed. Supporting materials are available in the cited sources.</w:t>
      </w:r>
    </w:p>
    <w:p>
      <w:pPr>
        <w:spacing w:before="0" w:after="0" w:line="360" w:lineRule="auto"/>
        <w:ind w:firstLine="283"/>
      </w:pPr>
      <w:r>
        <w:rPr>
          <w:rFonts w:ascii="Times New Roman" w:hAnsi="Times New Roman" w:eastAsia="Times New Roman"/>
          <w:b w:val="0"/>
          <w:i w:val="0"/>
          <w:sz w:val="24"/>
        </w:rPr>
        <w:t>Ethics and consent: This narrative review did not involve human participants, animals, clinical specimens, or identifiable personal data; ethical approval and informed consent were not required.</w:t>
      </w:r>
    </w:p>
    <w:p>
      <w:pPr>
        <w:spacing w:before="0" w:after="0" w:line="360" w:lineRule="auto"/>
        <w:ind w:firstLine="283"/>
      </w:pPr>
      <w:r>
        <w:rPr>
          <w:rFonts w:ascii="Times New Roman" w:hAnsi="Times New Roman" w:eastAsia="Times New Roman"/>
          <w:b w:val="0"/>
          <w:i w:val="0"/>
          <w:sz w:val="24"/>
        </w:rPr>
        <w:t>AI-assisted technology disclosure: An AI-assisted language tool (ChatGPT, OpenAI) was used for early language organisation and drafting. It was not used to generate data, analyse evidence, make clinical or legal decisions, or create figures. All content was critically reviewed and approved by the authors.</w:t>
      </w:r>
    </w:p>
    <w:sectPr w:rsidR="00FC693F" w:rsidRPr="0006063C" w:rsidSect="00034616">
      <w:pgSz w:w="12240" w:h="15840"/>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