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2DDB" w14:textId="77777777" w:rsidR="00F761CE" w:rsidRDefault="00000000" w:rsidP="00FD2422">
      <w:pPr>
        <w:spacing w:after="160" w:line="288" w:lineRule="auto"/>
        <w:jc w:val="both"/>
      </w:pPr>
      <w:r>
        <w:rPr>
          <w:b/>
          <w:sz w:val="28"/>
        </w:rPr>
        <w:t>Legal and Ethical Governance of Forensic Dental Records in Hospitals</w:t>
      </w:r>
    </w:p>
    <w:p w14:paraId="272320A6" w14:textId="77777777" w:rsidR="00F761CE" w:rsidRDefault="00000000" w:rsidP="00FD2422">
      <w:pPr>
        <w:spacing w:after="200" w:line="240" w:lineRule="auto"/>
        <w:jc w:val="both"/>
      </w:pPr>
      <w:r>
        <w:rPr>
          <w:i/>
          <w:sz w:val="22"/>
        </w:rPr>
        <w:t>Review Article</w:t>
      </w:r>
    </w:p>
    <w:p w14:paraId="09A83DF9" w14:textId="77777777" w:rsidR="00F761CE" w:rsidRDefault="00000000" w:rsidP="00FD2422">
      <w:pPr>
        <w:pStyle w:val="Heading1"/>
        <w:jc w:val="both"/>
      </w:pPr>
      <w:r>
        <w:rPr>
          <w:rFonts w:ascii="Times New Roman" w:eastAsia="Times New Roman" w:hAnsi="Times New Roman"/>
        </w:rPr>
        <w:t>ABSTRACT</w:t>
      </w:r>
    </w:p>
    <w:p w14:paraId="165E3FBE" w14:textId="77777777" w:rsidR="00F761CE" w:rsidRDefault="00000000" w:rsidP="00FD2422">
      <w:pPr>
        <w:spacing w:after="60" w:line="300" w:lineRule="auto"/>
        <w:jc w:val="both"/>
      </w:pPr>
      <w:r>
        <w:rPr>
          <w:b/>
          <w:sz w:val="21"/>
        </w:rPr>
        <w:t xml:space="preserve">Background and Aim: </w:t>
      </w:r>
      <w:r>
        <w:rPr>
          <w:sz w:val="21"/>
        </w:rPr>
        <w:t>Dental records can support forensic identification and other medico-legal processes, yet hospital procedures for preserving, accessing, and disclosing those records are often unclear. This review examines legal and ethical governance of forensic dental records in hospital settings, with emphasis on record integrity, confidentiality, lawful disclosure, professional roles, and institutional accountability.</w:t>
      </w:r>
    </w:p>
    <w:p w14:paraId="38C01E09" w14:textId="77777777" w:rsidR="00F761CE" w:rsidRDefault="00000000" w:rsidP="00FD2422">
      <w:pPr>
        <w:spacing w:after="60" w:line="300" w:lineRule="auto"/>
        <w:jc w:val="both"/>
      </w:pPr>
      <w:r>
        <w:rPr>
          <w:b/>
          <w:sz w:val="21"/>
        </w:rPr>
        <w:t xml:space="preserve">Materials and Methods: </w:t>
      </w:r>
      <w:r>
        <w:rPr>
          <w:sz w:val="21"/>
        </w:rPr>
        <w:t>A narrative legal and ethical review was undertaken using peer-reviewed literature on forensic dentistry, dental record maintenance, disaster victim identification, digital dental information, and hospital governance, together with Indonesian laws and regulations on health, medical records, and personal data protection. Sources were interpreted through autonomy, beneficence, non-maleficence, and justice.</w:t>
      </w:r>
    </w:p>
    <w:p w14:paraId="3D4D1A15" w14:textId="77777777" w:rsidR="00F761CE" w:rsidRDefault="00000000" w:rsidP="00FD2422">
      <w:pPr>
        <w:spacing w:after="60" w:line="300" w:lineRule="auto"/>
        <w:jc w:val="both"/>
      </w:pPr>
      <w:r>
        <w:rPr>
          <w:b/>
          <w:sz w:val="21"/>
        </w:rPr>
        <w:t xml:space="preserve">Results: </w:t>
      </w:r>
      <w:r>
        <w:rPr>
          <w:sz w:val="21"/>
        </w:rPr>
        <w:t>Forensic utility depends on complete, contemporaneous, traceable records, including odontograms, radiographs, photographs, scans, and prosthetic information. The principal governance risks are incomplete documentation, unlogged access, informal disclosure, loss of metadata, blurred clinical-forensic roles, and absence of an auditable release pathway. A hospital framework should specify record stewardship, minimum-necessary disclosure, secure transfer, access logs, preservation of originals, and referral for independent forensic interpretation.</w:t>
      </w:r>
    </w:p>
    <w:p w14:paraId="51EE7729" w14:textId="77777777" w:rsidR="00F761CE" w:rsidRDefault="00000000" w:rsidP="00FD2422">
      <w:pPr>
        <w:spacing w:after="60" w:line="300" w:lineRule="auto"/>
        <w:jc w:val="both"/>
      </w:pPr>
      <w:r>
        <w:rPr>
          <w:b/>
          <w:sz w:val="21"/>
        </w:rPr>
        <w:t xml:space="preserve">Conclusion: </w:t>
      </w:r>
      <w:r>
        <w:rPr>
          <w:sz w:val="21"/>
        </w:rPr>
        <w:t>Hospitals should treat high-quality dental documentation as part of clinical quality and forensic preparedness. Clear procedures and accountable governance can protect patient rights while enabling reliable use of dental information in lawful forensic processes.</w:t>
      </w:r>
    </w:p>
    <w:p w14:paraId="445E5070" w14:textId="77777777" w:rsidR="00F761CE" w:rsidRDefault="00000000" w:rsidP="00FD2422">
      <w:pPr>
        <w:spacing w:after="160" w:line="300" w:lineRule="auto"/>
        <w:jc w:val="both"/>
      </w:pPr>
      <w:r>
        <w:rPr>
          <w:b/>
          <w:sz w:val="21"/>
        </w:rPr>
        <w:t xml:space="preserve">Keywords: </w:t>
      </w:r>
      <w:r>
        <w:rPr>
          <w:sz w:val="21"/>
        </w:rPr>
        <w:t>Dental Records; Forensic Dentistry; Hospitals; Medical Records; Patient Privacy.</w:t>
      </w:r>
    </w:p>
    <w:p w14:paraId="7140ABC8" w14:textId="77777777" w:rsidR="00F761CE" w:rsidRDefault="00000000" w:rsidP="00FD2422">
      <w:pPr>
        <w:pStyle w:val="Heading1"/>
        <w:jc w:val="both"/>
      </w:pPr>
      <w:r>
        <w:rPr>
          <w:rFonts w:ascii="Times New Roman" w:eastAsia="Times New Roman" w:hAnsi="Times New Roman"/>
        </w:rPr>
        <w:t>INTRODUCTION</w:t>
      </w:r>
    </w:p>
    <w:p w14:paraId="590B025A" w14:textId="77777777" w:rsidR="00F761CE" w:rsidRDefault="00000000" w:rsidP="00FD2422">
      <w:pPr>
        <w:ind w:firstLine="432"/>
        <w:jc w:val="both"/>
      </w:pPr>
      <w:r>
        <w:t>Forensic dentistry applies dental knowledge to human identification, age estimation, injury assessment, and legal investigation. Teeth, restorations, prostheses, radiographs, and treatment records may retain distinctive information when other identifiers are unavailable or compromised. Their contribution is particularly important in disaster victim identification (DVI), where antemortem dental information can be compared with postmortem findings in decomposed, burnt, or fragmented remains [1-4].</w:t>
      </w:r>
    </w:p>
    <w:p w14:paraId="166629B7" w14:textId="77777777" w:rsidR="00F761CE" w:rsidRDefault="00000000" w:rsidP="00FD2422">
      <w:pPr>
        <w:ind w:firstLine="432"/>
        <w:jc w:val="both"/>
      </w:pPr>
      <w:r>
        <w:t xml:space="preserve">The forensic value of a dental record does not arise merely from its existence. It depends on whether clinical information was recorded contemporaneously, dated, attributable to a clinician, legible, retrievable, and preserved in a form that permits reliable comparison. Surveys conducted in </w:t>
      </w:r>
      <w:r>
        <w:lastRenderedPageBreak/>
        <w:t>Croatia, Pakistan, Saudi Arabia, Egypt, and India report recurring weaknesses in dentists’ forensic knowledge and in the routine maintenance of records that could later assist identification [5-10].</w:t>
      </w:r>
    </w:p>
    <w:p w14:paraId="685AFDFC" w14:textId="77777777" w:rsidR="00F761CE" w:rsidRDefault="00000000" w:rsidP="00FD2422">
      <w:pPr>
        <w:ind w:firstLine="432"/>
        <w:jc w:val="both"/>
      </w:pPr>
      <w:r>
        <w:t>Hospital-based dentistry adds a governance dimension to this issue. Dental records may be maintained separately from general medical records, accessed by multiple staff members, requested by external authorities, or needed during an emergency response long after the clinical encounter. Disclosure must therefore protect confidentiality and patient autonomy while allowing a lawful and proportionate response to legitimate forensic requests [11,12].</w:t>
      </w:r>
    </w:p>
    <w:p w14:paraId="05CEA8B5" w14:textId="77777777" w:rsidR="00F761CE" w:rsidRDefault="00000000" w:rsidP="00FD2422">
      <w:pPr>
        <w:ind w:firstLine="432"/>
        <w:jc w:val="both"/>
      </w:pPr>
      <w:r>
        <w:t>In Indonesia, duties regarding health services, medical records, and personal data protection provide a general legal context for record stewardship [13-16]. Nevertheless, these instruments do not by themselves operationalise every question that arises when dental data are requested for identification, expert review, or evidence preservation. This narrative review examines the legal and ethical governance of forensic dental records in hospitals and proposes practical controls for record integrity, disclosure, professional roles, and institutional accountability.</w:t>
      </w:r>
    </w:p>
    <w:p w14:paraId="642ADA67" w14:textId="77777777" w:rsidR="00F761CE" w:rsidRDefault="00000000" w:rsidP="00FD2422">
      <w:pPr>
        <w:pStyle w:val="Heading1"/>
        <w:jc w:val="both"/>
      </w:pPr>
      <w:r>
        <w:rPr>
          <w:rFonts w:ascii="Times New Roman" w:eastAsia="Times New Roman" w:hAnsi="Times New Roman"/>
        </w:rPr>
        <w:t>MATERIALS AND METHODS</w:t>
      </w:r>
    </w:p>
    <w:p w14:paraId="5B099987" w14:textId="77777777" w:rsidR="00F761CE" w:rsidRDefault="00000000" w:rsidP="00FD2422">
      <w:pPr>
        <w:ind w:firstLine="432"/>
        <w:jc w:val="both"/>
      </w:pPr>
      <w:r>
        <w:t>This work is a narrative review with a structured legal and ethical synthesis. It was not designed as a systematic review, scoping review, or meta-analysis, and it does not claim exhaustive retrieval, formal risk-of-bias assessment, or quantitative pooling. The review focused on four domains: the forensic value of dental records; confidentiality, consent, and lawful disclosure; role boundaries between treating dentists and forensic experts; and governance of digital dental information in hospitals.</w:t>
      </w:r>
    </w:p>
    <w:p w14:paraId="1A53B067" w14:textId="77777777" w:rsidR="00F761CE" w:rsidRDefault="00000000" w:rsidP="00FD2422">
      <w:pPr>
        <w:ind w:firstLine="432"/>
        <w:jc w:val="both"/>
      </w:pPr>
      <w:r>
        <w:t xml:space="preserve">Relevant peer-reviewed literature was identified through targeted searches of PubMed, Scopus, Google Scholar, and reference lists using combinations of the terms forensic dentistry, forensic odontology, dental record, odontogram, radiograph, disaster victim identification, confidentiality, consent, hospital governance, and Indonesia. Priority was given to sources addressing dental-record </w:t>
      </w:r>
      <w:r>
        <w:lastRenderedPageBreak/>
        <w:t>maintenance, forensic identification, digital information management, DVI, professional ethics, or institutional governance. Indonesian primary legal sources were reviewed alongside professional and scientific literature. Because the evidence consisted of heterogeneous surveys, reviews, guidance documents, and statutory instruments, findings were synthesised narratively.</w:t>
      </w:r>
    </w:p>
    <w:p w14:paraId="17A32986" w14:textId="77777777" w:rsidR="00F761CE" w:rsidRDefault="00000000" w:rsidP="00FD2422">
      <w:pPr>
        <w:ind w:firstLine="432"/>
        <w:jc w:val="both"/>
      </w:pPr>
      <w:r>
        <w:t>The legal analysis considered Law No. 17 of 2023 concerning Health, Regulation of the Minister of Health No. 24 of 2022 concerning Medical Records, Law No. 27 of 2022 concerning Personal Data Protection, and Government Regulation No. 28 of 2024. Ethical interpretation was guided by respect for autonomy, beneficence, non-maleficence, and justice [17]. This review did not involve human participants, animals, clinical specimens, or identifiable patient information; therefore, institutional ethics approval and informed consent were not required.</w:t>
      </w:r>
    </w:p>
    <w:p w14:paraId="697CC5CE" w14:textId="77777777" w:rsidR="00F761CE" w:rsidRDefault="00000000" w:rsidP="00FD2422">
      <w:pPr>
        <w:pStyle w:val="Heading1"/>
        <w:jc w:val="both"/>
      </w:pPr>
      <w:r>
        <w:rPr>
          <w:rFonts w:ascii="Times New Roman" w:eastAsia="Times New Roman" w:hAnsi="Times New Roman"/>
        </w:rPr>
        <w:t>RESULTS</w:t>
      </w:r>
    </w:p>
    <w:p w14:paraId="72BD5EA7" w14:textId="77777777" w:rsidR="00F761CE" w:rsidRDefault="00000000" w:rsidP="00FD2422">
      <w:pPr>
        <w:pStyle w:val="Heading2"/>
        <w:jc w:val="both"/>
      </w:pPr>
      <w:r>
        <w:rPr>
          <w:rFonts w:ascii="Times New Roman" w:eastAsia="Times New Roman" w:hAnsi="Times New Roman"/>
        </w:rPr>
        <w:t>Forensic value and integrity of dental records</w:t>
      </w:r>
    </w:p>
    <w:p w14:paraId="65E51F4E" w14:textId="77777777" w:rsidR="00F761CE" w:rsidRDefault="00000000" w:rsidP="00FD2422">
      <w:pPr>
        <w:ind w:firstLine="432"/>
        <w:jc w:val="both"/>
      </w:pPr>
      <w:r>
        <w:t>Dental records can contain naturally occurring features and treatment-related changes that are useful for forensic comparison. The relevant record set may include odontograms, narrative treatment notes, radiographs, photographs, casts or digital scans, periodontal records, endodontic treatment details, restorative materials, prosthetic information, and documentation of congenital or acquired anomalies. A defensible comparison normally relies on multiple concordant features rather than a single trait [18,19].</w:t>
      </w:r>
    </w:p>
    <w:p w14:paraId="21EEF03E" w14:textId="77777777" w:rsidR="00F761CE" w:rsidRDefault="00000000" w:rsidP="00FD2422">
      <w:pPr>
        <w:ind w:firstLine="432"/>
        <w:jc w:val="both"/>
      </w:pPr>
      <w:r>
        <w:t xml:space="preserve">Incomplete charting, absent dates, non-standard notation, poorly labelled radiographs, and weak record retention reduce the later value of these materials. Current literature on digital record platforms and digital forensic dentistry reinforces the potential value of electronic records, three-dimensional imaging, and automated comparison, but also shows that digitisation alone does not ensure evidentiary reliability [10,20-23]. A hospital must be able to demonstrate the origin, </w:t>
      </w:r>
      <w:r>
        <w:lastRenderedPageBreak/>
        <w:t>chronology, preservation, and controlled access of information that it presents as antemortem dental data.</w:t>
      </w:r>
    </w:p>
    <w:p w14:paraId="66834C7E" w14:textId="77777777" w:rsidR="00F761CE" w:rsidRDefault="00000000" w:rsidP="00FD2422">
      <w:pPr>
        <w:ind w:firstLine="432"/>
        <w:jc w:val="both"/>
      </w:pPr>
      <w:r>
        <w:t>Table 1 identifies core dental record components and the minimum controls needed to preserve their potential clinical and forensic value. The purpose of these controls is not to transform every treating dentist into a forensic expert. Rather, they provide an infrastructure through which reliable clinical information can be retrieved and evaluated by appropriately qualified personnel when a lawful forensic need arises.</w:t>
      </w:r>
    </w:p>
    <w:p w14:paraId="561A7309" w14:textId="77777777" w:rsidR="00F761CE" w:rsidRDefault="00000000" w:rsidP="00FD2422">
      <w:pPr>
        <w:pStyle w:val="Heading2"/>
        <w:jc w:val="both"/>
      </w:pPr>
      <w:r>
        <w:rPr>
          <w:rFonts w:ascii="Times New Roman" w:eastAsia="Times New Roman" w:hAnsi="Times New Roman"/>
        </w:rPr>
        <w:t>Confidentiality, consent, and lawful disclosure</w:t>
      </w:r>
    </w:p>
    <w:p w14:paraId="4FBC0460" w14:textId="77777777" w:rsidR="00F761CE" w:rsidRDefault="00000000" w:rsidP="00FD2422">
      <w:pPr>
        <w:ind w:firstLine="432"/>
        <w:jc w:val="both"/>
      </w:pPr>
      <w:r>
        <w:t>Forensic use of dental records creates a recurring tension between confidentiality and the need to cooperate with authorised legal processes. Confidentiality remains the default because it protects the clinical relationship and limits casual disclosure. A request should therefore be assessed by asking whether the requester has identifiable authority, whether the purpose is legitimate, whether a legal basis exists, and whether the requested information is no more than necessary for that purpose [11,12].</w:t>
      </w:r>
    </w:p>
    <w:p w14:paraId="7B00A41F" w14:textId="77777777" w:rsidR="00F761CE" w:rsidRDefault="00000000" w:rsidP="00FD2422">
      <w:pPr>
        <w:ind w:firstLine="432"/>
        <w:jc w:val="both"/>
      </w:pPr>
      <w:r>
        <w:t>Consent is an important basis for many clinical uses of health information, but it is not the sole possible basis for disclosure in a forensic setting. When disclosure is lawful, the hospital should release the minimum necessary material, record the decision-making process, document the recipient and date, specify the files transferred, and use secure channels. This approach aligns record disclosure with the broader duties of medical-record stewardship and personal-data protection established by Indonesian law [13-16].</w:t>
      </w:r>
    </w:p>
    <w:p w14:paraId="62A543E1" w14:textId="77777777" w:rsidR="00F761CE" w:rsidRDefault="00000000" w:rsidP="00FD2422">
      <w:pPr>
        <w:ind w:firstLine="432"/>
        <w:jc w:val="both"/>
      </w:pPr>
      <w:r>
        <w:t xml:space="preserve">The urgency of DVI does not remove the need for data discipline. International DVI guidance and experience from fragmented, burnt, or commingled remains show the importance of structured antemortem and postmortem information, quality assurance, multidisciplinary coordination, and </w:t>
      </w:r>
      <w:r>
        <w:lastRenderedPageBreak/>
        <w:t>transparent reconciliation procedures [24-27]. Table 2 presents a practical pathway for hospitals responding to requests for forensic dental information.</w:t>
      </w:r>
    </w:p>
    <w:p w14:paraId="7929EA13" w14:textId="77777777" w:rsidR="00F761CE" w:rsidRDefault="00000000" w:rsidP="00FD2422">
      <w:pPr>
        <w:pStyle w:val="Heading2"/>
        <w:jc w:val="both"/>
      </w:pPr>
      <w:r>
        <w:rPr>
          <w:rFonts w:ascii="Times New Roman" w:eastAsia="Times New Roman" w:hAnsi="Times New Roman"/>
        </w:rPr>
        <w:t>Professional roles and institutional accountability</w:t>
      </w:r>
    </w:p>
    <w:p w14:paraId="5805C4DA" w14:textId="77777777" w:rsidR="00F761CE" w:rsidRDefault="00000000" w:rsidP="00FD2422">
      <w:pPr>
        <w:ind w:firstLine="432"/>
        <w:jc w:val="both"/>
      </w:pPr>
      <w:r>
        <w:t>A treating dentist may hold valuable antemortem information but may not be the appropriate person to provide a forensic comparison or expert opinion. The treating role prioritises patient care, accurate documentation, and confidentiality; the forensic-expert role requires independence, objective reporting, and the ability to explain methods in a legal context. Clear separation of record custody, clinical treatment, and forensic interpretation reduces the risk that an individual clinician is asked to act outside his or her competence or authority [28,29].</w:t>
      </w:r>
    </w:p>
    <w:p w14:paraId="705DB30A" w14:textId="77777777" w:rsidR="00F761CE" w:rsidRDefault="00000000" w:rsidP="00FD2422">
      <w:pPr>
        <w:ind w:firstLine="432"/>
        <w:jc w:val="both"/>
      </w:pPr>
      <w:r>
        <w:t>Institutional accountability arises when hospitals rely on incomplete records, permit informal disclosure, or cannot establish who accessed, copied, altered, or released a digital file. Governance must consequently include designated record custodians, secure information systems, staff training, audit trails, escalation routes, and arrangements with qualified forensic services. Broader hospital governance literature supports the value of explicit accountability structures rather than leaving high-risk decisions to informal individual practice [30].</w:t>
      </w:r>
    </w:p>
    <w:p w14:paraId="55AA6A49" w14:textId="77777777" w:rsidR="00F761CE" w:rsidRDefault="00000000" w:rsidP="00FD2422">
      <w:pPr>
        <w:pStyle w:val="Heading1"/>
        <w:jc w:val="both"/>
      </w:pPr>
      <w:r>
        <w:rPr>
          <w:rFonts w:ascii="Times New Roman" w:eastAsia="Times New Roman" w:hAnsi="Times New Roman"/>
        </w:rPr>
        <w:t>DISCUSSION</w:t>
      </w:r>
    </w:p>
    <w:p w14:paraId="05BC62D7" w14:textId="77777777" w:rsidR="00F761CE" w:rsidRDefault="00000000" w:rsidP="00FD2422">
      <w:pPr>
        <w:ind w:firstLine="432"/>
        <w:jc w:val="both"/>
      </w:pPr>
      <w:r>
        <w:t>The central finding of this review is that dental documentation should be understood as both clinical information and potential forensic evidence. Routine record quality determines whether dental data can later serve a patient, a hospital, a family seeking identification, or an authorised investigation. This dual function does not justify unrestricted access. Instead, it requires an accountable model that preserves confidentiality while enabling lawful and proportionate use of records.</w:t>
      </w:r>
    </w:p>
    <w:p w14:paraId="2728904C" w14:textId="77777777" w:rsidR="00F761CE" w:rsidRDefault="00000000" w:rsidP="00FD2422">
      <w:pPr>
        <w:ind w:firstLine="432"/>
        <w:jc w:val="both"/>
      </w:pPr>
      <w:r>
        <w:lastRenderedPageBreak/>
        <w:t>The proposed framework has five operational pillars. First, dentists should use standardised, dated, and authenticated documentation, including complete odontograms and properly labelled images. Second, hospitals should retain original radiographic files and relevant metadata, rather than only screenshots or copied images. Third, a designated record custodian should verify the authority and scope of a forensic request. Fourth, disclosure should be limited to the minimum necessary information and logged in a manner that records the decision, recipient, transfer method, and files released. Fifth, a qualified forensic dentist should provide independent interpretation when an opinion is required rather than asking a treating clinician to make an unstructured identification judgment.</w:t>
      </w:r>
    </w:p>
    <w:p w14:paraId="5A34844E" w14:textId="77777777" w:rsidR="00F761CE" w:rsidRDefault="00000000" w:rsidP="00FD2422">
      <w:pPr>
        <w:ind w:firstLine="432"/>
        <w:jc w:val="both"/>
      </w:pPr>
      <w:r>
        <w:t>This approach is especially important for digital records. Digital radiographs, intraoral scans, and clinical photographs are readily copied and shared, which can improve speed of access but can also weaken provenance if the original source and transfer history are not preserved. User-specific access controls, version history, immutable audit logs, secure export functions, and routine back-up are therefore not merely technical features; they are safeguards for evidentiary reliability and patient privacy. Artificial intelligence-enabled comparison tools may assist in screening or pattern recognition, but they should remain subject to validation, expert oversight, and documented human accountability.</w:t>
      </w:r>
    </w:p>
    <w:p w14:paraId="2BC4963A" w14:textId="77777777" w:rsidR="00F761CE" w:rsidRDefault="00000000" w:rsidP="00FD2422">
      <w:pPr>
        <w:ind w:firstLine="432"/>
        <w:jc w:val="both"/>
      </w:pPr>
      <w:r>
        <w:t>Implementation should be adapted to local law and institutional capacity. In Indonesia, hospitals can translate legal duties into dental record policies, medical-record procedures, staff orientation, emergency preparedness plans, and memoranda of understanding with forensic services or disaster-management agencies. These documents should distinguish between releasing an existing record, creating a forensic report, and giving expert testimony. They should also identify who has authority to approve disclosure, when legal or ethics advice is needed, and how the hospital will preserve and audit original files.</w:t>
      </w:r>
    </w:p>
    <w:p w14:paraId="2FC40C82" w14:textId="77777777" w:rsidR="00F761CE" w:rsidRDefault="00000000" w:rsidP="00FD2422">
      <w:pPr>
        <w:ind w:firstLine="432"/>
        <w:jc w:val="both"/>
      </w:pPr>
      <w:r>
        <w:lastRenderedPageBreak/>
        <w:t>This review has limitations. It is a narrative synthesis rather than a systematic review and does not include a PRISMA flow diagram, formal risk-of-bias appraisal, or quantitative estimate of effect. The legal interpretation is centred on Indonesian legislation and cannot be applied unchanged to other jurisdictions. The evidence base includes heterogeneous surveys, guidance documents, legal sources, and review articles. These limitations are consistent with the review’s purpose, which is to frame a governance problem and provide an implementation-oriented analysis rather than to estimate the efficacy of a clinical intervention.</w:t>
      </w:r>
    </w:p>
    <w:p w14:paraId="0F209E1D" w14:textId="77777777" w:rsidR="00F761CE" w:rsidRDefault="00000000" w:rsidP="00FD2422">
      <w:pPr>
        <w:pStyle w:val="Heading1"/>
        <w:jc w:val="both"/>
      </w:pPr>
      <w:r>
        <w:rPr>
          <w:rFonts w:ascii="Times New Roman" w:eastAsia="Times New Roman" w:hAnsi="Times New Roman"/>
        </w:rPr>
        <w:t>CONCLUSION</w:t>
      </w:r>
    </w:p>
    <w:p w14:paraId="715E6B90" w14:textId="77777777" w:rsidR="00F761CE" w:rsidRDefault="00000000" w:rsidP="00FD2422">
      <w:pPr>
        <w:ind w:firstLine="432"/>
        <w:jc w:val="both"/>
      </w:pPr>
      <w:r>
        <w:t>Hospitals should treat complete and traceable dental documentation as a component of clinical quality and forensic preparedness. Standardised recording, retention of original images, authorised and auditable disclosure, clear boundaries between clinical and forensic roles, and multidisciplinary oversight can enable ethically defensible use of dental information. Future empirical work should examine the implementation and effectiveness of these controls in hospital dental services.</w:t>
      </w:r>
    </w:p>
    <w:p w14:paraId="4E5179E2" w14:textId="77777777" w:rsidR="00F761CE" w:rsidRDefault="00000000" w:rsidP="00FD2422">
      <w:pPr>
        <w:pStyle w:val="Heading1"/>
        <w:jc w:val="both"/>
      </w:pPr>
      <w:r>
        <w:rPr>
          <w:rFonts w:ascii="Times New Roman" w:eastAsia="Times New Roman" w:hAnsi="Times New Roman"/>
        </w:rPr>
        <w:t>ETHICAL CONSIDERATIONS</w:t>
      </w:r>
    </w:p>
    <w:p w14:paraId="26BDB5A2" w14:textId="77777777" w:rsidR="00F761CE" w:rsidRDefault="00000000" w:rsidP="00FD2422">
      <w:pPr>
        <w:ind w:firstLine="432"/>
        <w:jc w:val="both"/>
      </w:pPr>
      <w:r>
        <w:t>This narrative review used published literature and publicly available legal instruments. It did not involve human participants, animals, clinical specimens, or identifiable patient information. Ethical approval and informed consent were therefore not required.</w:t>
      </w:r>
    </w:p>
    <w:p w14:paraId="56EDDC38" w14:textId="77777777" w:rsidR="00F761CE" w:rsidRDefault="00000000" w:rsidP="00FD2422">
      <w:pPr>
        <w:pStyle w:val="Heading1"/>
        <w:jc w:val="both"/>
      </w:pPr>
      <w:r>
        <w:rPr>
          <w:rFonts w:ascii="Times New Roman" w:eastAsia="Times New Roman" w:hAnsi="Times New Roman"/>
        </w:rPr>
        <w:t>ACKNOWLEDGEMENT</w:t>
      </w:r>
    </w:p>
    <w:p w14:paraId="7E263E69" w14:textId="77777777" w:rsidR="00F761CE" w:rsidRDefault="00000000" w:rsidP="00FD2422">
      <w:pPr>
        <w:ind w:firstLine="432"/>
        <w:jc w:val="both"/>
      </w:pPr>
      <w:r>
        <w:t>The authors thank the institutions and professional communities whose published work informed this review. No non-author contributors require acknowledgement.</w:t>
      </w:r>
    </w:p>
    <w:p w14:paraId="1C353BD5" w14:textId="77777777" w:rsidR="00F761CE" w:rsidRDefault="00000000" w:rsidP="00FD2422">
      <w:pPr>
        <w:pStyle w:val="Heading1"/>
        <w:jc w:val="both"/>
      </w:pPr>
      <w:r>
        <w:rPr>
          <w:rFonts w:ascii="Times New Roman" w:eastAsia="Times New Roman" w:hAnsi="Times New Roman"/>
        </w:rPr>
        <w:lastRenderedPageBreak/>
        <w:t>FUNDING</w:t>
      </w:r>
    </w:p>
    <w:p w14:paraId="41450D41" w14:textId="77777777" w:rsidR="00F761CE" w:rsidRDefault="00000000" w:rsidP="00FD2422">
      <w:pPr>
        <w:ind w:firstLine="432"/>
        <w:jc w:val="both"/>
      </w:pPr>
      <w:r>
        <w:t>This work received no specific grant from any funding agency in the public, commercial, or not-for-profit sectors.</w:t>
      </w:r>
    </w:p>
    <w:p w14:paraId="111A5D45" w14:textId="77777777" w:rsidR="00F761CE" w:rsidRDefault="00000000" w:rsidP="00FD2422">
      <w:pPr>
        <w:pStyle w:val="Heading1"/>
        <w:jc w:val="both"/>
      </w:pPr>
      <w:r>
        <w:rPr>
          <w:rFonts w:ascii="Times New Roman" w:eastAsia="Times New Roman" w:hAnsi="Times New Roman"/>
        </w:rPr>
        <w:t>CONFLICT OF INTEREST</w:t>
      </w:r>
    </w:p>
    <w:p w14:paraId="3B78CDB3" w14:textId="77777777" w:rsidR="00F761CE" w:rsidRDefault="00000000" w:rsidP="00FD2422">
      <w:pPr>
        <w:ind w:firstLine="432"/>
        <w:jc w:val="both"/>
      </w:pPr>
      <w:r>
        <w:t>The authors declare no financial or non-financial conflicts of interest.</w:t>
      </w:r>
    </w:p>
    <w:p w14:paraId="24781742" w14:textId="77777777" w:rsidR="00F761CE" w:rsidRDefault="00000000" w:rsidP="00FD2422">
      <w:pPr>
        <w:pStyle w:val="Heading1"/>
        <w:jc w:val="both"/>
      </w:pPr>
      <w:r>
        <w:rPr>
          <w:rFonts w:ascii="Times New Roman" w:eastAsia="Times New Roman" w:hAnsi="Times New Roman"/>
        </w:rPr>
        <w:t>DATA AVAILABILITY</w:t>
      </w:r>
    </w:p>
    <w:p w14:paraId="2E21008A" w14:textId="77777777" w:rsidR="00F761CE" w:rsidRDefault="00000000" w:rsidP="00FD2422">
      <w:pPr>
        <w:ind w:firstLine="432"/>
        <w:jc w:val="both"/>
      </w:pPr>
      <w:r>
        <w:t>No primary dataset was generated or analysed for this narrative review. All supporting materials are available in the cited sources.</w:t>
      </w:r>
    </w:p>
    <w:p w14:paraId="431E8580" w14:textId="77777777" w:rsidR="00F761CE" w:rsidRDefault="00000000" w:rsidP="00FD2422">
      <w:pPr>
        <w:pStyle w:val="Heading1"/>
        <w:jc w:val="both"/>
      </w:pPr>
      <w:r>
        <w:rPr>
          <w:rFonts w:ascii="Times New Roman" w:eastAsia="Times New Roman" w:hAnsi="Times New Roman"/>
        </w:rPr>
        <w:t>REFERENCES</w:t>
      </w:r>
    </w:p>
    <w:p w14:paraId="04F45167" w14:textId="77777777" w:rsidR="00F761CE" w:rsidRDefault="00000000" w:rsidP="00FD2422">
      <w:pPr>
        <w:spacing w:after="20" w:line="252" w:lineRule="auto"/>
        <w:ind w:left="360" w:hanging="360"/>
        <w:jc w:val="both"/>
      </w:pPr>
      <w:r>
        <w:rPr>
          <w:sz w:val="18"/>
        </w:rPr>
        <w:t>1. Forrest A. Forensic odontology in DVI: current practice and recent advances. Forensic Sci Res. 2019;4(4):316-330. doi:10.1080/20961790.2019.1678710.</w:t>
      </w:r>
    </w:p>
    <w:p w14:paraId="2BE37DFD" w14:textId="77777777" w:rsidR="00F761CE" w:rsidRDefault="00000000" w:rsidP="00FD2422">
      <w:pPr>
        <w:spacing w:after="20" w:line="252" w:lineRule="auto"/>
        <w:ind w:left="360" w:hanging="360"/>
        <w:jc w:val="both"/>
      </w:pPr>
      <w:r>
        <w:rPr>
          <w:sz w:val="18"/>
        </w:rPr>
        <w:t>2. Zikir A, Manica S. Forensic dentistry and disaster victim identification (DVI) in Indonesia. Aust J Forensic Sci. 2021;53(1):75-83. doi:10.1080/00450618.2019.1661513.</w:t>
      </w:r>
    </w:p>
    <w:p w14:paraId="516514C5" w14:textId="77777777" w:rsidR="00F761CE" w:rsidRDefault="00000000" w:rsidP="00FD2422">
      <w:pPr>
        <w:spacing w:after="20" w:line="252" w:lineRule="auto"/>
        <w:ind w:left="360" w:hanging="360"/>
        <w:jc w:val="both"/>
      </w:pPr>
      <w:r>
        <w:rPr>
          <w:sz w:val="18"/>
        </w:rPr>
        <w:t>3. Adserias-Garriga J, Thomas C, Ubelaker DH, Zapico SC. When forensic odontology met biochemistry: multidisciplinary approach in forensic human identification. Arch Oral Biol. 2018;87:7-14. doi:10.1016/j.archoralbio.2017.12.001.</w:t>
      </w:r>
    </w:p>
    <w:p w14:paraId="2DDABCCF" w14:textId="77777777" w:rsidR="00F761CE" w:rsidRDefault="00000000" w:rsidP="00FD2422">
      <w:pPr>
        <w:spacing w:after="20" w:line="252" w:lineRule="auto"/>
        <w:ind w:left="360" w:hanging="360"/>
        <w:jc w:val="both"/>
      </w:pPr>
      <w:r>
        <w:rPr>
          <w:sz w:val="18"/>
        </w:rPr>
        <w:t>4. Hill AJ, Hewson I, Lain R. The role of the forensic odontologist in disaster victim identification: lessons for management. Forensic Sci Int. 2011;205(1-3):44-47. doi:10.1016/j.forsciint.2010.08.013.</w:t>
      </w:r>
    </w:p>
    <w:p w14:paraId="3B8A129D" w14:textId="77777777" w:rsidR="00F761CE" w:rsidRDefault="00000000" w:rsidP="00FD2422">
      <w:pPr>
        <w:spacing w:after="20" w:line="252" w:lineRule="auto"/>
        <w:ind w:left="360" w:hanging="360"/>
        <w:jc w:val="both"/>
      </w:pPr>
      <w:r>
        <w:rPr>
          <w:sz w:val="18"/>
        </w:rPr>
        <w:t>5. Pavičin IS, Jonjić A, Maretić I, Dumančić J, Zymber Çeshko A. Maintenance of dental records and forensic odontology awareness: a survey of Croatian dentists with implications for dental education. Dent J (Basel). 2021;9(4):37. doi:10.3390/dj9040037.</w:t>
      </w:r>
    </w:p>
    <w:p w14:paraId="3AF8DA77" w14:textId="77777777" w:rsidR="00F761CE" w:rsidRDefault="00000000" w:rsidP="00FD2422">
      <w:pPr>
        <w:spacing w:after="20" w:line="252" w:lineRule="auto"/>
        <w:ind w:left="360" w:hanging="360"/>
        <w:jc w:val="both"/>
      </w:pPr>
      <w:r>
        <w:rPr>
          <w:sz w:val="18"/>
        </w:rPr>
        <w:t>6. Baqai HS, Zaidi SJA, Baig QA, Bashir MB, Anwar M, Ansari AS. Maintenance of dental records and awareness of forensic odontology among Pakistani dentists: a mixed-method study with implications for dental data repository. BMC Oral Health. 2023;23:783. doi:10.1186/s12903-023-03500-2.</w:t>
      </w:r>
    </w:p>
    <w:p w14:paraId="77E1E15E" w14:textId="77777777" w:rsidR="00F761CE" w:rsidRDefault="00000000" w:rsidP="00FD2422">
      <w:pPr>
        <w:spacing w:after="20" w:line="252" w:lineRule="auto"/>
        <w:ind w:left="360" w:hanging="360"/>
        <w:jc w:val="both"/>
      </w:pPr>
      <w:r>
        <w:rPr>
          <w:sz w:val="18"/>
        </w:rPr>
        <w:t>7. Alamoudi RA, Alghamdi NS. Awareness of forensic dentistry among dental professionals in western Saudi Arabia: a knowledge, attitude, and practice-based cross-sectional study. Medicine (Baltimore). 2024;103(14):e37738. doi:10.1097/MD.0000000000037738.</w:t>
      </w:r>
    </w:p>
    <w:p w14:paraId="2F8FC0B2" w14:textId="77777777" w:rsidR="00F761CE" w:rsidRDefault="00000000" w:rsidP="00FD2422">
      <w:pPr>
        <w:spacing w:after="20" w:line="252" w:lineRule="auto"/>
        <w:ind w:left="360" w:hanging="360"/>
        <w:jc w:val="both"/>
      </w:pPr>
      <w:r>
        <w:rPr>
          <w:sz w:val="18"/>
        </w:rPr>
        <w:t>8. Khalifa FN, Ibrahim FM, Ghaly MM, Elhabbak SM, Soltan M, Hamdy MK. Forensic odontology-related awareness, knowledge, and attitude among dentists and dental students in two Egyptian universities: a survey-based study. J Forensic Odontostomatol. 2024;42(2):28-38. doi:10.5281/zenodo.13335793.</w:t>
      </w:r>
    </w:p>
    <w:p w14:paraId="38E035B8" w14:textId="77777777" w:rsidR="00F761CE" w:rsidRDefault="00000000" w:rsidP="00FD2422">
      <w:pPr>
        <w:spacing w:after="20" w:line="252" w:lineRule="auto"/>
        <w:ind w:left="360" w:hanging="360"/>
        <w:jc w:val="both"/>
      </w:pPr>
      <w:r>
        <w:rPr>
          <w:sz w:val="18"/>
        </w:rPr>
        <w:t>9. Akram SAZ, Khan S, Tauheed S. Knowledge, awareness and practice of forensic odontology among dental practitioners in Karachi, Pakistan. Pak J Med Dent. 2019;8(1):78-83.</w:t>
      </w:r>
    </w:p>
    <w:p w14:paraId="0C79B182" w14:textId="77777777" w:rsidR="00F761CE" w:rsidRDefault="00000000" w:rsidP="00FD2422">
      <w:pPr>
        <w:spacing w:after="20" w:line="252" w:lineRule="auto"/>
        <w:ind w:left="360" w:hanging="360"/>
        <w:jc w:val="both"/>
      </w:pPr>
      <w:r>
        <w:rPr>
          <w:sz w:val="18"/>
        </w:rPr>
        <w:t>10. Borah B, Gowsalya M, Kale AD, Angadi PV. Assessment of knowledge among dental practitioners regarding digital dental record platform as a forensic aid for personal identification. J Oral Maxillofac Pathol. 2025;29(2):301-308. doi:10.4103/jomfp.jomfp_190_24.</w:t>
      </w:r>
    </w:p>
    <w:p w14:paraId="339B7DA7" w14:textId="77777777" w:rsidR="00F761CE" w:rsidRDefault="00000000" w:rsidP="00FD2422">
      <w:pPr>
        <w:spacing w:after="20" w:line="252" w:lineRule="auto"/>
        <w:ind w:left="360" w:hanging="360"/>
        <w:jc w:val="both"/>
      </w:pPr>
      <w:r>
        <w:rPr>
          <w:sz w:val="18"/>
        </w:rPr>
        <w:t>11. Sallis C, Manica S. Comparative dental analysis: should dentists release dental records? Dent Update. 2021;48(2):148-151. doi:10.12968/denu.2021.48.2.148.</w:t>
      </w:r>
    </w:p>
    <w:p w14:paraId="6F3036B3" w14:textId="77777777" w:rsidR="00F761CE" w:rsidRDefault="00000000" w:rsidP="00FD2422">
      <w:pPr>
        <w:spacing w:after="20" w:line="252" w:lineRule="auto"/>
        <w:ind w:left="360" w:hanging="360"/>
        <w:jc w:val="both"/>
      </w:pPr>
      <w:r>
        <w:rPr>
          <w:sz w:val="18"/>
        </w:rPr>
        <w:t>12. Garbin CAS, Garbin AJI, Saliba NA, de Lima DC, de Macedo APA. Analysis of the ethical aspects of professional confidentiality in dental practice. J Appl Oral Sci. 2008;16(1):75-80. doi:10.1590/S1678-77572008000100015.</w:t>
      </w:r>
    </w:p>
    <w:p w14:paraId="27AF525C" w14:textId="77777777" w:rsidR="00F761CE" w:rsidRDefault="00000000" w:rsidP="00FD2422">
      <w:pPr>
        <w:spacing w:after="20" w:line="252" w:lineRule="auto"/>
        <w:ind w:left="360" w:hanging="360"/>
        <w:jc w:val="both"/>
      </w:pPr>
      <w:r>
        <w:rPr>
          <w:sz w:val="18"/>
        </w:rPr>
        <w:t>13. Republic of Indonesia. Law Number 17 of 2023 concerning Health. Jakarta: Government of Indonesia; 2023.</w:t>
      </w:r>
    </w:p>
    <w:p w14:paraId="0BF76B77" w14:textId="77777777" w:rsidR="00F761CE" w:rsidRDefault="00000000" w:rsidP="00FD2422">
      <w:pPr>
        <w:spacing w:after="20" w:line="252" w:lineRule="auto"/>
        <w:ind w:left="360" w:hanging="360"/>
        <w:jc w:val="both"/>
      </w:pPr>
      <w:r>
        <w:rPr>
          <w:sz w:val="18"/>
        </w:rPr>
        <w:t>14. Republic of Indonesia. Regulation of the Minister of Health Number 24 of 2022 concerning Medical Records. Jakarta: Ministry of Health of the Republic of Indonesia; 2022.</w:t>
      </w:r>
    </w:p>
    <w:p w14:paraId="2DE2781E" w14:textId="77777777" w:rsidR="00F761CE" w:rsidRDefault="00000000" w:rsidP="00FD2422">
      <w:pPr>
        <w:spacing w:after="20" w:line="252" w:lineRule="auto"/>
        <w:ind w:left="360" w:hanging="360"/>
        <w:jc w:val="both"/>
      </w:pPr>
      <w:r>
        <w:rPr>
          <w:sz w:val="18"/>
        </w:rPr>
        <w:t>15. Republic of Indonesia. Law Number 27 of 2022 concerning Personal Data Protection. Jakarta: Government of Indonesia; 2022.</w:t>
      </w:r>
    </w:p>
    <w:p w14:paraId="6426E01A" w14:textId="77777777" w:rsidR="00F761CE" w:rsidRDefault="00000000" w:rsidP="00FD2422">
      <w:pPr>
        <w:spacing w:after="20" w:line="252" w:lineRule="auto"/>
        <w:ind w:left="360" w:hanging="360"/>
        <w:jc w:val="both"/>
      </w:pPr>
      <w:r>
        <w:rPr>
          <w:sz w:val="18"/>
        </w:rPr>
        <w:lastRenderedPageBreak/>
        <w:t>16. Republic of Indonesia. Government Regulation Number 28 of 2024 concerning the implementing regulation of Law Number 17 of 2023 concerning Health. Jakarta: Government of Indonesia; 2024.</w:t>
      </w:r>
    </w:p>
    <w:p w14:paraId="4270310B" w14:textId="77777777" w:rsidR="00F761CE" w:rsidRDefault="00000000" w:rsidP="00FD2422">
      <w:pPr>
        <w:spacing w:after="20" w:line="252" w:lineRule="auto"/>
        <w:ind w:left="360" w:hanging="360"/>
        <w:jc w:val="both"/>
      </w:pPr>
      <w:r>
        <w:rPr>
          <w:sz w:val="18"/>
        </w:rPr>
        <w:t>17. Beauchamp TL, Childress JF. Principles of biomedical ethics. 8th ed. New York: Oxford University Press; 2019.</w:t>
      </w:r>
    </w:p>
    <w:p w14:paraId="6516468A" w14:textId="77777777" w:rsidR="00F761CE" w:rsidRDefault="00000000" w:rsidP="00FD2422">
      <w:pPr>
        <w:spacing w:after="20" w:line="252" w:lineRule="auto"/>
        <w:ind w:left="360" w:hanging="360"/>
        <w:jc w:val="both"/>
      </w:pPr>
      <w:r>
        <w:rPr>
          <w:sz w:val="18"/>
        </w:rPr>
        <w:t>18. Devadiga A. What's the deal with dental records for practicing dentists? Importance in general and forensic dentistry. J Forensic Dent Sci. 2014;6(1):9-15. doi:10.4103/0975-1475.127764.</w:t>
      </w:r>
    </w:p>
    <w:p w14:paraId="229D0A48" w14:textId="77777777" w:rsidR="00F761CE" w:rsidRDefault="00000000" w:rsidP="00FD2422">
      <w:pPr>
        <w:spacing w:after="20" w:line="252" w:lineRule="auto"/>
        <w:ind w:left="360" w:hanging="360"/>
        <w:jc w:val="both"/>
      </w:pPr>
      <w:r>
        <w:rPr>
          <w:sz w:val="18"/>
        </w:rPr>
        <w:t>19. Gupta A, Mishra G, Bhutani H, Hoshing C, Bhalla A. Forensic revolution need maintenance of dental records of patients by the dentists: a descriptive study. J Int Soc Prev Community Dent. 2016;6(4):316-320. doi:10.4103/2231-0762.186799.</w:t>
      </w:r>
    </w:p>
    <w:p w14:paraId="7DA02014" w14:textId="77777777" w:rsidR="00F761CE" w:rsidRDefault="00000000" w:rsidP="00FD2422">
      <w:pPr>
        <w:spacing w:after="20" w:line="252" w:lineRule="auto"/>
        <w:ind w:left="360" w:hanging="360"/>
        <w:jc w:val="both"/>
      </w:pPr>
      <w:r>
        <w:rPr>
          <w:sz w:val="18"/>
        </w:rPr>
        <w:t>20. Radu CC, Hogea T, Carașca C, Radu CM. Forensic odontology in the digital era: a narrative review of current methods and emerging trends. Diagnostics. 2025;15(20):2550. doi:10.3390/diagnostics15202550.</w:t>
      </w:r>
    </w:p>
    <w:p w14:paraId="02FB9AC0" w14:textId="77777777" w:rsidR="00F761CE" w:rsidRDefault="00000000" w:rsidP="00FD2422">
      <w:pPr>
        <w:spacing w:after="20" w:line="252" w:lineRule="auto"/>
        <w:ind w:left="360" w:hanging="360"/>
        <w:jc w:val="both"/>
      </w:pPr>
      <w:r>
        <w:rPr>
          <w:sz w:val="18"/>
        </w:rPr>
        <w:t>21. Matsuda S, Yoshida H, Ebata K, Shimada I, Yoshimura H. Forensic odontology with digital technologies: a systematic review. J Forensic Leg Med. 2020;74:102004. doi:10.1016/j.jflm.2020.102004.</w:t>
      </w:r>
    </w:p>
    <w:p w14:paraId="096C786B" w14:textId="77777777" w:rsidR="00F761CE" w:rsidRDefault="00000000" w:rsidP="00FD2422">
      <w:pPr>
        <w:spacing w:after="20" w:line="252" w:lineRule="auto"/>
        <w:ind w:left="360" w:hanging="360"/>
        <w:jc w:val="both"/>
      </w:pPr>
      <w:r>
        <w:rPr>
          <w:sz w:val="18"/>
        </w:rPr>
        <w:t>22. Khanagar SB, Vishwanathaiah S, Naik S, Al-Kheraif AA, Divakar DD, Sarode SC, et al. Application and performance of artificial intelligence technology in forensic odontology: a systematic review. Leg Med (Tokyo). 2021;48:101826. doi:10.1016/j.legalmed.2020.101826.</w:t>
      </w:r>
    </w:p>
    <w:p w14:paraId="21544AFC" w14:textId="77777777" w:rsidR="00F761CE" w:rsidRDefault="00000000" w:rsidP="00FD2422">
      <w:pPr>
        <w:spacing w:after="20" w:line="252" w:lineRule="auto"/>
        <w:ind w:left="360" w:hanging="360"/>
        <w:jc w:val="both"/>
      </w:pPr>
      <w:r>
        <w:rPr>
          <w:sz w:val="18"/>
        </w:rPr>
        <w:t>23. Mohammad N, Ahmad R, Kurniawan A, Mohd Yusof MYPM. Applications of contemporary artificial intelligence technology in forensic odontology as primary forensic identifier: a scoping review. Front Artif Intell. 2022;5:1049584. doi:10.3389/frai.2022.1049584.</w:t>
      </w:r>
    </w:p>
    <w:p w14:paraId="39CD732A" w14:textId="77777777" w:rsidR="00F761CE" w:rsidRDefault="00000000" w:rsidP="00FD2422">
      <w:pPr>
        <w:spacing w:after="20" w:line="252" w:lineRule="auto"/>
        <w:ind w:left="360" w:hanging="360"/>
        <w:jc w:val="both"/>
      </w:pPr>
      <w:r>
        <w:rPr>
          <w:sz w:val="18"/>
        </w:rPr>
        <w:t>24. International Criminal Police Organization. Disaster victim identification guide. Lyon: INTERPOL; 2018.</w:t>
      </w:r>
    </w:p>
    <w:p w14:paraId="19C7E3BF" w14:textId="77777777" w:rsidR="00F761CE" w:rsidRDefault="00000000" w:rsidP="00FD2422">
      <w:pPr>
        <w:spacing w:after="20" w:line="252" w:lineRule="auto"/>
        <w:ind w:left="360" w:hanging="360"/>
        <w:jc w:val="both"/>
      </w:pPr>
      <w:r>
        <w:rPr>
          <w:sz w:val="18"/>
        </w:rPr>
        <w:t>25. de Boer HH, Roberts J, Delabarde T, Mundorff AZ, Blau S. Disaster victim identification operations with fragmented, burnt, or commingled remains: experience-based recommendations. Forensic Sci Res. 2020;5(3):191-201. doi:10.1080/20961790.2020.1751385.</w:t>
      </w:r>
    </w:p>
    <w:p w14:paraId="2478CB23" w14:textId="77777777" w:rsidR="00F761CE" w:rsidRDefault="00000000" w:rsidP="00FD2422">
      <w:pPr>
        <w:spacing w:after="20" w:line="252" w:lineRule="auto"/>
        <w:ind w:left="360" w:hanging="360"/>
        <w:jc w:val="both"/>
      </w:pPr>
      <w:r>
        <w:rPr>
          <w:sz w:val="18"/>
        </w:rPr>
        <w:t>26. Dahal S, Chaudhary GK, Maharjan MR, Walung ED. A dental perspective on the successes and limitations of the disaster victim identification response to the Nepal earthquake. Forensic Sci Res. 2022;7(3):366-370. doi:10.1080/20961790.2022.2034716.</w:t>
      </w:r>
    </w:p>
    <w:p w14:paraId="4915D2C2" w14:textId="77777777" w:rsidR="00F761CE" w:rsidRDefault="00000000" w:rsidP="00FD2422">
      <w:pPr>
        <w:spacing w:after="20" w:line="252" w:lineRule="auto"/>
        <w:ind w:left="360" w:hanging="360"/>
        <w:jc w:val="both"/>
      </w:pPr>
      <w:r>
        <w:rPr>
          <w:sz w:val="18"/>
        </w:rPr>
        <w:t>27. Nuzzolese E, Di Vella G. Future project concerning mass disaster management: a forensic odontology prospectus. Int Dent J. 2007;57(4):261-266. doi:10.1111/j.1875-595X.2007.tb00130.x.</w:t>
      </w:r>
    </w:p>
    <w:p w14:paraId="65433C88" w14:textId="77777777" w:rsidR="00F761CE" w:rsidRDefault="00000000" w:rsidP="00FD2422">
      <w:pPr>
        <w:spacing w:after="20" w:line="252" w:lineRule="auto"/>
        <w:ind w:left="360" w:hanging="360"/>
        <w:jc w:val="both"/>
      </w:pPr>
      <w:r>
        <w:rPr>
          <w:sz w:val="18"/>
        </w:rPr>
        <w:t>28. Manica S, Forgie A. Forensic dentistry now and in the future. Dent Update. 2017;44(6):522-530. doi:10.12968/denu.2017.44.6.522.</w:t>
      </w:r>
    </w:p>
    <w:p w14:paraId="5F76285D" w14:textId="77777777" w:rsidR="00F761CE" w:rsidRDefault="00000000" w:rsidP="00FD2422">
      <w:pPr>
        <w:spacing w:after="20" w:line="252" w:lineRule="auto"/>
        <w:ind w:left="360" w:hanging="360"/>
        <w:jc w:val="both"/>
      </w:pPr>
      <w:r>
        <w:rPr>
          <w:sz w:val="18"/>
        </w:rPr>
        <w:t>29. Sims CA, Berketa J, Higgins D. Is human identification by dental comparison a scientifically valid process? Sci Justice. 2020;60(5):403-405. doi:10.1016/j.scijus.2020.03.006.</w:t>
      </w:r>
    </w:p>
    <w:p w14:paraId="52F75465" w14:textId="77777777" w:rsidR="00F761CE" w:rsidRDefault="00000000" w:rsidP="00FD2422">
      <w:pPr>
        <w:spacing w:after="20" w:line="252" w:lineRule="auto"/>
        <w:ind w:left="360" w:hanging="360"/>
        <w:jc w:val="both"/>
      </w:pPr>
      <w:r>
        <w:rPr>
          <w:sz w:val="18"/>
        </w:rPr>
        <w:t>30. Jalilvand MA, Raeisi AR, Shaarbafchizadeh N. Hospital governance accountability structure: a scoping review. BMC Health Serv Res. 2024;24:47. doi:10.1186/s12913-023-10135-0.</w:t>
      </w:r>
    </w:p>
    <w:p w14:paraId="756D9402" w14:textId="77777777" w:rsidR="00F761CE" w:rsidRDefault="00F761CE" w:rsidP="00FD2422">
      <w:pPr>
        <w:jc w:val="both"/>
        <w:sectPr w:rsidR="00F761CE">
          <w:footerReference w:type="default" r:id="rId8"/>
          <w:pgSz w:w="12240" w:h="15840"/>
          <w:pgMar w:top="1224" w:right="1224" w:bottom="1224" w:left="1224" w:header="720" w:footer="720" w:gutter="0"/>
          <w:cols w:space="720"/>
          <w:docGrid w:linePitch="360"/>
        </w:sectPr>
      </w:pPr>
    </w:p>
    <w:p w14:paraId="07D41175" w14:textId="77777777" w:rsidR="00F761CE" w:rsidRDefault="00000000" w:rsidP="00FD2422">
      <w:pPr>
        <w:pStyle w:val="Heading1"/>
        <w:jc w:val="both"/>
      </w:pPr>
      <w:r>
        <w:rPr>
          <w:rFonts w:ascii="Times New Roman" w:eastAsia="Times New Roman" w:hAnsi="Times New Roman"/>
        </w:rPr>
        <w:lastRenderedPageBreak/>
        <w:t>TABLES</w:t>
      </w:r>
    </w:p>
    <w:p w14:paraId="6DAE6B60" w14:textId="77777777" w:rsidR="00F761CE" w:rsidRDefault="00000000" w:rsidP="00FD2422">
      <w:pPr>
        <w:keepNext/>
        <w:spacing w:after="80" w:line="264" w:lineRule="auto"/>
        <w:jc w:val="both"/>
      </w:pPr>
      <w:r>
        <w:rPr>
          <w:b/>
          <w:sz w:val="20"/>
        </w:rPr>
        <w:t>Table 1. Core hospital dental records, forensic contribution, and governance controls.</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6"/>
        <w:gridCol w:w="3895"/>
        <w:gridCol w:w="3088"/>
        <w:gridCol w:w="4568"/>
      </w:tblGrid>
      <w:tr w:rsidR="00F761CE" w14:paraId="25E676DD" w14:textId="77777777" w:rsidTr="00FD2422">
        <w:trPr>
          <w:trHeight w:val="176"/>
        </w:trPr>
        <w:tc>
          <w:tcPr>
            <w:tcW w:w="2686" w:type="dxa"/>
            <w:tcBorders>
              <w:bottom w:val="single" w:sz="4" w:space="0" w:color="auto"/>
            </w:tcBorders>
          </w:tcPr>
          <w:p w14:paraId="575A32B7" w14:textId="77777777" w:rsidR="00F761CE" w:rsidRDefault="00000000" w:rsidP="00FD2422">
            <w:pPr>
              <w:spacing w:line="240" w:lineRule="auto"/>
              <w:jc w:val="both"/>
            </w:pPr>
            <w:r>
              <w:rPr>
                <w:b/>
                <w:sz w:val="17"/>
              </w:rPr>
              <w:t>Record component</w:t>
            </w:r>
          </w:p>
        </w:tc>
        <w:tc>
          <w:tcPr>
            <w:tcW w:w="3895" w:type="dxa"/>
            <w:tcBorders>
              <w:bottom w:val="single" w:sz="4" w:space="0" w:color="auto"/>
            </w:tcBorders>
          </w:tcPr>
          <w:p w14:paraId="3A58859A" w14:textId="77777777" w:rsidR="00F761CE" w:rsidRDefault="00000000" w:rsidP="00FD2422">
            <w:pPr>
              <w:spacing w:line="240" w:lineRule="auto"/>
              <w:jc w:val="both"/>
            </w:pPr>
            <w:r>
              <w:rPr>
                <w:b/>
                <w:sz w:val="17"/>
              </w:rPr>
              <w:t>Forensic contribution</w:t>
            </w:r>
          </w:p>
        </w:tc>
        <w:tc>
          <w:tcPr>
            <w:tcW w:w="3088" w:type="dxa"/>
            <w:tcBorders>
              <w:bottom w:val="single" w:sz="4" w:space="0" w:color="auto"/>
            </w:tcBorders>
          </w:tcPr>
          <w:p w14:paraId="710A26BB" w14:textId="77777777" w:rsidR="00F761CE" w:rsidRDefault="00000000" w:rsidP="00FD2422">
            <w:pPr>
              <w:spacing w:line="240" w:lineRule="auto"/>
              <w:jc w:val="both"/>
            </w:pPr>
            <w:r>
              <w:rPr>
                <w:b/>
                <w:sz w:val="17"/>
              </w:rPr>
              <w:t>Key vulnerability</w:t>
            </w:r>
          </w:p>
        </w:tc>
        <w:tc>
          <w:tcPr>
            <w:tcW w:w="4568" w:type="dxa"/>
            <w:tcBorders>
              <w:bottom w:val="single" w:sz="4" w:space="0" w:color="auto"/>
            </w:tcBorders>
          </w:tcPr>
          <w:p w14:paraId="2D7CC035" w14:textId="77777777" w:rsidR="00F761CE" w:rsidRDefault="00000000" w:rsidP="00FD2422">
            <w:pPr>
              <w:spacing w:line="240" w:lineRule="auto"/>
              <w:jc w:val="both"/>
            </w:pPr>
            <w:r>
              <w:rPr>
                <w:b/>
                <w:sz w:val="17"/>
              </w:rPr>
              <w:t>Minimum governance control</w:t>
            </w:r>
          </w:p>
        </w:tc>
      </w:tr>
      <w:tr w:rsidR="00F761CE" w14:paraId="0865C990" w14:textId="77777777" w:rsidTr="00FD2422">
        <w:trPr>
          <w:trHeight w:val="517"/>
        </w:trPr>
        <w:tc>
          <w:tcPr>
            <w:tcW w:w="2686" w:type="dxa"/>
            <w:tcBorders>
              <w:top w:val="single" w:sz="4" w:space="0" w:color="auto"/>
            </w:tcBorders>
          </w:tcPr>
          <w:p w14:paraId="156ACC50" w14:textId="77777777" w:rsidR="00F761CE" w:rsidRDefault="00000000" w:rsidP="00FD2422">
            <w:pPr>
              <w:spacing w:line="240" w:lineRule="auto"/>
              <w:jc w:val="both"/>
            </w:pPr>
            <w:r>
              <w:rPr>
                <w:sz w:val="17"/>
              </w:rPr>
              <w:t>Contemporaneous odontogram and treatment chart</w:t>
            </w:r>
          </w:p>
        </w:tc>
        <w:tc>
          <w:tcPr>
            <w:tcW w:w="3895" w:type="dxa"/>
            <w:tcBorders>
              <w:top w:val="single" w:sz="4" w:space="0" w:color="auto"/>
            </w:tcBorders>
          </w:tcPr>
          <w:p w14:paraId="3D2CCC3D" w14:textId="77777777" w:rsidR="00F761CE" w:rsidRDefault="00000000" w:rsidP="00FD2422">
            <w:pPr>
              <w:spacing w:line="240" w:lineRule="auto"/>
              <w:jc w:val="both"/>
            </w:pPr>
            <w:r>
              <w:rPr>
                <w:sz w:val="17"/>
              </w:rPr>
              <w:t>Documents tooth status, restorations, extractions, anomalies, and treatment chronology for antemortem-postmortem comparison.</w:t>
            </w:r>
          </w:p>
        </w:tc>
        <w:tc>
          <w:tcPr>
            <w:tcW w:w="3088" w:type="dxa"/>
            <w:tcBorders>
              <w:top w:val="single" w:sz="4" w:space="0" w:color="auto"/>
            </w:tcBorders>
          </w:tcPr>
          <w:p w14:paraId="7AA41C52" w14:textId="77777777" w:rsidR="00F761CE" w:rsidRDefault="00000000" w:rsidP="00FD2422">
            <w:pPr>
              <w:spacing w:line="240" w:lineRule="auto"/>
              <w:jc w:val="both"/>
            </w:pPr>
            <w:r>
              <w:rPr>
                <w:sz w:val="17"/>
              </w:rPr>
              <w:t>Undated entries, non-standard notation, incomplete updates.</w:t>
            </w:r>
          </w:p>
        </w:tc>
        <w:tc>
          <w:tcPr>
            <w:tcW w:w="4568" w:type="dxa"/>
            <w:tcBorders>
              <w:top w:val="single" w:sz="4" w:space="0" w:color="auto"/>
            </w:tcBorders>
          </w:tcPr>
          <w:p w14:paraId="04DF5FAB" w14:textId="77777777" w:rsidR="00F761CE" w:rsidRDefault="00000000" w:rsidP="00FD2422">
            <w:pPr>
              <w:spacing w:line="240" w:lineRule="auto"/>
              <w:jc w:val="both"/>
            </w:pPr>
            <w:r>
              <w:rPr>
                <w:sz w:val="17"/>
              </w:rPr>
              <w:t>Use standard notation; date and authenticate entries; preserve prior versions and identify the clinician responsible.</w:t>
            </w:r>
          </w:p>
        </w:tc>
      </w:tr>
      <w:tr w:rsidR="00F761CE" w14:paraId="6CB882ED" w14:textId="77777777" w:rsidTr="00FD2422">
        <w:trPr>
          <w:trHeight w:val="367"/>
        </w:trPr>
        <w:tc>
          <w:tcPr>
            <w:tcW w:w="2686" w:type="dxa"/>
          </w:tcPr>
          <w:p w14:paraId="43F253C2" w14:textId="77777777" w:rsidR="00F761CE" w:rsidRDefault="00000000" w:rsidP="00FD2422">
            <w:pPr>
              <w:spacing w:line="240" w:lineRule="auto"/>
              <w:jc w:val="both"/>
            </w:pPr>
            <w:r>
              <w:rPr>
                <w:sz w:val="17"/>
              </w:rPr>
              <w:t>Radiographs and three-dimensional images</w:t>
            </w:r>
          </w:p>
        </w:tc>
        <w:tc>
          <w:tcPr>
            <w:tcW w:w="3895" w:type="dxa"/>
          </w:tcPr>
          <w:p w14:paraId="42840707" w14:textId="77777777" w:rsidR="00F761CE" w:rsidRDefault="00000000" w:rsidP="00FD2422">
            <w:pPr>
              <w:spacing w:line="240" w:lineRule="auto"/>
              <w:jc w:val="both"/>
            </w:pPr>
            <w:r>
              <w:rPr>
                <w:sz w:val="17"/>
              </w:rPr>
              <w:t>Provide anatomical, restorative, endodontic, and developmental features that support comparison.</w:t>
            </w:r>
          </w:p>
        </w:tc>
        <w:tc>
          <w:tcPr>
            <w:tcW w:w="3088" w:type="dxa"/>
          </w:tcPr>
          <w:p w14:paraId="5E0E714E" w14:textId="77777777" w:rsidR="00F761CE" w:rsidRDefault="00000000" w:rsidP="00FD2422">
            <w:pPr>
              <w:spacing w:line="240" w:lineRule="auto"/>
              <w:jc w:val="both"/>
            </w:pPr>
            <w:r>
              <w:rPr>
                <w:sz w:val="17"/>
              </w:rPr>
              <w:t>Missing identifiers, unlabeled exports, altered images, loss of metadata.</w:t>
            </w:r>
          </w:p>
        </w:tc>
        <w:tc>
          <w:tcPr>
            <w:tcW w:w="4568" w:type="dxa"/>
          </w:tcPr>
          <w:p w14:paraId="6B1DAE67" w14:textId="77777777" w:rsidR="00F761CE" w:rsidRDefault="00000000" w:rsidP="00FD2422">
            <w:pPr>
              <w:spacing w:line="240" w:lineRule="auto"/>
              <w:jc w:val="both"/>
            </w:pPr>
            <w:r>
              <w:rPr>
                <w:sz w:val="17"/>
              </w:rPr>
              <w:t>Retain original files and metadata; record acquisition date and patient identifier; restrict editing rights and log exports.</w:t>
            </w:r>
          </w:p>
        </w:tc>
      </w:tr>
      <w:tr w:rsidR="00F761CE" w14:paraId="0F9FC59E" w14:textId="77777777" w:rsidTr="00FD2422">
        <w:trPr>
          <w:trHeight w:val="353"/>
        </w:trPr>
        <w:tc>
          <w:tcPr>
            <w:tcW w:w="2686" w:type="dxa"/>
          </w:tcPr>
          <w:p w14:paraId="7D83B24F" w14:textId="77777777" w:rsidR="00F761CE" w:rsidRDefault="00000000" w:rsidP="00FD2422">
            <w:pPr>
              <w:spacing w:line="240" w:lineRule="auto"/>
              <w:jc w:val="both"/>
            </w:pPr>
            <w:r>
              <w:rPr>
                <w:sz w:val="17"/>
              </w:rPr>
              <w:t>Clinical photographs, scans, casts, and prosthetic records</w:t>
            </w:r>
          </w:p>
        </w:tc>
        <w:tc>
          <w:tcPr>
            <w:tcW w:w="3895" w:type="dxa"/>
          </w:tcPr>
          <w:p w14:paraId="405C7669" w14:textId="77777777" w:rsidR="00F761CE" w:rsidRDefault="00000000" w:rsidP="00FD2422">
            <w:pPr>
              <w:spacing w:line="240" w:lineRule="auto"/>
              <w:jc w:val="both"/>
            </w:pPr>
            <w:r>
              <w:rPr>
                <w:sz w:val="17"/>
              </w:rPr>
              <w:t>May document morphology, prostheses, appliances, and treatment-specific features.</w:t>
            </w:r>
          </w:p>
        </w:tc>
        <w:tc>
          <w:tcPr>
            <w:tcW w:w="3088" w:type="dxa"/>
          </w:tcPr>
          <w:p w14:paraId="363781C5" w14:textId="77777777" w:rsidR="00F761CE" w:rsidRDefault="00000000" w:rsidP="00FD2422">
            <w:pPr>
              <w:spacing w:line="240" w:lineRule="auto"/>
              <w:jc w:val="both"/>
            </w:pPr>
            <w:r>
              <w:rPr>
                <w:sz w:val="17"/>
              </w:rPr>
              <w:t>Informal storage, low resolution, lack of provenance.</w:t>
            </w:r>
          </w:p>
        </w:tc>
        <w:tc>
          <w:tcPr>
            <w:tcW w:w="4568" w:type="dxa"/>
          </w:tcPr>
          <w:p w14:paraId="0A7A446D" w14:textId="77777777" w:rsidR="00F761CE" w:rsidRDefault="00000000" w:rsidP="00FD2422">
            <w:pPr>
              <w:spacing w:line="240" w:lineRule="auto"/>
              <w:jc w:val="both"/>
            </w:pPr>
            <w:r>
              <w:rPr>
                <w:sz w:val="17"/>
              </w:rPr>
              <w:t>Store in the clinical record; retain provenance; document date, device, and responsible clinician.</w:t>
            </w:r>
          </w:p>
        </w:tc>
      </w:tr>
      <w:tr w:rsidR="00F761CE" w14:paraId="24D228D2" w14:textId="77777777" w:rsidTr="00FD2422">
        <w:trPr>
          <w:trHeight w:val="517"/>
        </w:trPr>
        <w:tc>
          <w:tcPr>
            <w:tcW w:w="2686" w:type="dxa"/>
          </w:tcPr>
          <w:p w14:paraId="7F6D04D4" w14:textId="77777777" w:rsidR="00F761CE" w:rsidRDefault="00000000" w:rsidP="00FD2422">
            <w:pPr>
              <w:spacing w:line="240" w:lineRule="auto"/>
              <w:jc w:val="both"/>
            </w:pPr>
            <w:r>
              <w:rPr>
                <w:sz w:val="17"/>
              </w:rPr>
              <w:t>Disclosure and transfer log</w:t>
            </w:r>
          </w:p>
        </w:tc>
        <w:tc>
          <w:tcPr>
            <w:tcW w:w="3895" w:type="dxa"/>
          </w:tcPr>
          <w:p w14:paraId="145F2F55" w14:textId="77777777" w:rsidR="00F761CE" w:rsidRDefault="00000000" w:rsidP="00FD2422">
            <w:pPr>
              <w:spacing w:line="240" w:lineRule="auto"/>
              <w:jc w:val="both"/>
            </w:pPr>
            <w:r>
              <w:rPr>
                <w:sz w:val="17"/>
              </w:rPr>
              <w:t>Demonstrates the legal basis, recipient, files released, and transfer method.</w:t>
            </w:r>
          </w:p>
        </w:tc>
        <w:tc>
          <w:tcPr>
            <w:tcW w:w="3088" w:type="dxa"/>
          </w:tcPr>
          <w:p w14:paraId="22A77C2A" w14:textId="77777777" w:rsidR="00F761CE" w:rsidRDefault="00000000" w:rsidP="00FD2422">
            <w:pPr>
              <w:spacing w:line="240" w:lineRule="auto"/>
              <w:jc w:val="both"/>
            </w:pPr>
            <w:r>
              <w:rPr>
                <w:sz w:val="17"/>
              </w:rPr>
              <w:t>Unlogged disclosure, personal e-mail transfer, inability to reconstruct chain of custody.</w:t>
            </w:r>
          </w:p>
        </w:tc>
        <w:tc>
          <w:tcPr>
            <w:tcW w:w="4568" w:type="dxa"/>
          </w:tcPr>
          <w:p w14:paraId="0E531826" w14:textId="77777777" w:rsidR="00F761CE" w:rsidRDefault="00000000" w:rsidP="00FD2422">
            <w:pPr>
              <w:spacing w:line="240" w:lineRule="auto"/>
              <w:jc w:val="both"/>
            </w:pPr>
            <w:r>
              <w:rPr>
                <w:sz w:val="17"/>
              </w:rPr>
              <w:t>Use a standard release form; verify authority; apply secure transfer; retain a complete disclosure log.</w:t>
            </w:r>
          </w:p>
        </w:tc>
      </w:tr>
    </w:tbl>
    <w:p w14:paraId="2D74D0EA" w14:textId="77777777" w:rsidR="00F761CE" w:rsidRDefault="00000000" w:rsidP="00FD2422">
      <w:pPr>
        <w:spacing w:before="60" w:line="240" w:lineRule="auto"/>
        <w:jc w:val="both"/>
      </w:pPr>
      <w:r>
        <w:rPr>
          <w:b/>
          <w:i/>
          <w:sz w:val="17"/>
        </w:rPr>
        <w:t xml:space="preserve">Note: </w:t>
      </w:r>
      <w:r>
        <w:rPr>
          <w:i/>
          <w:sz w:val="17"/>
        </w:rPr>
        <w:t>The controls should be adapted to applicable law, hospital policy, and the institution’s information system.</w:t>
      </w:r>
    </w:p>
    <w:p w14:paraId="757F6590" w14:textId="77777777" w:rsidR="00F761CE" w:rsidRDefault="00F761CE" w:rsidP="00FD2422">
      <w:pPr>
        <w:jc w:val="both"/>
      </w:pPr>
    </w:p>
    <w:p w14:paraId="33684D3C" w14:textId="77777777" w:rsidR="00F761CE" w:rsidRDefault="00000000" w:rsidP="00FD2422">
      <w:pPr>
        <w:keepNext/>
        <w:spacing w:after="80" w:line="264" w:lineRule="auto"/>
        <w:jc w:val="both"/>
      </w:pPr>
      <w:r>
        <w:rPr>
          <w:b/>
          <w:sz w:val="20"/>
        </w:rPr>
        <w:t>Table 2. Decision pathway for releasing hospital dental records for forensic purposes.</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3"/>
        <w:gridCol w:w="7106"/>
        <w:gridCol w:w="5095"/>
      </w:tblGrid>
      <w:tr w:rsidR="00F761CE" w14:paraId="103C72F4" w14:textId="77777777" w:rsidTr="00FD2422">
        <w:trPr>
          <w:trHeight w:val="202"/>
        </w:trPr>
        <w:tc>
          <w:tcPr>
            <w:tcW w:w="1903" w:type="dxa"/>
            <w:tcBorders>
              <w:bottom w:val="single" w:sz="4" w:space="0" w:color="auto"/>
            </w:tcBorders>
          </w:tcPr>
          <w:p w14:paraId="4367BD74" w14:textId="77777777" w:rsidR="00F761CE" w:rsidRDefault="00000000" w:rsidP="00FD2422">
            <w:pPr>
              <w:spacing w:line="240" w:lineRule="auto"/>
              <w:jc w:val="both"/>
            </w:pPr>
            <w:r>
              <w:rPr>
                <w:b/>
                <w:sz w:val="17"/>
              </w:rPr>
              <w:t>Step</w:t>
            </w:r>
          </w:p>
        </w:tc>
        <w:tc>
          <w:tcPr>
            <w:tcW w:w="7106" w:type="dxa"/>
            <w:tcBorders>
              <w:bottom w:val="single" w:sz="4" w:space="0" w:color="auto"/>
            </w:tcBorders>
          </w:tcPr>
          <w:p w14:paraId="7DDBEFFE" w14:textId="77777777" w:rsidR="00F761CE" w:rsidRDefault="00000000" w:rsidP="00FD2422">
            <w:pPr>
              <w:spacing w:line="240" w:lineRule="auto"/>
              <w:jc w:val="both"/>
            </w:pPr>
            <w:r>
              <w:rPr>
                <w:b/>
                <w:sz w:val="17"/>
              </w:rPr>
              <w:t>Required action</w:t>
            </w:r>
          </w:p>
        </w:tc>
        <w:tc>
          <w:tcPr>
            <w:tcW w:w="5095" w:type="dxa"/>
            <w:tcBorders>
              <w:bottom w:val="single" w:sz="4" w:space="0" w:color="auto"/>
            </w:tcBorders>
          </w:tcPr>
          <w:p w14:paraId="7992CFD7" w14:textId="77777777" w:rsidR="00F761CE" w:rsidRDefault="00000000" w:rsidP="00FD2422">
            <w:pPr>
              <w:spacing w:line="240" w:lineRule="auto"/>
              <w:jc w:val="both"/>
            </w:pPr>
            <w:r>
              <w:rPr>
                <w:b/>
                <w:sz w:val="17"/>
              </w:rPr>
              <w:t>Control point</w:t>
            </w:r>
          </w:p>
        </w:tc>
      </w:tr>
      <w:tr w:rsidR="00F761CE" w14:paraId="5196D309" w14:textId="77777777" w:rsidTr="00FD2422">
        <w:trPr>
          <w:trHeight w:val="186"/>
        </w:trPr>
        <w:tc>
          <w:tcPr>
            <w:tcW w:w="1903" w:type="dxa"/>
            <w:tcBorders>
              <w:top w:val="single" w:sz="4" w:space="0" w:color="auto"/>
            </w:tcBorders>
          </w:tcPr>
          <w:p w14:paraId="7A12BA40" w14:textId="77777777" w:rsidR="00F761CE" w:rsidRDefault="00000000" w:rsidP="00FD2422">
            <w:pPr>
              <w:spacing w:line="240" w:lineRule="auto"/>
              <w:jc w:val="both"/>
            </w:pPr>
            <w:r>
              <w:rPr>
                <w:sz w:val="17"/>
              </w:rPr>
              <w:t>1. Verify the request</w:t>
            </w:r>
          </w:p>
        </w:tc>
        <w:tc>
          <w:tcPr>
            <w:tcW w:w="7106" w:type="dxa"/>
            <w:tcBorders>
              <w:top w:val="single" w:sz="4" w:space="0" w:color="auto"/>
            </w:tcBorders>
          </w:tcPr>
          <w:p w14:paraId="3B80319F" w14:textId="77777777" w:rsidR="00F761CE" w:rsidRDefault="00000000" w:rsidP="00FD2422">
            <w:pPr>
              <w:spacing w:line="240" w:lineRule="auto"/>
              <w:jc w:val="both"/>
            </w:pPr>
            <w:r>
              <w:rPr>
                <w:sz w:val="17"/>
              </w:rPr>
              <w:t>Confirm the identity, authority, purpose, and legal basis of the requesting party.</w:t>
            </w:r>
          </w:p>
        </w:tc>
        <w:tc>
          <w:tcPr>
            <w:tcW w:w="5095" w:type="dxa"/>
            <w:tcBorders>
              <w:top w:val="single" w:sz="4" w:space="0" w:color="auto"/>
            </w:tcBorders>
          </w:tcPr>
          <w:p w14:paraId="3FFC6AB7" w14:textId="77777777" w:rsidR="00F761CE" w:rsidRDefault="00000000" w:rsidP="00FD2422">
            <w:pPr>
              <w:spacing w:line="240" w:lineRule="auto"/>
              <w:jc w:val="both"/>
            </w:pPr>
            <w:r>
              <w:rPr>
                <w:sz w:val="17"/>
              </w:rPr>
              <w:t>Do not act on informal, unverifiable, or overly broad requests.</w:t>
            </w:r>
          </w:p>
        </w:tc>
      </w:tr>
      <w:tr w:rsidR="00F761CE" w14:paraId="7E1F2568" w14:textId="77777777" w:rsidTr="00FD2422">
        <w:trPr>
          <w:trHeight w:val="404"/>
        </w:trPr>
        <w:tc>
          <w:tcPr>
            <w:tcW w:w="1903" w:type="dxa"/>
          </w:tcPr>
          <w:p w14:paraId="222AD0F8" w14:textId="77777777" w:rsidR="00F761CE" w:rsidRDefault="00000000" w:rsidP="00FD2422">
            <w:pPr>
              <w:spacing w:line="240" w:lineRule="auto"/>
              <w:jc w:val="both"/>
            </w:pPr>
            <w:r>
              <w:rPr>
                <w:sz w:val="17"/>
              </w:rPr>
              <w:t>2. Define the minimum necessary information</w:t>
            </w:r>
          </w:p>
        </w:tc>
        <w:tc>
          <w:tcPr>
            <w:tcW w:w="7106" w:type="dxa"/>
          </w:tcPr>
          <w:p w14:paraId="5F9F859F" w14:textId="77777777" w:rsidR="00F761CE" w:rsidRDefault="00000000" w:rsidP="00FD2422">
            <w:pPr>
              <w:spacing w:line="240" w:lineRule="auto"/>
              <w:jc w:val="both"/>
            </w:pPr>
            <w:r>
              <w:rPr>
                <w:sz w:val="17"/>
              </w:rPr>
              <w:t>Identify the specific materials needed, such as odontogram, radiographs, or prosthetic information.</w:t>
            </w:r>
          </w:p>
        </w:tc>
        <w:tc>
          <w:tcPr>
            <w:tcW w:w="5095" w:type="dxa"/>
          </w:tcPr>
          <w:p w14:paraId="05D60234" w14:textId="77777777" w:rsidR="00F761CE" w:rsidRDefault="00000000" w:rsidP="00FD2422">
            <w:pPr>
              <w:spacing w:line="240" w:lineRule="auto"/>
              <w:jc w:val="both"/>
            </w:pPr>
            <w:r>
              <w:rPr>
                <w:sz w:val="17"/>
              </w:rPr>
              <w:t>Avoid release of unrelated clinical information.</w:t>
            </w:r>
          </w:p>
        </w:tc>
      </w:tr>
      <w:tr w:rsidR="00F761CE" w14:paraId="1390B6FA" w14:textId="77777777" w:rsidTr="00FD2422">
        <w:trPr>
          <w:trHeight w:val="404"/>
        </w:trPr>
        <w:tc>
          <w:tcPr>
            <w:tcW w:w="1903" w:type="dxa"/>
          </w:tcPr>
          <w:p w14:paraId="0BEB008B" w14:textId="77777777" w:rsidR="00F761CE" w:rsidRDefault="00000000" w:rsidP="00FD2422">
            <w:pPr>
              <w:spacing w:line="240" w:lineRule="auto"/>
              <w:jc w:val="both"/>
            </w:pPr>
            <w:r>
              <w:rPr>
                <w:sz w:val="17"/>
              </w:rPr>
              <w:t>3. Obtain internal authorisation</w:t>
            </w:r>
          </w:p>
        </w:tc>
        <w:tc>
          <w:tcPr>
            <w:tcW w:w="7106" w:type="dxa"/>
          </w:tcPr>
          <w:p w14:paraId="51808E6A" w14:textId="77777777" w:rsidR="00F761CE" w:rsidRDefault="00000000" w:rsidP="00FD2422">
            <w:pPr>
              <w:spacing w:line="240" w:lineRule="auto"/>
              <w:jc w:val="both"/>
            </w:pPr>
            <w:r>
              <w:rPr>
                <w:sz w:val="17"/>
              </w:rPr>
              <w:t>Refer the request to the designated record custodian and, when needed, the legal or ethics unit.</w:t>
            </w:r>
          </w:p>
        </w:tc>
        <w:tc>
          <w:tcPr>
            <w:tcW w:w="5095" w:type="dxa"/>
          </w:tcPr>
          <w:p w14:paraId="4BE46202" w14:textId="77777777" w:rsidR="00F761CE" w:rsidRDefault="00000000" w:rsidP="00FD2422">
            <w:pPr>
              <w:spacing w:line="240" w:lineRule="auto"/>
              <w:jc w:val="both"/>
            </w:pPr>
            <w:r>
              <w:rPr>
                <w:sz w:val="17"/>
              </w:rPr>
              <w:t>Document the decision-maker, rationale, and scope approved.</w:t>
            </w:r>
          </w:p>
        </w:tc>
      </w:tr>
      <w:tr w:rsidR="00F761CE" w14:paraId="79302CD8" w14:textId="77777777" w:rsidTr="00FD2422">
        <w:trPr>
          <w:trHeight w:val="202"/>
        </w:trPr>
        <w:tc>
          <w:tcPr>
            <w:tcW w:w="1903" w:type="dxa"/>
          </w:tcPr>
          <w:p w14:paraId="31C85CE7" w14:textId="77777777" w:rsidR="00F761CE" w:rsidRDefault="00000000" w:rsidP="00FD2422">
            <w:pPr>
              <w:spacing w:line="240" w:lineRule="auto"/>
              <w:jc w:val="both"/>
            </w:pPr>
            <w:r>
              <w:rPr>
                <w:sz w:val="17"/>
              </w:rPr>
              <w:t>4. Prepare the record set</w:t>
            </w:r>
          </w:p>
        </w:tc>
        <w:tc>
          <w:tcPr>
            <w:tcW w:w="7106" w:type="dxa"/>
          </w:tcPr>
          <w:p w14:paraId="6EA0D9B7" w14:textId="77777777" w:rsidR="00F761CE" w:rsidRDefault="00000000" w:rsidP="00FD2422">
            <w:pPr>
              <w:spacing w:line="240" w:lineRule="auto"/>
              <w:jc w:val="both"/>
            </w:pPr>
            <w:r>
              <w:rPr>
                <w:sz w:val="17"/>
              </w:rPr>
              <w:t>Copy the approved materials without altering original files; retain metadata and identify the source record.</w:t>
            </w:r>
          </w:p>
        </w:tc>
        <w:tc>
          <w:tcPr>
            <w:tcW w:w="5095" w:type="dxa"/>
          </w:tcPr>
          <w:p w14:paraId="2BCD2C7B" w14:textId="77777777" w:rsidR="00F761CE" w:rsidRDefault="00000000" w:rsidP="00FD2422">
            <w:pPr>
              <w:spacing w:line="240" w:lineRule="auto"/>
              <w:jc w:val="both"/>
            </w:pPr>
            <w:r>
              <w:rPr>
                <w:sz w:val="17"/>
              </w:rPr>
              <w:t>Preserve originals; mark copies as certified or controlled where appropriate.</w:t>
            </w:r>
          </w:p>
        </w:tc>
      </w:tr>
      <w:tr w:rsidR="00F761CE" w14:paraId="0E112547" w14:textId="77777777" w:rsidTr="00FD2422">
        <w:trPr>
          <w:trHeight w:val="186"/>
        </w:trPr>
        <w:tc>
          <w:tcPr>
            <w:tcW w:w="1903" w:type="dxa"/>
          </w:tcPr>
          <w:p w14:paraId="48354338" w14:textId="77777777" w:rsidR="00F761CE" w:rsidRDefault="00000000" w:rsidP="00FD2422">
            <w:pPr>
              <w:spacing w:line="240" w:lineRule="auto"/>
              <w:jc w:val="both"/>
            </w:pPr>
            <w:r>
              <w:rPr>
                <w:sz w:val="17"/>
              </w:rPr>
              <w:t>5. Transfer securely</w:t>
            </w:r>
          </w:p>
        </w:tc>
        <w:tc>
          <w:tcPr>
            <w:tcW w:w="7106" w:type="dxa"/>
          </w:tcPr>
          <w:p w14:paraId="3E6092C9" w14:textId="77777777" w:rsidR="00F761CE" w:rsidRDefault="00000000" w:rsidP="00FD2422">
            <w:pPr>
              <w:spacing w:line="240" w:lineRule="auto"/>
              <w:jc w:val="both"/>
            </w:pPr>
            <w:r>
              <w:rPr>
                <w:sz w:val="17"/>
              </w:rPr>
              <w:t>Use the approved secure transfer method and record the recipient, date, time, and file list.</w:t>
            </w:r>
          </w:p>
        </w:tc>
        <w:tc>
          <w:tcPr>
            <w:tcW w:w="5095" w:type="dxa"/>
          </w:tcPr>
          <w:p w14:paraId="19EC01E3" w14:textId="77777777" w:rsidR="00F761CE" w:rsidRDefault="00000000" w:rsidP="00FD2422">
            <w:pPr>
              <w:spacing w:line="240" w:lineRule="auto"/>
              <w:jc w:val="both"/>
            </w:pPr>
            <w:r>
              <w:rPr>
                <w:sz w:val="17"/>
              </w:rPr>
              <w:t>Do not use personal devices or unencrypted informal channels.</w:t>
            </w:r>
          </w:p>
        </w:tc>
      </w:tr>
      <w:tr w:rsidR="00F761CE" w14:paraId="4F4AC4E4" w14:textId="77777777" w:rsidTr="00FD2422">
        <w:trPr>
          <w:trHeight w:val="404"/>
        </w:trPr>
        <w:tc>
          <w:tcPr>
            <w:tcW w:w="1903" w:type="dxa"/>
          </w:tcPr>
          <w:p w14:paraId="42CFD708" w14:textId="77777777" w:rsidR="00F761CE" w:rsidRDefault="00000000" w:rsidP="00FD2422">
            <w:pPr>
              <w:spacing w:line="240" w:lineRule="auto"/>
              <w:jc w:val="both"/>
            </w:pPr>
            <w:r>
              <w:rPr>
                <w:sz w:val="17"/>
              </w:rPr>
              <w:t>6. Refer for expert interpretation</w:t>
            </w:r>
          </w:p>
        </w:tc>
        <w:tc>
          <w:tcPr>
            <w:tcW w:w="7106" w:type="dxa"/>
          </w:tcPr>
          <w:p w14:paraId="3A791743" w14:textId="77777777" w:rsidR="00F761CE" w:rsidRDefault="00000000" w:rsidP="00FD2422">
            <w:pPr>
              <w:spacing w:line="240" w:lineRule="auto"/>
              <w:jc w:val="both"/>
            </w:pPr>
            <w:r>
              <w:rPr>
                <w:sz w:val="17"/>
              </w:rPr>
              <w:t>When an identification opinion is requested, refer the case to a qualified forensic dentist or recognised forensic service.</w:t>
            </w:r>
          </w:p>
        </w:tc>
        <w:tc>
          <w:tcPr>
            <w:tcW w:w="5095" w:type="dxa"/>
          </w:tcPr>
          <w:p w14:paraId="527E3882" w14:textId="77777777" w:rsidR="00F761CE" w:rsidRDefault="00000000" w:rsidP="00FD2422">
            <w:pPr>
              <w:spacing w:line="240" w:lineRule="auto"/>
              <w:jc w:val="both"/>
            </w:pPr>
            <w:r>
              <w:rPr>
                <w:sz w:val="17"/>
              </w:rPr>
              <w:t>Separate record release from forensic interpretation and expert testimony.</w:t>
            </w:r>
          </w:p>
        </w:tc>
      </w:tr>
    </w:tbl>
    <w:p w14:paraId="02704DBA" w14:textId="77777777" w:rsidR="00F761CE" w:rsidRDefault="00000000" w:rsidP="00FD2422">
      <w:pPr>
        <w:spacing w:before="60" w:line="240" w:lineRule="auto"/>
        <w:jc w:val="both"/>
      </w:pPr>
      <w:r>
        <w:rPr>
          <w:b/>
          <w:i/>
          <w:sz w:val="17"/>
        </w:rPr>
        <w:t xml:space="preserve">Note: </w:t>
      </w:r>
      <w:r>
        <w:rPr>
          <w:i/>
          <w:sz w:val="17"/>
        </w:rPr>
        <w:t>This pathway is a governance framework, not legal advice; hospitals must apply their own legal obligations and escalation procedures.</w:t>
      </w:r>
    </w:p>
    <w:sectPr w:rsidR="00F761CE">
      <w:footerReference w:type="default" r:id="rId9"/>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23B1" w14:textId="77777777" w:rsidR="00A011BE" w:rsidRDefault="00A011BE">
      <w:pPr>
        <w:spacing w:line="240" w:lineRule="auto"/>
      </w:pPr>
      <w:r>
        <w:separator/>
      </w:r>
    </w:p>
  </w:endnote>
  <w:endnote w:type="continuationSeparator" w:id="0">
    <w:p w14:paraId="5F6842E5" w14:textId="77777777" w:rsidR="00A011BE" w:rsidRDefault="00A01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4CE45" w14:textId="77777777" w:rsidR="00F761CE" w:rsidRDefault="00000000">
    <w:pPr>
      <w:spacing w:line="240" w:lineRule="auto"/>
      <w:jc w:val="center"/>
    </w:pPr>
    <w:r>
      <w:t xml:space="preserve">Page </w:t>
    </w:r>
    <w:r>
      <w:fldChar w:fldCharType="begin"/>
    </w:r>
    <w:r>
      <w:instrText xml:space="preserve"> PAGE </w:instrText>
    </w:r>
    <w:r w:rsidR="00FD2422">
      <w:fldChar w:fldCharType="separate"/>
    </w:r>
    <w:r w:rsidR="00FD242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22992" w14:textId="318222C0" w:rsidR="00F761CE" w:rsidRDefault="00000000">
    <w:pPr>
      <w:spacing w:line="240" w:lineRule="auto"/>
      <w:jc w:val="center"/>
    </w:pPr>
    <w:r>
      <w:t xml:space="preserve">Page </w:t>
    </w:r>
    <w:r>
      <w:fldChar w:fldCharType="begin"/>
    </w:r>
    <w:r>
      <w:instrText xml:space="preserve"> PAGE </w:instrText>
    </w:r>
    <w:r w:rsidR="00FD2422">
      <w:fldChar w:fldCharType="separate"/>
    </w:r>
    <w:r w:rsidR="00FD2422">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5D1BB" w14:textId="77777777" w:rsidR="00A011BE" w:rsidRDefault="00A011BE">
      <w:pPr>
        <w:spacing w:line="240" w:lineRule="auto"/>
      </w:pPr>
      <w:r>
        <w:separator/>
      </w:r>
    </w:p>
  </w:footnote>
  <w:footnote w:type="continuationSeparator" w:id="0">
    <w:p w14:paraId="51579FDD" w14:textId="77777777" w:rsidR="00A011BE" w:rsidRDefault="00A011B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868593">
    <w:abstractNumId w:val="8"/>
  </w:num>
  <w:num w:numId="2" w16cid:durableId="1514035286">
    <w:abstractNumId w:val="6"/>
  </w:num>
  <w:num w:numId="3" w16cid:durableId="538015313">
    <w:abstractNumId w:val="5"/>
  </w:num>
  <w:num w:numId="4" w16cid:durableId="1325938634">
    <w:abstractNumId w:val="4"/>
  </w:num>
  <w:num w:numId="5" w16cid:durableId="589461185">
    <w:abstractNumId w:val="7"/>
  </w:num>
  <w:num w:numId="6" w16cid:durableId="1342779837">
    <w:abstractNumId w:val="3"/>
  </w:num>
  <w:num w:numId="7" w16cid:durableId="1998729561">
    <w:abstractNumId w:val="2"/>
  </w:num>
  <w:num w:numId="8" w16cid:durableId="2126465571">
    <w:abstractNumId w:val="1"/>
  </w:num>
  <w:num w:numId="9" w16cid:durableId="38641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11BE"/>
    <w:rsid w:val="00AA1D8D"/>
    <w:rsid w:val="00B47730"/>
    <w:rsid w:val="00CB0664"/>
    <w:rsid w:val="00D405E2"/>
    <w:rsid w:val="00F761CE"/>
    <w:rsid w:val="00FC693F"/>
    <w:rsid w:val="00FD24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40AB3"/>
  <w14:defaultImageDpi w14:val="300"/>
  <w15:docId w15:val="{6D4292D1-EDA4-4E88-A844-5137C13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3527</Words>
  <Characters>20104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2013-12-23T23:15:00Z</dcterms:created>
  <dcterms:modified xsi:type="dcterms:W3CDTF">2026-06-26T07:52:00Z</dcterms:modified>
  <cp:category/>
</cp:coreProperties>
</file>