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624F0" w14:textId="77777777" w:rsidR="009E4EFC" w:rsidRDefault="00000000" w:rsidP="00334D50">
      <w:pPr>
        <w:spacing w:after="80"/>
        <w:jc w:val="both"/>
      </w:pPr>
      <w:r>
        <w:rPr>
          <w:b/>
        </w:rPr>
        <w:t>POSITION AND OPINION PAPER</w:t>
      </w:r>
    </w:p>
    <w:p w14:paraId="7E0402B2" w14:textId="77777777" w:rsidR="009E4EFC" w:rsidRDefault="00000000" w:rsidP="00334D50">
      <w:pPr>
        <w:spacing w:after="160"/>
        <w:jc w:val="both"/>
      </w:pPr>
      <w:r>
        <w:rPr>
          <w:b/>
        </w:rPr>
        <w:t>Hospital Governance for Forensic Odontology: Legal and Ethical Priorities in the Indonesian Context</w:t>
      </w:r>
    </w:p>
    <w:p w14:paraId="7F744C2B" w14:textId="77777777" w:rsidR="002035B9" w:rsidRDefault="002035B9" w:rsidP="00334D50">
      <w:pPr>
        <w:keepNext/>
        <w:spacing w:before="160" w:after="40"/>
        <w:jc w:val="both"/>
        <w:rPr>
          <w:b/>
        </w:rPr>
      </w:pPr>
    </w:p>
    <w:p w14:paraId="7AE85C00" w14:textId="56EA8EC7" w:rsidR="009E4EFC" w:rsidRDefault="00000000" w:rsidP="00334D50">
      <w:pPr>
        <w:keepNext/>
        <w:spacing w:before="160" w:after="40"/>
        <w:jc w:val="both"/>
      </w:pPr>
      <w:r>
        <w:rPr>
          <w:b/>
        </w:rPr>
        <w:t>ABSTRACT</w:t>
      </w:r>
    </w:p>
    <w:p w14:paraId="3F1E5739" w14:textId="77777777" w:rsidR="009E4EFC" w:rsidRDefault="00000000" w:rsidP="00334D50">
      <w:pPr>
        <w:spacing w:after="80"/>
        <w:jc w:val="both"/>
      </w:pPr>
      <w:r>
        <w:t>Hospital-based dental records can become critical evidence for identification, judicial inquiries, and disaster response. However, the availability of a record alone does not make its forensic use lawful, reliable, or ethically defensible. This position and opinion paper argues that forensic odontology should be governed as an institutional capability rather than as an ad hoc expert activity. Drawing on Indonesian health, medical-record, and personal-data-protection regulations, international disaster victim identification guidance, dental ethics policies, and literature on dental record management and hospital governance, the paper identifies seven priorities: a defined service mandate; competence and independence; standardized documentation; evidence integrity; lawful, proportionate disclosure; interagency coordination; and quality assurance. The central position is that hospitals must distinguish clinical care from forensic interpretation, preserve an auditable route for record release, and use credentialed forensic expertise when legal conclusions are required. These measures protect patient rights and privacy while strengthening the traceability and credibility of dental evidence. The proposed framework is adaptable to hospital capacity and can support routine medico-legal requests as well as mass-fatality preparedness.</w:t>
      </w:r>
    </w:p>
    <w:p w14:paraId="0A04FCDA" w14:textId="77777777" w:rsidR="009E4EFC" w:rsidRDefault="00000000" w:rsidP="00334D50">
      <w:pPr>
        <w:spacing w:after="40"/>
        <w:jc w:val="both"/>
      </w:pPr>
      <w:r>
        <w:rPr>
          <w:b/>
        </w:rPr>
        <w:t xml:space="preserve">Keywords: </w:t>
      </w:r>
      <w:r>
        <w:t>Forensic odontology; dental records; hospital governance; professional ethics; privacy</w:t>
      </w:r>
    </w:p>
    <w:p w14:paraId="1870EA4F" w14:textId="77777777" w:rsidR="00334D50" w:rsidRDefault="00334D50" w:rsidP="00334D50">
      <w:pPr>
        <w:keepNext/>
        <w:spacing w:before="160" w:after="40"/>
        <w:jc w:val="both"/>
        <w:rPr>
          <w:b/>
        </w:rPr>
      </w:pPr>
    </w:p>
    <w:p w14:paraId="7C64F42F" w14:textId="2E4E99D9" w:rsidR="009E4EFC" w:rsidRPr="00334D50" w:rsidRDefault="00000000" w:rsidP="00334D50">
      <w:pPr>
        <w:keepNext/>
        <w:spacing w:before="160" w:after="40"/>
        <w:jc w:val="both"/>
        <w:rPr>
          <w:b/>
        </w:rPr>
      </w:pPr>
      <w:r>
        <w:rPr>
          <w:b/>
        </w:rPr>
        <w:t>INTRODUCTION</w:t>
      </w:r>
    </w:p>
    <w:p w14:paraId="47F8A9BB" w14:textId="77777777" w:rsidR="009E4EFC" w:rsidRDefault="00000000" w:rsidP="00334D50">
      <w:pPr>
        <w:spacing w:after="80"/>
        <w:jc w:val="both"/>
      </w:pPr>
      <w:r>
        <w:t>Forensic odontology applies dental knowledge to questions arising in identification, investigation, and legal proceedings. Its established uses include antemortem-postmortem comparison, disaster victim identification, age estimation, assessment of oral injuries, and expert reporting.</w:t>
      </w:r>
      <w:r>
        <w:rPr>
          <w:vertAlign w:val="superscript"/>
        </w:rPr>
        <w:t>1,2</w:t>
      </w:r>
      <w:r>
        <w:t xml:space="preserve"> In mass-fatality settings, dental evidence is recognised internationally as one of the primary means of identification alongside friction-ridge analysis and DNA.</w:t>
      </w:r>
      <w:r>
        <w:rPr>
          <w:vertAlign w:val="superscript"/>
        </w:rPr>
        <w:t>2</w:t>
      </w:r>
    </w:p>
    <w:p w14:paraId="2994521D" w14:textId="77777777" w:rsidR="009E4EFC" w:rsidRDefault="00000000" w:rsidP="00334D50">
      <w:pPr>
        <w:spacing w:after="80"/>
        <w:jc w:val="both"/>
      </w:pPr>
      <w:r>
        <w:t>The hospital contribution is often less visible but equally important. Hospitals and dental services may hold clinical notes, odontograms, radiographs, treatment histories, and digital images that later become relevant to a medico-legal process. Dental information has forensic value only when it is complete, legible, retrievable, attributable to the correct patient, and protected from undocumented alteration. Surveys among dentists in Croatia and Pakistan have shown persistent gaps in record maintenance and forensic awareness.</w:t>
      </w:r>
      <w:r>
        <w:rPr>
          <w:vertAlign w:val="superscript"/>
        </w:rPr>
        <w:t>4,5</w:t>
      </w:r>
      <w:r>
        <w:t xml:space="preserve"> The move to electronic records increases availability but does not, by itself, ensure integrity, access control, traceability, or lawful disclosure.</w:t>
      </w:r>
      <w:r>
        <w:rPr>
          <w:vertAlign w:val="superscript"/>
        </w:rPr>
        <w:t>3</w:t>
      </w:r>
    </w:p>
    <w:p w14:paraId="3A1EDA95" w14:textId="77777777" w:rsidR="009E4EFC" w:rsidRDefault="00000000" w:rsidP="00334D50">
      <w:pPr>
        <w:spacing w:after="80"/>
        <w:jc w:val="both"/>
      </w:pPr>
      <w:r>
        <w:t xml:space="preserve">This paper advances the position that forensic odontology should be managed as a governed hospital capability rather than an intermittent request for expert assistance. The Indonesian regulatory context provides a focused illustration of how health law, medical-record rules, and personal-data protection can be translated into an operational </w:t>
      </w:r>
      <w:r>
        <w:lastRenderedPageBreak/>
        <w:t>framework. The proposed approach is relevant beyond Indonesia because the core issues - record provenance, privacy, professional independence, and accountability - recur wherever clinical dental information is used for forensic purposes.</w:t>
      </w:r>
    </w:p>
    <w:p w14:paraId="3B5C2697" w14:textId="77777777" w:rsidR="00334D50" w:rsidRDefault="00334D50" w:rsidP="00334D50">
      <w:pPr>
        <w:keepNext/>
        <w:spacing w:before="160" w:after="40"/>
        <w:jc w:val="both"/>
        <w:rPr>
          <w:b/>
        </w:rPr>
      </w:pPr>
    </w:p>
    <w:p w14:paraId="4CB45ADF" w14:textId="3ED98F53" w:rsidR="009E4EFC" w:rsidRDefault="00000000" w:rsidP="00334D50">
      <w:pPr>
        <w:keepNext/>
        <w:spacing w:before="160" w:after="40"/>
        <w:jc w:val="both"/>
      </w:pPr>
      <w:r>
        <w:rPr>
          <w:b/>
        </w:rPr>
        <w:t>METHODOLOGICAL APPROACH</w:t>
      </w:r>
    </w:p>
    <w:p w14:paraId="3E0F078F" w14:textId="77777777" w:rsidR="009E4EFC" w:rsidRDefault="00000000" w:rsidP="00334D50">
      <w:pPr>
        <w:spacing w:after="80"/>
        <w:jc w:val="both"/>
      </w:pPr>
      <w:r>
        <w:t>This is a position and opinion paper prepared through a purposive legal and ethical analysis; it is not a systematic, narrative, or descriptive review. The analysis considered Indonesian health, medical-record, and personal-data-protection legislation, international disaster victim identification and quality-management guidance, professional dental ethics policies, and peer-reviewed literature on dental records, digital forensic dentistry, and hospital governance.</w:t>
      </w:r>
      <w:r>
        <w:rPr>
          <w:vertAlign w:val="superscript"/>
        </w:rPr>
        <w:t>2-13</w:t>
      </w:r>
      <w:r>
        <w:t xml:space="preserve"> Sources were selected for their direct relevance to hospital-based forensic odontological practice, rather than to estimate pooled effects or report a formal study-selection flow.</w:t>
      </w:r>
    </w:p>
    <w:p w14:paraId="61A1DE07" w14:textId="77777777" w:rsidR="009E4EFC" w:rsidRDefault="00000000" w:rsidP="00334D50">
      <w:pPr>
        <w:spacing w:after="80"/>
        <w:jc w:val="both"/>
      </w:pPr>
      <w:r>
        <w:t>The materials were interpreted across seven practical domains: service mandate, professional competence and independence, dental documentation, evidence integrity, privacy and disclosure, interagency coordination, and quality assurance. The paper uses the Indonesian legal framework as an illustrative setting and does not assume that its statutory provisions apply in other jurisdictions. No artificial intelligence-assisted tool was used to identify, select, appraise, or interpret the legal or scientific sources.</w:t>
      </w:r>
    </w:p>
    <w:p w14:paraId="358C48FF" w14:textId="77777777" w:rsidR="00334D50" w:rsidRDefault="00334D50" w:rsidP="00334D50">
      <w:pPr>
        <w:keepNext/>
        <w:spacing w:before="160" w:after="40"/>
        <w:jc w:val="both"/>
        <w:rPr>
          <w:b/>
        </w:rPr>
      </w:pPr>
    </w:p>
    <w:p w14:paraId="19CF8DA9" w14:textId="5941349D" w:rsidR="009E4EFC" w:rsidRDefault="00000000" w:rsidP="00334D50">
      <w:pPr>
        <w:keepNext/>
        <w:spacing w:before="160" w:after="40"/>
        <w:jc w:val="both"/>
      </w:pPr>
      <w:r>
        <w:rPr>
          <w:b/>
        </w:rPr>
        <w:t>THE POSITION: HOSPITALS SHOULD TREAT DENTAL RECORDS AS FORENSIC-READY HEALTH INFORMATION</w:t>
      </w:r>
    </w:p>
    <w:p w14:paraId="4A7A3B13" w14:textId="77777777" w:rsidR="009E4EFC" w:rsidRDefault="00000000" w:rsidP="00334D50">
      <w:pPr>
        <w:spacing w:after="80"/>
        <w:jc w:val="both"/>
      </w:pPr>
      <w:r>
        <w:t>A dental record should not be regarded as clinically useful but forensically irrelevant. When an odontogram, radiograph, photograph, or treatment note is later requested for identification or legal inquiry, its evidentiary value depends on provenance. The record should establish patient identity, the care episode, the responsible clinician, and the date and time of entry. Images and digital files should remain linked to the same patient record, and corrections should be traceable rather than silently replacing an earlier entry. Incomplete charts, missing images, poor-quality scans, duplicate identifiers, or undocumented amendments can create uncertainty that is administrative in origin but consequential in a forensic comparison.</w:t>
      </w:r>
      <w:r>
        <w:rPr>
          <w:vertAlign w:val="superscript"/>
        </w:rPr>
        <w:t>4,5</w:t>
      </w:r>
    </w:p>
    <w:p w14:paraId="4E3927F6" w14:textId="77777777" w:rsidR="009E4EFC" w:rsidRDefault="00000000" w:rsidP="00334D50">
      <w:pPr>
        <w:spacing w:after="80"/>
        <w:jc w:val="both"/>
      </w:pPr>
      <w:r>
        <w:t>Indonesian Health Law and the regulation on medical records provide a foundation for this responsibility by positioning health information, medical records, confidentiality, and facility accountability within regulated health service delivery.</w:t>
      </w:r>
      <w:r>
        <w:rPr>
          <w:vertAlign w:val="superscript"/>
        </w:rPr>
        <w:t>6-8</w:t>
      </w:r>
      <w:r>
        <w:t xml:space="preserve"> These instruments do not create a separate forensic odontology unit, but they support an institutional expectation that clinically generated information be managed in a way that is reliable when a lawful forensic need arises. International disaster victim identification guidance reinforces this expectation through standardized antemortem and postmortem documentation and quality-managed case files.</w:t>
      </w:r>
      <w:r>
        <w:rPr>
          <w:vertAlign w:val="superscript"/>
        </w:rPr>
        <w:t>2,13</w:t>
      </w:r>
    </w:p>
    <w:p w14:paraId="01BEDCF7" w14:textId="77777777" w:rsidR="009E4EFC" w:rsidRDefault="00000000" w:rsidP="00334D50">
      <w:pPr>
        <w:spacing w:after="80"/>
        <w:jc w:val="both"/>
      </w:pPr>
      <w:r>
        <w:t xml:space="preserve">Evidence integrity also requires more than secure storage. Once a record is copied, exported, or transferred, the institution should be able to account for the source version, the person who authorised release, the recipient, the communication channel, and the documents or images transferred. A simple chain-of-custody log can reduce uncertainty </w:t>
      </w:r>
      <w:r>
        <w:lastRenderedPageBreak/>
        <w:t>about whether a forensic expert received the same information that was created during clinical care. Where a record is incomplete, the absence should be reported rather than inferred away. This preserves transparency and prevents administrative gaps from being mistaken for biological or forensic findings.</w:t>
      </w:r>
    </w:p>
    <w:p w14:paraId="6410C0BC" w14:textId="77777777" w:rsidR="00334D50" w:rsidRDefault="00334D50" w:rsidP="00334D50">
      <w:pPr>
        <w:keepNext/>
        <w:spacing w:before="160" w:after="40"/>
        <w:jc w:val="both"/>
        <w:rPr>
          <w:b/>
        </w:rPr>
      </w:pPr>
    </w:p>
    <w:p w14:paraId="122FA5FB" w14:textId="61D92FEF" w:rsidR="009E4EFC" w:rsidRDefault="00000000" w:rsidP="00334D50">
      <w:pPr>
        <w:keepNext/>
        <w:spacing w:before="160" w:after="40"/>
        <w:jc w:val="both"/>
      </w:pPr>
      <w:r>
        <w:rPr>
          <w:b/>
        </w:rPr>
        <w:t>LAWFUL DISCLOSURE SHOULD BE NECESSARY, PROPORTIONATE, AND TRACEABLE</w:t>
      </w:r>
    </w:p>
    <w:p w14:paraId="48FF5525" w14:textId="77777777" w:rsidR="009E4EFC" w:rsidRDefault="00000000" w:rsidP="00334D50">
      <w:pPr>
        <w:spacing w:after="80"/>
        <w:jc w:val="both"/>
      </w:pPr>
      <w:r>
        <w:t>Dental records contain health information and may include highly identifying images or notes. Their forensic use should therefore follow an authorised pathway rather than informal professional communication. Personal-data protection law and medical-record regulation require attention to confidentiality, controlled access, and accountable processing.</w:t>
      </w:r>
      <w:r>
        <w:rPr>
          <w:vertAlign w:val="superscript"/>
        </w:rPr>
        <w:t>8,9</w:t>
      </w:r>
      <w:r>
        <w:t xml:space="preserve"> A hospital should document the request, verify the authority of the requesting party, identify the legal basis for disclosure, release only the information needed for the stated purpose, record the recipient and material transferred, and retain an audit trail.</w:t>
      </w:r>
    </w:p>
    <w:p w14:paraId="06723773" w14:textId="77777777" w:rsidR="009E4EFC" w:rsidRDefault="00000000" w:rsidP="00334D50">
      <w:pPr>
        <w:spacing w:after="80"/>
        <w:jc w:val="both"/>
      </w:pPr>
      <w:r>
        <w:t>Consent remains important where it is required and feasible, but it is not the only legal basis that may apply in a medico-legal context. The central governance task is to distinguish routine clinical access from forensic access and to document why disclosure is permitted. This approach respects autonomy while also protecting beneficence, non-maleficence, and justice: it limits unnecessary exposure of sensitive information, reduces the risk of error or misuse, and helps ensure that similarly situated requests are handled consistently.</w:t>
      </w:r>
      <w:r>
        <w:rPr>
          <w:vertAlign w:val="superscript"/>
        </w:rPr>
        <w:t>10,11,15</w:t>
      </w:r>
    </w:p>
    <w:p w14:paraId="66C5E36F" w14:textId="77777777" w:rsidR="009E4EFC" w:rsidRDefault="00000000" w:rsidP="00334D50">
      <w:pPr>
        <w:spacing w:after="80"/>
        <w:jc w:val="both"/>
      </w:pPr>
      <w:r>
        <w:t>A practical disclosure pathway should identify at least four questions before release: Who is requesting the information? What authority or legal instrument supports the request? Which specific records are necessary for the defined purpose? How will the release be recorded and transmitted? This sequence helps prevent overly broad disclosure, particularly where an external party requests an entire clinical file although only a limited dental comparison is relevant. It also provides a defensible record of institutional decision-making if the release is later challenged.</w:t>
      </w:r>
    </w:p>
    <w:p w14:paraId="401CEEDE" w14:textId="77777777" w:rsidR="00334D50" w:rsidRDefault="00334D50" w:rsidP="00334D50">
      <w:pPr>
        <w:keepNext/>
        <w:spacing w:before="160" w:after="40"/>
        <w:jc w:val="both"/>
        <w:rPr>
          <w:b/>
        </w:rPr>
      </w:pPr>
    </w:p>
    <w:p w14:paraId="50B2FD0E" w14:textId="71BECF20" w:rsidR="009E4EFC" w:rsidRDefault="00000000" w:rsidP="00334D50">
      <w:pPr>
        <w:keepNext/>
        <w:spacing w:before="160" w:after="40"/>
        <w:jc w:val="both"/>
      </w:pPr>
      <w:r>
        <w:rPr>
          <w:b/>
        </w:rPr>
        <w:t>CLINICAL CARE AND FORENSIC INTERPRETATION SHOULD BE SEPARATED</w:t>
      </w:r>
    </w:p>
    <w:p w14:paraId="7DA2D2DB" w14:textId="77777777" w:rsidR="009E4EFC" w:rsidRDefault="00000000" w:rsidP="00334D50">
      <w:pPr>
        <w:spacing w:after="80"/>
        <w:jc w:val="both"/>
      </w:pPr>
      <w:r>
        <w:t>Treating dentists have duties of clinical care, confidentiality, and accurate factual documentation. A forensic odontologist, by contrast, may be asked to interpret records, compare antemortem and postmortem information, or provide an opinion for a legal authority. The roles can overlap, but they should not be conflated. A treating dentist may properly explain what is recorded in a chart; a legal conclusion requiring specialised forensic interpretation should be provided by a credentialed expert whose competence and potential conflicts are assessed openly.</w:t>
      </w:r>
    </w:p>
    <w:p w14:paraId="6A80146A" w14:textId="77777777" w:rsidR="009E4EFC" w:rsidRDefault="00000000" w:rsidP="00334D50">
      <w:pPr>
        <w:spacing w:after="80"/>
        <w:jc w:val="both"/>
      </w:pPr>
      <w:r>
        <w:t>This separation is particularly important in digital practice. Electronic records, imaging, three-dimensional data, and computational comparison tools can improve retrieval and analytic capability, but they can also amplify the consequences of unauthorised copying, uncontrolled dissemination, or overreliance on unvalidated outputs.</w:t>
      </w:r>
      <w:r>
        <w:rPr>
          <w:vertAlign w:val="superscript"/>
        </w:rPr>
        <w:t>3</w:t>
      </w:r>
      <w:r>
        <w:t xml:space="preserve"> Hospitals should not represent automated matching or image-analysis output as a conclusive forensic </w:t>
      </w:r>
      <w:r>
        <w:lastRenderedPageBreak/>
        <w:t>opinion without validated methods, human oversight, and transparent reporting of uncertainty.</w:t>
      </w:r>
    </w:p>
    <w:p w14:paraId="4E9C2643" w14:textId="77777777" w:rsidR="009E4EFC" w:rsidRDefault="00000000" w:rsidP="00334D50">
      <w:pPr>
        <w:spacing w:after="80"/>
        <w:jc w:val="both"/>
      </w:pPr>
      <w:r>
        <w:t>The forensic report should make its evidentiary boundaries visible. It should identify the material reviewed, the comparison method used, the observations made, the limits of the available records, and the meaning of the conclusion. Statements should not exceed the quality of the source data or the expertise of the author. This protects the court or requesting authority from overinterpretation and protects the expert from making an opinion beyond the defensible scope of the evidence.</w:t>
      </w:r>
    </w:p>
    <w:p w14:paraId="7A60CFDC" w14:textId="77777777" w:rsidR="00334D50" w:rsidRDefault="00334D50" w:rsidP="00334D50">
      <w:pPr>
        <w:keepNext/>
        <w:spacing w:before="160" w:after="40"/>
        <w:jc w:val="both"/>
        <w:rPr>
          <w:b/>
        </w:rPr>
      </w:pPr>
    </w:p>
    <w:p w14:paraId="5774A690" w14:textId="5B9B92EF" w:rsidR="009E4EFC" w:rsidRDefault="00000000" w:rsidP="00334D50">
      <w:pPr>
        <w:keepNext/>
        <w:spacing w:before="160" w:after="40"/>
        <w:jc w:val="both"/>
      </w:pPr>
      <w:r>
        <w:rPr>
          <w:b/>
        </w:rPr>
        <w:t>A PROPORTIONATE GOVERNANCE PATHWAY IS REQUIRED</w:t>
      </w:r>
    </w:p>
    <w:p w14:paraId="3126D46E" w14:textId="77777777" w:rsidR="009E4EFC" w:rsidRDefault="00000000" w:rsidP="00334D50">
      <w:pPr>
        <w:spacing w:after="80"/>
        <w:jc w:val="both"/>
      </w:pPr>
      <w:r>
        <w:t>Hospital governance concerns the structures, decision-making processes, and accountability mechanisms that support safe, lawful, and ethically responsible care. Accountability, defined roles, oversight, and responsiveness are central elements of effective governance.</w:t>
      </w:r>
      <w:r>
        <w:rPr>
          <w:vertAlign w:val="superscript"/>
        </w:rPr>
        <w:t>12</w:t>
      </w:r>
      <w:r>
        <w:t xml:space="preserve"> Forensic odontological preparedness therefore does not require every hospital to create a full forensic unit. It requires a proportionate pathway that specifies what the hospital can do, who may authorise access or release, when a forensic specialist must be consulted, and when referral to an external authority is necessary.</w:t>
      </w:r>
    </w:p>
    <w:p w14:paraId="39B04BF0" w14:textId="77777777" w:rsidR="009E4EFC" w:rsidRDefault="00000000" w:rsidP="00334D50">
      <w:pPr>
        <w:spacing w:after="80"/>
        <w:jc w:val="both"/>
      </w:pPr>
      <w:r>
        <w:t>Table 1 outlines seven minimum governance requirements. The framework is deliberately practical. It combines a written service mandate, credentialed expertise, robust dental documentation, evidence-integrity controls, privacy safeguards, interagency communication, and continuous quality assurance. It also recognises that a hospital must coordinate dental clinicians, medical-record personnel, legal services, ethics representatives, information-technology teams, and emergency planners rather than placing the burden on a single clinician.</w:t>
      </w:r>
    </w:p>
    <w:p w14:paraId="3B5E1712" w14:textId="77777777" w:rsidR="009E4EFC" w:rsidRDefault="00000000" w:rsidP="00334D50">
      <w:pPr>
        <w:spacing w:after="80"/>
        <w:jc w:val="both"/>
      </w:pPr>
      <w:r>
        <w:t>The intensity of implementation should be matched to the institution’s capability. A tertiary hospital with a dental school or forensic partner may maintain a dedicated liaison and regular simulation programme. A smaller hospital may focus on high-quality recordkeeping, an internal decision route for lawful release, and a documented referral mechanism. What should not vary is the expectation that the hospital can account for its records, its access decisions, and the limits of its own forensic competence.</w:t>
      </w:r>
    </w:p>
    <w:p w14:paraId="1856CA5C" w14:textId="77777777" w:rsidR="00334D50" w:rsidRDefault="00334D50" w:rsidP="00334D50">
      <w:pPr>
        <w:keepNext/>
        <w:spacing w:before="160" w:after="40"/>
        <w:jc w:val="both"/>
        <w:rPr>
          <w:b/>
        </w:rPr>
      </w:pPr>
    </w:p>
    <w:p w14:paraId="23A7E20F" w14:textId="31049863" w:rsidR="009E4EFC" w:rsidRDefault="00000000" w:rsidP="00334D50">
      <w:pPr>
        <w:keepNext/>
        <w:spacing w:before="160" w:after="40"/>
        <w:jc w:val="both"/>
      </w:pPr>
      <w:r>
        <w:rPr>
          <w:b/>
        </w:rPr>
        <w:t>IMPLEMENTATION IMPLICATIONS</w:t>
      </w:r>
    </w:p>
    <w:p w14:paraId="7A982F17" w14:textId="77777777" w:rsidR="009E4EFC" w:rsidRDefault="00000000" w:rsidP="00334D50">
      <w:pPr>
        <w:spacing w:after="80"/>
        <w:jc w:val="both"/>
      </w:pPr>
      <w:r>
        <w:t>Implementation should begin with a concise policy that describes the activation pathway for requests involving dental records or forensic consultation. The policy should define minimum documentation standards for odontograms, radiographs, photographs, amendments, and retention; establish a secure route for receiving and releasing information; identify a legal or records-management liaison; and maintain a referral list of credentialed forensic odontologists. In hospitals with dental departments, periodic documentation audits can identify problems before an external request occurs.</w:t>
      </w:r>
    </w:p>
    <w:p w14:paraId="3B5376CC" w14:textId="77777777" w:rsidR="009E4EFC" w:rsidRDefault="00000000" w:rsidP="00334D50">
      <w:pPr>
        <w:spacing w:after="80"/>
        <w:jc w:val="both"/>
      </w:pPr>
      <w:r>
        <w:t xml:space="preserve">Training should involve the people who create and manage the underlying information as well as those who interpret it. Dental personnel need to understand why accurate charting and image labelling matter beyond immediate clinical care. Records and </w:t>
      </w:r>
      <w:r>
        <w:lastRenderedPageBreak/>
        <w:t>information-technology teams need to recognise the sensitivity of dental data and the importance of access logs. Legal and administrative staff need to understand that urgency does not justify informal disclosure. Tabletop exercises based on a court request, missing-person inquiry, or mass-casualty incident can test whether the pathway works in practice.</w:t>
      </w:r>
      <w:r>
        <w:rPr>
          <w:vertAlign w:val="superscript"/>
        </w:rPr>
        <w:t>2,13</w:t>
      </w:r>
    </w:p>
    <w:p w14:paraId="0C014A40" w14:textId="77777777" w:rsidR="009E4EFC" w:rsidRDefault="00000000" w:rsidP="00334D50">
      <w:pPr>
        <w:spacing w:after="80"/>
        <w:jc w:val="both"/>
      </w:pPr>
      <w:r>
        <w:t>The framework should be reviewed after use. A case review can assess whether the request was authorised, whether the record was complete, whether transfer was secure, whether the expert opinion was within the expert’s competence, and whether any ethical concern emerged. This feedback loop allows hospitals to improve their procedures without compromising the independence of an individual forensic conclusion.</w:t>
      </w:r>
    </w:p>
    <w:p w14:paraId="288A406F" w14:textId="77777777" w:rsidR="009E4EFC" w:rsidRDefault="00000000" w:rsidP="00334D50">
      <w:pPr>
        <w:spacing w:after="80"/>
        <w:jc w:val="both"/>
      </w:pPr>
      <w:r>
        <w:t>Useful quality indicators do not need to be complex. Hospitals can monitor the percentage of dental records with complete identifiers and imaging labels, the time required to retrieve a requested record, the proportion of disclosures with a documented legal basis, the number of staff completing relevant training, and the corrective actions arising from audits or simulations. These measures turn general commitments to accountability into observable organisational practice.</w:t>
      </w:r>
    </w:p>
    <w:p w14:paraId="49CD1496" w14:textId="77777777" w:rsidR="00334D50" w:rsidRDefault="00334D50" w:rsidP="00334D50">
      <w:pPr>
        <w:keepNext/>
        <w:spacing w:before="160" w:after="40"/>
        <w:jc w:val="both"/>
        <w:rPr>
          <w:b/>
        </w:rPr>
      </w:pPr>
    </w:p>
    <w:p w14:paraId="5AD6AB3A" w14:textId="549DEE55" w:rsidR="009E4EFC" w:rsidRDefault="00000000" w:rsidP="00334D50">
      <w:pPr>
        <w:keepNext/>
        <w:spacing w:before="160" w:after="40"/>
        <w:jc w:val="both"/>
      </w:pPr>
      <w:r>
        <w:rPr>
          <w:b/>
        </w:rPr>
        <w:t>LIMITATIONS</w:t>
      </w:r>
    </w:p>
    <w:p w14:paraId="7873C627" w14:textId="77777777" w:rsidR="009E4EFC" w:rsidRDefault="00000000" w:rsidP="00334D50">
      <w:pPr>
        <w:spacing w:after="80"/>
        <w:jc w:val="both"/>
      </w:pPr>
      <w:r>
        <w:t>This paper is a normative position and opinion analysis, not a systematic review or an empirical assessment of hospital readiness. It does not measure the prevalence of record deficiencies, compare institutional policies, or evaluate the cost and feasibility of implementation. The Indonesian legal discussion is illustrative and must be adapted to the applicable law, institutional capacity, and authority of forensic and law-enforcement bodies in each setting. Nevertheless, the underlying proposition remains applicable: technical dental expertise alone is insufficient when evidence is created, stored, disclosed, and interpreted within a hospital system.</w:t>
      </w:r>
    </w:p>
    <w:p w14:paraId="70168B55" w14:textId="77777777" w:rsidR="00334D50" w:rsidRDefault="00334D50" w:rsidP="00334D50">
      <w:pPr>
        <w:keepNext/>
        <w:spacing w:before="160" w:after="40"/>
        <w:jc w:val="both"/>
        <w:rPr>
          <w:b/>
        </w:rPr>
      </w:pPr>
    </w:p>
    <w:p w14:paraId="0C85D090" w14:textId="50BFFB3F" w:rsidR="009E4EFC" w:rsidRDefault="00000000" w:rsidP="00334D50">
      <w:pPr>
        <w:keepNext/>
        <w:spacing w:before="160" w:after="40"/>
        <w:jc w:val="both"/>
      </w:pPr>
      <w:r>
        <w:rPr>
          <w:b/>
        </w:rPr>
        <w:t>CONCLUSION</w:t>
      </w:r>
    </w:p>
    <w:p w14:paraId="049EEAAD" w14:textId="77777777" w:rsidR="009E4EFC" w:rsidRDefault="00000000" w:rsidP="00334D50">
      <w:pPr>
        <w:spacing w:after="80"/>
        <w:jc w:val="both"/>
      </w:pPr>
      <w:r>
        <w:t>Forensic odontology can support hospital preparedness, medico-legal services, and disaster response when dental information is managed as part of an accountable health-information system. Hospitals should adopt a proportionate governance model built on reliable documentation, authorised and traceable access, separation of clinical and forensic roles, secure information transfer, multidisciplinary coordination, and quality review. Such a model strengthens the credibility of dental evidence while protecting patient rights, privacy, professional independence, and institutional accountability.</w:t>
      </w:r>
    </w:p>
    <w:p w14:paraId="1DC1A64C" w14:textId="77777777" w:rsidR="00334D50" w:rsidRDefault="00334D50" w:rsidP="00334D50">
      <w:pPr>
        <w:keepNext/>
        <w:spacing w:before="160" w:after="40"/>
        <w:jc w:val="both"/>
        <w:rPr>
          <w:b/>
          <w:i/>
        </w:rPr>
      </w:pPr>
    </w:p>
    <w:p w14:paraId="5F9D9177" w14:textId="2BEC27DA" w:rsidR="009E4EFC" w:rsidRDefault="00000000" w:rsidP="00334D50">
      <w:pPr>
        <w:keepNext/>
        <w:spacing w:before="160" w:after="40"/>
        <w:jc w:val="both"/>
      </w:pPr>
      <w:r>
        <w:rPr>
          <w:b/>
          <w:i/>
        </w:rPr>
        <w:t>ACKNOWLEDGMENTS</w:t>
      </w:r>
    </w:p>
    <w:p w14:paraId="3AE258EC" w14:textId="77777777" w:rsidR="009E4EFC" w:rsidRDefault="00000000" w:rsidP="00334D50">
      <w:pPr>
        <w:spacing w:after="80"/>
        <w:jc w:val="both"/>
      </w:pPr>
      <w:r>
        <w:t xml:space="preserve">During manuscript preparation, ChatGPT (OpenAI; GPT-5.5 Thinking; accessed 27 June 2026) was used only for language editing and formatting support. It was not used </w:t>
      </w:r>
      <w:r>
        <w:lastRenderedPageBreak/>
        <w:t>to identify, select, appraise, or interpret the legal or scientific sources. All authors reviewed the final manuscript and accept full responsibility for its content.</w:t>
      </w:r>
    </w:p>
    <w:p w14:paraId="35D3A328" w14:textId="77777777" w:rsidR="00334D50" w:rsidRDefault="00334D50" w:rsidP="00334D50">
      <w:pPr>
        <w:keepNext/>
        <w:spacing w:before="160" w:after="40"/>
        <w:jc w:val="both"/>
        <w:rPr>
          <w:b/>
        </w:rPr>
      </w:pPr>
    </w:p>
    <w:p w14:paraId="187A35A5" w14:textId="29156BC1" w:rsidR="009E4EFC" w:rsidRDefault="00000000" w:rsidP="00334D50">
      <w:pPr>
        <w:keepNext/>
        <w:spacing w:before="160" w:after="40"/>
        <w:jc w:val="both"/>
      </w:pPr>
      <w:r>
        <w:rPr>
          <w:b/>
        </w:rPr>
        <w:t>ETHICAL APPROVAL</w:t>
      </w:r>
    </w:p>
    <w:p w14:paraId="2368C19A" w14:textId="77777777" w:rsidR="009E4EFC" w:rsidRDefault="00000000" w:rsidP="00334D50">
      <w:pPr>
        <w:spacing w:after="80"/>
        <w:jc w:val="both"/>
      </w:pPr>
      <w:r>
        <w:t>Not required. This position and opinion paper used only publicly available laws, policy documents, and published literature. It did not involve human participants, human materials, identifiable personal data, or animals.</w:t>
      </w:r>
    </w:p>
    <w:p w14:paraId="593B4713" w14:textId="77777777" w:rsidR="00334D50" w:rsidRDefault="00334D50" w:rsidP="00334D50">
      <w:pPr>
        <w:keepNext/>
        <w:spacing w:before="160" w:after="40"/>
        <w:jc w:val="both"/>
        <w:rPr>
          <w:b/>
        </w:rPr>
      </w:pPr>
    </w:p>
    <w:p w14:paraId="04D7EF70" w14:textId="1326F96B" w:rsidR="009E4EFC" w:rsidRDefault="00000000" w:rsidP="00334D50">
      <w:pPr>
        <w:keepNext/>
        <w:spacing w:before="160" w:after="40"/>
        <w:jc w:val="both"/>
      </w:pPr>
      <w:r>
        <w:rPr>
          <w:b/>
        </w:rPr>
        <w:t>INFORMED CONSENT</w:t>
      </w:r>
    </w:p>
    <w:p w14:paraId="6B0961E5" w14:textId="77777777" w:rsidR="009E4EFC" w:rsidRDefault="00000000" w:rsidP="00334D50">
      <w:pPr>
        <w:spacing w:after="80"/>
        <w:jc w:val="both"/>
      </w:pPr>
      <w:r>
        <w:t>Not applicable.</w:t>
      </w:r>
    </w:p>
    <w:p w14:paraId="7C56605D" w14:textId="77777777" w:rsidR="00334D50" w:rsidRDefault="00334D50" w:rsidP="00334D50">
      <w:pPr>
        <w:keepNext/>
        <w:spacing w:before="160" w:after="40"/>
        <w:jc w:val="both"/>
        <w:rPr>
          <w:b/>
        </w:rPr>
      </w:pPr>
    </w:p>
    <w:p w14:paraId="61FD6F99" w14:textId="67B09523" w:rsidR="009E4EFC" w:rsidRDefault="00000000" w:rsidP="00334D50">
      <w:pPr>
        <w:keepNext/>
        <w:spacing w:before="160" w:after="40"/>
        <w:jc w:val="both"/>
      </w:pPr>
      <w:r>
        <w:rPr>
          <w:b/>
        </w:rPr>
        <w:t>FUNDING</w:t>
      </w:r>
    </w:p>
    <w:p w14:paraId="52AF1F84" w14:textId="18BBCB45" w:rsidR="009E4EFC" w:rsidRDefault="00000000" w:rsidP="00334D50">
      <w:pPr>
        <w:spacing w:after="80"/>
        <w:jc w:val="both"/>
      </w:pPr>
      <w:r>
        <w:t>No external funding was received for this work.</w:t>
      </w:r>
    </w:p>
    <w:p w14:paraId="061536EC" w14:textId="77777777" w:rsidR="00334D50" w:rsidRDefault="00334D50" w:rsidP="00334D50">
      <w:pPr>
        <w:keepNext/>
        <w:spacing w:before="160" w:after="40"/>
        <w:jc w:val="both"/>
        <w:rPr>
          <w:b/>
        </w:rPr>
      </w:pPr>
    </w:p>
    <w:p w14:paraId="2358EA1D" w14:textId="65479468" w:rsidR="009E4EFC" w:rsidRDefault="00000000" w:rsidP="00334D50">
      <w:pPr>
        <w:keepNext/>
        <w:spacing w:before="160" w:after="40"/>
        <w:jc w:val="both"/>
      </w:pPr>
      <w:r>
        <w:rPr>
          <w:b/>
        </w:rPr>
        <w:t>CONFLICT OF INTEREST</w:t>
      </w:r>
    </w:p>
    <w:p w14:paraId="251A283D" w14:textId="77777777" w:rsidR="009E4EFC" w:rsidRDefault="00000000" w:rsidP="00334D50">
      <w:pPr>
        <w:spacing w:after="80"/>
        <w:jc w:val="both"/>
      </w:pPr>
      <w:r>
        <w:t>The authors declare no financial or non-financial conflicts of interest.</w:t>
      </w:r>
    </w:p>
    <w:p w14:paraId="5651AAE7" w14:textId="77777777" w:rsidR="00334D50" w:rsidRDefault="00334D50" w:rsidP="00334D50">
      <w:pPr>
        <w:keepNext/>
        <w:spacing w:before="160" w:after="40"/>
        <w:jc w:val="both"/>
        <w:rPr>
          <w:b/>
        </w:rPr>
      </w:pPr>
    </w:p>
    <w:p w14:paraId="77866D7F" w14:textId="76E8A6BD" w:rsidR="009E4EFC" w:rsidRDefault="00000000" w:rsidP="00334D50">
      <w:pPr>
        <w:keepNext/>
        <w:spacing w:before="160" w:after="40"/>
        <w:jc w:val="both"/>
      </w:pPr>
      <w:r>
        <w:rPr>
          <w:b/>
        </w:rPr>
        <w:t>DATA AVAILABILITY</w:t>
      </w:r>
    </w:p>
    <w:p w14:paraId="7B2389F5" w14:textId="77777777" w:rsidR="009E4EFC" w:rsidRDefault="00000000" w:rsidP="00334D50">
      <w:pPr>
        <w:spacing w:after="80"/>
        <w:jc w:val="both"/>
      </w:pPr>
      <w:r>
        <w:t>No primary dataset was generated or analysed. All materials discussed in this paper are available through the cited legislation, institutional guidance, and published literature.</w:t>
      </w:r>
    </w:p>
    <w:p w14:paraId="6E70509C" w14:textId="77777777" w:rsidR="00334D50" w:rsidRDefault="00334D50" w:rsidP="00334D50">
      <w:pPr>
        <w:keepNext/>
        <w:spacing w:before="160" w:after="40"/>
        <w:jc w:val="both"/>
        <w:rPr>
          <w:b/>
        </w:rPr>
      </w:pPr>
    </w:p>
    <w:p w14:paraId="1D7080B4" w14:textId="16163EB5" w:rsidR="009E4EFC" w:rsidRDefault="00000000" w:rsidP="00334D50">
      <w:pPr>
        <w:keepNext/>
        <w:spacing w:before="160" w:after="40"/>
        <w:jc w:val="both"/>
      </w:pPr>
      <w:r>
        <w:rPr>
          <w:b/>
        </w:rPr>
        <w:t>REFERENCES</w:t>
      </w:r>
    </w:p>
    <w:p w14:paraId="0006473F" w14:textId="77777777" w:rsidR="009E4EFC" w:rsidRDefault="00000000" w:rsidP="00334D50">
      <w:pPr>
        <w:ind w:left="403" w:hanging="403"/>
        <w:jc w:val="both"/>
      </w:pPr>
      <w:r>
        <w:t>1. David TJ, Lewis JM. Forensic Odontology: Principles and Practice. Amsterdam: Elsevier; 2018.</w:t>
      </w:r>
    </w:p>
    <w:p w14:paraId="0BE7E4CD" w14:textId="77777777" w:rsidR="009E4EFC" w:rsidRDefault="00000000" w:rsidP="00334D50">
      <w:pPr>
        <w:ind w:left="403" w:hanging="403"/>
        <w:jc w:val="both"/>
      </w:pPr>
      <w:r>
        <w:t>2. International Criminal Police Organization. Disaster Victim Identification Guide [Internet]. Lyon: INTERPOL; 2023 [cited 2026 Jun 27]. Available from: https://www.interpol.int/content/download/589/file/DVI_DVI%20Guide%202023.pdf</w:t>
      </w:r>
    </w:p>
    <w:p w14:paraId="5A4146B1" w14:textId="77777777" w:rsidR="009E4EFC" w:rsidRDefault="00000000" w:rsidP="00334D50">
      <w:pPr>
        <w:ind w:left="403" w:hanging="403"/>
        <w:jc w:val="both"/>
      </w:pPr>
      <w:r>
        <w:t>3. Radu CC, Hogea T, Carașca C, Radu CM. Forensic odontology in the digital era: a narrative review of current methods and emerging trends. Diagnostics (Basel). 2025;15(20):2550. doi:10.3390/diagnostics15202550.</w:t>
      </w:r>
    </w:p>
    <w:p w14:paraId="1541E0F8" w14:textId="77777777" w:rsidR="009E4EFC" w:rsidRDefault="00000000" w:rsidP="00334D50">
      <w:pPr>
        <w:ind w:left="403" w:hanging="403"/>
        <w:jc w:val="both"/>
      </w:pPr>
      <w:r>
        <w:t>4. Savić Pavičin I, Jonjić A, Maretić I, Dumančić J, Zymber Çeshko A. Maintenance of dental records and forensic odontology awareness: a survey of Croatian dentists with implications for dental education. Dent J (Basel). 2021;9(4):37. doi:10.3390/dj9040037.</w:t>
      </w:r>
    </w:p>
    <w:p w14:paraId="1B60443E" w14:textId="77777777" w:rsidR="009E4EFC" w:rsidRDefault="00000000" w:rsidP="00334D50">
      <w:pPr>
        <w:ind w:left="403" w:hanging="403"/>
        <w:jc w:val="both"/>
      </w:pPr>
      <w:r>
        <w:t>5. Baqai HS, Zaidi SJA, Baig QA, Bashir MB, Anwar M, Ansari AS. Maintenance of dental records and awareness of forensic odontology among Pakistani dentists: a mixed-method study with implications for dental data repository. BMC Oral Health. 2023;23:783. doi:10.1186/s12903-023-03500-2.</w:t>
      </w:r>
    </w:p>
    <w:p w14:paraId="5726B033" w14:textId="77777777" w:rsidR="009E4EFC" w:rsidRDefault="00000000" w:rsidP="00334D50">
      <w:pPr>
        <w:ind w:left="403" w:hanging="403"/>
        <w:jc w:val="both"/>
      </w:pPr>
      <w:r>
        <w:lastRenderedPageBreak/>
        <w:t>6. Republic of Indonesia. Law of the Republic of Indonesia No. 17 of 2023 on Health [Internet]. Jakarta: Government of Indonesia; 2023 [cited 2026 Jun 27]. Available from: https://jdih.kemkes.go.id/documents/law-of-the-republic-of-indonesia-number-17-of-2023</w:t>
      </w:r>
    </w:p>
    <w:p w14:paraId="02427EC8" w14:textId="77777777" w:rsidR="009E4EFC" w:rsidRDefault="00000000" w:rsidP="00334D50">
      <w:pPr>
        <w:ind w:left="403" w:hanging="403"/>
        <w:jc w:val="both"/>
      </w:pPr>
      <w:r>
        <w:t>7. Republic of Indonesia. Government Regulation No. 28 of 2024 concerning Implementing Regulation of Law No. 17 of 2023 on Health [Internet]. Jakarta: Government of Indonesia; 2024 [cited 2026 Jun 27]. Available from: https://peraturan.bpk.go.id/Details/294077/pp-no-28-tahun-2024</w:t>
      </w:r>
    </w:p>
    <w:p w14:paraId="4C06617F" w14:textId="77777777" w:rsidR="009E4EFC" w:rsidRDefault="00000000" w:rsidP="00334D50">
      <w:pPr>
        <w:ind w:left="403" w:hanging="403"/>
        <w:jc w:val="both"/>
      </w:pPr>
      <w:r>
        <w:t>8. Ministry of Health of the Republic of Indonesia. Regulation of the Minister of Health No. 24 of 2022 concerning Medical Records [Internet]. Jakarta: Ministry of Health; 2022 [cited 2026 Jun 27]. Available from: https://jdih.kemkes.go.id/documents/peraturan-menteri-kesehatan-nomor-24-tahun-2022</w:t>
      </w:r>
    </w:p>
    <w:p w14:paraId="2BD730BD" w14:textId="77777777" w:rsidR="009E4EFC" w:rsidRDefault="00000000" w:rsidP="00334D50">
      <w:pPr>
        <w:ind w:left="403" w:hanging="403"/>
        <w:jc w:val="both"/>
      </w:pPr>
      <w:r>
        <w:t>9. Republic of Indonesia. Law of the Republic of Indonesia No. 27 of 2022 concerning Personal Data Protection [Internet]. Jakarta: Government of Indonesia; 2022 [cited 2026 Jun 27]. Available from: https://peraturan.bpk.go.id/Details/229798/uu-no-27-tahun-2022</w:t>
      </w:r>
    </w:p>
    <w:p w14:paraId="797586D7" w14:textId="77777777" w:rsidR="009E4EFC" w:rsidRDefault="00000000" w:rsidP="00334D50">
      <w:pPr>
        <w:ind w:left="403" w:hanging="403"/>
        <w:jc w:val="both"/>
      </w:pPr>
      <w:r>
        <w:t>10. FDI World Dental Federation. Ethics in Dentistry [Internet]. Geneva: FDI World Dental Federation; 2024 [cited 2026 Jun 27]. Available from: https://www.fdiworlddental.org/sites/default/files/2024-11/DPS4-Ethics-in-Dentistry.pdf</w:t>
      </w:r>
    </w:p>
    <w:p w14:paraId="2CC2F18C" w14:textId="77777777" w:rsidR="009E4EFC" w:rsidRDefault="00000000" w:rsidP="00334D50">
      <w:pPr>
        <w:ind w:left="403" w:hanging="403"/>
        <w:jc w:val="both"/>
      </w:pPr>
      <w:r>
        <w:t>11. Beauchamp TL, Childress JF. Principles of Biomedical Ethics. 8th ed. New York: Oxford University Press; 2019.</w:t>
      </w:r>
    </w:p>
    <w:p w14:paraId="4DB9630C" w14:textId="77777777" w:rsidR="009E4EFC" w:rsidRDefault="00000000" w:rsidP="00334D50">
      <w:pPr>
        <w:ind w:left="403" w:hanging="403"/>
        <w:jc w:val="both"/>
      </w:pPr>
      <w:r>
        <w:t>12. Jalilvand MA, Raeisi AR, Shaarbafchizadeh N. Hospital governance accountability structure: a scoping review. BMC Health Serv Res. 2024;24:47. doi:10.1186/s12913-023-10135-0.</w:t>
      </w:r>
    </w:p>
    <w:p w14:paraId="5C199F5F" w14:textId="77777777" w:rsidR="009E4EFC" w:rsidRDefault="00000000" w:rsidP="00334D50">
      <w:pPr>
        <w:ind w:left="403" w:hanging="403"/>
        <w:jc w:val="both"/>
      </w:pPr>
      <w:r>
        <w:t>13. International Criminal Police Organization. DVI Quality Management Guidelines [Internet]. Lyon: INTERPOL; 2018 [cited 2026 Jun 27]. Available from: https://www.interpol.int/content/download/587/file/DVI%20Quality%20Management%20Guidelines.pdf</w:t>
      </w:r>
    </w:p>
    <w:p w14:paraId="5E03DB72" w14:textId="77777777" w:rsidR="009E4EFC" w:rsidRDefault="00000000" w:rsidP="00334D50">
      <w:pPr>
        <w:ind w:left="403" w:hanging="403"/>
        <w:jc w:val="both"/>
      </w:pPr>
      <w:r>
        <w:t>14. World Medical Association. Declaration of Helsinki: ethical principles for medical research involving human participants [Internet]. Ferney-Voltaire: World Medical Association; 2024 [cited 2026 Jun 27]. Available from: https://www.wma.net/policies-post/wma-declaration-of-helsinki/</w:t>
      </w:r>
    </w:p>
    <w:p w14:paraId="55069FBF" w14:textId="77777777" w:rsidR="009E4EFC" w:rsidRDefault="00000000" w:rsidP="00334D50">
      <w:pPr>
        <w:ind w:left="403" w:hanging="403"/>
        <w:jc w:val="both"/>
      </w:pPr>
      <w:r>
        <w:t>15. FDI World Dental Federation. Basic rights and responsibilities of dental patients [Internet]. Geneva: FDI World Dental Federation; 2018 [cited 2026 Jun 27]. Available from: https://www.fdiworlddental.org/sites/default/files/2020-11/fdi_world_dental_federation_-_basic_rights_and_responsibilities_of_dental_patients_-_2018-06-15.pdf</w:t>
      </w:r>
    </w:p>
    <w:p w14:paraId="7A2B3B79" w14:textId="77777777" w:rsidR="009E4EFC" w:rsidRDefault="00000000" w:rsidP="00334D50">
      <w:pPr>
        <w:jc w:val="both"/>
      </w:pPr>
      <w:r>
        <w:br w:type="page"/>
      </w:r>
    </w:p>
    <w:p w14:paraId="67959009" w14:textId="77777777" w:rsidR="009E4EFC" w:rsidRDefault="00000000" w:rsidP="00334D50">
      <w:pPr>
        <w:keepNext/>
        <w:spacing w:before="160" w:after="40"/>
        <w:jc w:val="both"/>
      </w:pPr>
      <w:r>
        <w:rPr>
          <w:b/>
        </w:rPr>
        <w:lastRenderedPageBreak/>
        <w:t>TABLE 1. MINIMUM GOVERNANCE REQUIREMENTS FOR HOSPITAL-BASED FORENSIC ODONTOLOGY</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7"/>
        <w:gridCol w:w="5491"/>
      </w:tblGrid>
      <w:tr w:rsidR="009E4EFC" w14:paraId="14D36683" w14:textId="77777777" w:rsidTr="002035B9">
        <w:tc>
          <w:tcPr>
            <w:tcW w:w="3977" w:type="dxa"/>
            <w:tcBorders>
              <w:bottom w:val="single" w:sz="4" w:space="0" w:color="auto"/>
            </w:tcBorders>
          </w:tcPr>
          <w:p w14:paraId="6FC38581" w14:textId="77777777" w:rsidR="009E4EFC" w:rsidRDefault="00000000" w:rsidP="00334D50">
            <w:pPr>
              <w:jc w:val="both"/>
            </w:pPr>
            <w:r>
              <w:rPr>
                <w:b/>
              </w:rPr>
              <w:t>Governance domain</w:t>
            </w:r>
          </w:p>
        </w:tc>
        <w:tc>
          <w:tcPr>
            <w:tcW w:w="5491" w:type="dxa"/>
            <w:tcBorders>
              <w:bottom w:val="single" w:sz="4" w:space="0" w:color="auto"/>
            </w:tcBorders>
          </w:tcPr>
          <w:p w14:paraId="3AE596B5" w14:textId="77777777" w:rsidR="009E4EFC" w:rsidRDefault="00000000" w:rsidP="00334D50">
            <w:pPr>
              <w:jc w:val="both"/>
            </w:pPr>
            <w:r>
              <w:rPr>
                <w:b/>
              </w:rPr>
              <w:t>Minimum hospital requirement</w:t>
            </w:r>
          </w:p>
        </w:tc>
      </w:tr>
      <w:tr w:rsidR="009E4EFC" w14:paraId="360DE357" w14:textId="77777777" w:rsidTr="002035B9">
        <w:tc>
          <w:tcPr>
            <w:tcW w:w="3977" w:type="dxa"/>
            <w:tcBorders>
              <w:top w:val="single" w:sz="4" w:space="0" w:color="auto"/>
            </w:tcBorders>
          </w:tcPr>
          <w:p w14:paraId="0D107161" w14:textId="77777777" w:rsidR="009E4EFC" w:rsidRDefault="00000000" w:rsidP="00334D50">
            <w:pPr>
              <w:jc w:val="both"/>
            </w:pPr>
            <w:r>
              <w:rPr>
                <w:b/>
              </w:rPr>
              <w:t>Service mandate</w:t>
            </w:r>
          </w:p>
        </w:tc>
        <w:tc>
          <w:tcPr>
            <w:tcW w:w="5491" w:type="dxa"/>
            <w:tcBorders>
              <w:top w:val="single" w:sz="4" w:space="0" w:color="auto"/>
            </w:tcBorders>
          </w:tcPr>
          <w:p w14:paraId="4ADA5C25" w14:textId="77777777" w:rsidR="009E4EFC" w:rsidRDefault="00000000" w:rsidP="00334D50">
            <w:pPr>
              <w:jc w:val="both"/>
            </w:pPr>
            <w:r>
              <w:t>Define when dental records may be released, when forensic consultation is needed, who authorises each step, and when external referral is required.</w:t>
            </w:r>
          </w:p>
        </w:tc>
      </w:tr>
      <w:tr w:rsidR="009E4EFC" w14:paraId="292212E0" w14:textId="77777777" w:rsidTr="002035B9">
        <w:tc>
          <w:tcPr>
            <w:tcW w:w="3977" w:type="dxa"/>
          </w:tcPr>
          <w:p w14:paraId="4DD749A9" w14:textId="77777777" w:rsidR="009E4EFC" w:rsidRDefault="00000000" w:rsidP="00334D50">
            <w:pPr>
              <w:jc w:val="both"/>
            </w:pPr>
            <w:r>
              <w:rPr>
                <w:b/>
              </w:rPr>
              <w:t>Competence and independence</w:t>
            </w:r>
          </w:p>
        </w:tc>
        <w:tc>
          <w:tcPr>
            <w:tcW w:w="5491" w:type="dxa"/>
          </w:tcPr>
          <w:p w14:paraId="5731B60E" w14:textId="77777777" w:rsidR="009E4EFC" w:rsidRDefault="00000000" w:rsidP="00334D50">
            <w:pPr>
              <w:jc w:val="both"/>
            </w:pPr>
            <w:r>
              <w:t>Use appropriately credentialed forensic expertise for interpretive conclusions; distinguish factual clinical information from independent forensic opinion; record conflicts of interest.</w:t>
            </w:r>
          </w:p>
        </w:tc>
      </w:tr>
      <w:tr w:rsidR="009E4EFC" w14:paraId="2627DD81" w14:textId="77777777" w:rsidTr="002035B9">
        <w:tc>
          <w:tcPr>
            <w:tcW w:w="3977" w:type="dxa"/>
          </w:tcPr>
          <w:p w14:paraId="1B3AE269" w14:textId="77777777" w:rsidR="009E4EFC" w:rsidRDefault="00000000" w:rsidP="00334D50">
            <w:pPr>
              <w:jc w:val="both"/>
            </w:pPr>
            <w:r>
              <w:rPr>
                <w:b/>
              </w:rPr>
              <w:t>Dental documentation</w:t>
            </w:r>
          </w:p>
        </w:tc>
        <w:tc>
          <w:tcPr>
            <w:tcW w:w="5491" w:type="dxa"/>
          </w:tcPr>
          <w:p w14:paraId="3D0C911D" w14:textId="77777777" w:rsidR="009E4EFC" w:rsidRDefault="00000000" w:rsidP="00334D50">
            <w:pPr>
              <w:jc w:val="both"/>
            </w:pPr>
            <w:r>
              <w:t>Standardise odontograms, radiograph and photograph labelling, patient identifiers, dates, authorship, corrections, and retention so that records remain retrievable and attributable.</w:t>
            </w:r>
          </w:p>
        </w:tc>
      </w:tr>
      <w:tr w:rsidR="009E4EFC" w14:paraId="0523C369" w14:textId="77777777" w:rsidTr="002035B9">
        <w:tc>
          <w:tcPr>
            <w:tcW w:w="3977" w:type="dxa"/>
          </w:tcPr>
          <w:p w14:paraId="62695AC7" w14:textId="77777777" w:rsidR="009E4EFC" w:rsidRDefault="00000000" w:rsidP="00334D50">
            <w:pPr>
              <w:jc w:val="both"/>
            </w:pPr>
            <w:r>
              <w:rPr>
                <w:b/>
              </w:rPr>
              <w:t>Evidence integrity</w:t>
            </w:r>
          </w:p>
        </w:tc>
        <w:tc>
          <w:tcPr>
            <w:tcW w:w="5491" w:type="dxa"/>
          </w:tcPr>
          <w:p w14:paraId="7ECC77FB" w14:textId="77777777" w:rsidR="009E4EFC" w:rsidRDefault="00000000" w:rsidP="00334D50">
            <w:pPr>
              <w:jc w:val="both"/>
            </w:pPr>
            <w:r>
              <w:t>Log requests, access, copying, transfer, recipient, and return or retention of material; preserve source files and any accompanying expert report.</w:t>
            </w:r>
          </w:p>
        </w:tc>
      </w:tr>
      <w:tr w:rsidR="009E4EFC" w14:paraId="41557EA6" w14:textId="77777777" w:rsidTr="002035B9">
        <w:tc>
          <w:tcPr>
            <w:tcW w:w="3977" w:type="dxa"/>
          </w:tcPr>
          <w:p w14:paraId="480C43EC" w14:textId="77777777" w:rsidR="009E4EFC" w:rsidRDefault="00000000" w:rsidP="00334D50">
            <w:pPr>
              <w:jc w:val="both"/>
            </w:pPr>
            <w:r>
              <w:rPr>
                <w:b/>
              </w:rPr>
              <w:t>Privacy and disclosure</w:t>
            </w:r>
          </w:p>
        </w:tc>
        <w:tc>
          <w:tcPr>
            <w:tcW w:w="5491" w:type="dxa"/>
          </w:tcPr>
          <w:p w14:paraId="19969818" w14:textId="77777777" w:rsidR="009E4EFC" w:rsidRDefault="00000000" w:rsidP="00334D50">
            <w:pPr>
              <w:jc w:val="both"/>
            </w:pPr>
            <w:r>
              <w:t>Verify the legal basis, apply minimum-necessary disclosure, restrict access to authorised personnel, and document the rationale for any release without consent.</w:t>
            </w:r>
          </w:p>
        </w:tc>
      </w:tr>
      <w:tr w:rsidR="009E4EFC" w14:paraId="4546B192" w14:textId="77777777" w:rsidTr="002035B9">
        <w:tc>
          <w:tcPr>
            <w:tcW w:w="3977" w:type="dxa"/>
          </w:tcPr>
          <w:p w14:paraId="07E88D69" w14:textId="77777777" w:rsidR="009E4EFC" w:rsidRDefault="00000000" w:rsidP="00334D50">
            <w:pPr>
              <w:jc w:val="both"/>
            </w:pPr>
            <w:r>
              <w:rPr>
                <w:b/>
              </w:rPr>
              <w:t>Interagency coordination</w:t>
            </w:r>
          </w:p>
        </w:tc>
        <w:tc>
          <w:tcPr>
            <w:tcW w:w="5491" w:type="dxa"/>
          </w:tcPr>
          <w:p w14:paraId="7F85A638" w14:textId="77777777" w:rsidR="009E4EFC" w:rsidRDefault="00000000" w:rsidP="00334D50">
            <w:pPr>
              <w:jc w:val="both"/>
            </w:pPr>
            <w:r>
              <w:t>Maintain a communication route with records management, legal services, hospital ethics representatives, forensic odontologists, disaster-response partners, and lawful authorities.</w:t>
            </w:r>
          </w:p>
        </w:tc>
      </w:tr>
      <w:tr w:rsidR="009E4EFC" w14:paraId="571CD97B" w14:textId="77777777" w:rsidTr="002035B9">
        <w:tc>
          <w:tcPr>
            <w:tcW w:w="3977" w:type="dxa"/>
          </w:tcPr>
          <w:p w14:paraId="4417185D" w14:textId="77777777" w:rsidR="009E4EFC" w:rsidRDefault="00000000" w:rsidP="00334D50">
            <w:pPr>
              <w:jc w:val="both"/>
            </w:pPr>
            <w:r>
              <w:rPr>
                <w:b/>
              </w:rPr>
              <w:t>Quality assurance</w:t>
            </w:r>
          </w:p>
        </w:tc>
        <w:tc>
          <w:tcPr>
            <w:tcW w:w="5491" w:type="dxa"/>
          </w:tcPr>
          <w:p w14:paraId="450E77F5" w14:textId="77777777" w:rsidR="009E4EFC" w:rsidRDefault="00000000" w:rsidP="00334D50">
            <w:pPr>
              <w:jc w:val="both"/>
            </w:pPr>
            <w:r>
              <w:t>Use periodic documentation audits, training, scenario-based exercises, and post-case review to identify deviations and improve the institutional pathway.</w:t>
            </w:r>
          </w:p>
        </w:tc>
      </w:tr>
    </w:tbl>
    <w:p w14:paraId="08D0179B" w14:textId="77777777" w:rsidR="009E4EFC" w:rsidRDefault="00000000" w:rsidP="00334D50">
      <w:pPr>
        <w:jc w:val="both"/>
      </w:pPr>
      <w:r>
        <w:rPr>
          <w:i/>
        </w:rPr>
        <w:t>Source: Developed for this position and opinion paper from Indonesian health and data-protection regulations, international DVI guidance, dental ethics policies, and hospital governance literature.</w:t>
      </w:r>
    </w:p>
    <w:sectPr w:rsidR="009E4EF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D8DA" w14:textId="77777777" w:rsidR="006A6DCA" w:rsidRDefault="006A6DCA">
      <w:r>
        <w:separator/>
      </w:r>
    </w:p>
  </w:endnote>
  <w:endnote w:type="continuationSeparator" w:id="0">
    <w:p w14:paraId="250D5EBC" w14:textId="77777777" w:rsidR="006A6DCA" w:rsidRDefault="006A6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26A3" w14:textId="77777777" w:rsidR="006A6DCA" w:rsidRDefault="006A6DCA">
      <w:r>
        <w:separator/>
      </w:r>
    </w:p>
  </w:footnote>
  <w:footnote w:type="continuationSeparator" w:id="0">
    <w:p w14:paraId="06F2B20B" w14:textId="77777777" w:rsidR="006A6DCA" w:rsidRDefault="006A6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2150" w14:textId="77777777" w:rsidR="009E4EFC" w:rsidRDefault="00000000">
    <w:pPr>
      <w:pStyle w:val="Header"/>
      <w:jc w:val="right"/>
    </w:pPr>
    <w:r>
      <w:fldChar w:fldCharType="begin"/>
    </w:r>
    <w:r>
      <w:instrText>PAGE</w:instrText>
    </w:r>
    <w:r w:rsidR="00334D50">
      <w:fldChar w:fldCharType="separate"/>
    </w:r>
    <w:r w:rsidR="00334D5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491470">
    <w:abstractNumId w:val="8"/>
  </w:num>
  <w:num w:numId="2" w16cid:durableId="857893866">
    <w:abstractNumId w:val="6"/>
  </w:num>
  <w:num w:numId="3" w16cid:durableId="1632206116">
    <w:abstractNumId w:val="5"/>
  </w:num>
  <w:num w:numId="4" w16cid:durableId="165562137">
    <w:abstractNumId w:val="4"/>
  </w:num>
  <w:num w:numId="5" w16cid:durableId="304314360">
    <w:abstractNumId w:val="7"/>
  </w:num>
  <w:num w:numId="6" w16cid:durableId="459343800">
    <w:abstractNumId w:val="3"/>
  </w:num>
  <w:num w:numId="7" w16cid:durableId="1213270044">
    <w:abstractNumId w:val="2"/>
  </w:num>
  <w:num w:numId="8" w16cid:durableId="173493227">
    <w:abstractNumId w:val="1"/>
  </w:num>
  <w:num w:numId="9" w16cid:durableId="130392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5B9"/>
    <w:rsid w:val="0029639D"/>
    <w:rsid w:val="00326F90"/>
    <w:rsid w:val="00334D50"/>
    <w:rsid w:val="006A6DCA"/>
    <w:rsid w:val="009E4EFC"/>
    <w:rsid w:val="00AA1D8D"/>
    <w:rsid w:val="00B47730"/>
    <w:rsid w:val="00CB0664"/>
    <w:rsid w:val="00F83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07107"/>
  <w14:defaultImageDpi w14:val="300"/>
  <w15:docId w15:val="{E36B2BAA-86E3-4DF1-B9CB-B3649DDE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3193</Words>
  <Characters>18202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3</cp:revision>
  <dcterms:created xsi:type="dcterms:W3CDTF">2013-12-23T23:15:00Z</dcterms:created>
  <dcterms:modified xsi:type="dcterms:W3CDTF">2026-06-27T02:53:00Z</dcterms:modified>
  <cp:category/>
</cp:coreProperties>
</file>