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240" w:lineRule="auto" w:before="0" w:after="160"/>
        <w:ind w:firstLine="0"/>
        <w:jc w:val="left"/>
      </w:pPr>
      <w:r>
        <w:rPr>
          <w:rFonts w:ascii="Arial" w:hAnsi="Arial"/>
          <w:b w:val="0"/>
          <w:i w:val="0"/>
          <w:sz w:val="24"/>
        </w:rPr>
        <w:t>27 June 2026</w:t>
      </w:r>
    </w:p>
    <w:p>
      <w:pPr>
        <w:keepNext w:val="0"/>
        <w:keepLines w:val="0"/>
        <w:spacing w:line="240" w:lineRule="auto" w:before="0" w:after="0"/>
        <w:ind w:firstLine="0"/>
        <w:jc w:val="left"/>
      </w:pPr>
      <w:r>
        <w:rPr>
          <w:rFonts w:ascii="Arial" w:hAnsi="Arial"/>
          <w:b/>
          <w:i w:val="0"/>
          <w:sz w:val="24"/>
        </w:rPr>
        <w:t>Professor Vilma Pinchi</w:t>
      </w:r>
    </w:p>
    <w:p>
      <w:pPr>
        <w:keepNext w:val="0"/>
        <w:keepLines w:val="0"/>
        <w:spacing w:line="240" w:lineRule="auto" w:before="0" w:after="0"/>
        <w:ind w:firstLine="0"/>
        <w:jc w:val="left"/>
      </w:pPr>
      <w:r>
        <w:rPr>
          <w:rFonts w:ascii="Arial" w:hAnsi="Arial"/>
          <w:b w:val="0"/>
          <w:i w:val="0"/>
          <w:sz w:val="24"/>
        </w:rPr>
        <w:t>Editor-in-Chief</w:t>
      </w:r>
    </w:p>
    <w:p>
      <w:pPr>
        <w:keepNext w:val="0"/>
        <w:keepLines w:val="0"/>
        <w:spacing w:line="240" w:lineRule="auto" w:before="0" w:after="160"/>
        <w:ind w:firstLine="0"/>
        <w:jc w:val="left"/>
      </w:pPr>
      <w:r>
        <w:rPr>
          <w:rFonts w:ascii="Arial" w:hAnsi="Arial"/>
          <w:b w:val="0"/>
          <w:i w:val="0"/>
          <w:sz w:val="24"/>
        </w:rPr>
        <w:t>The Journal of Forensic Odonto-Stomatology (JFOS)</w:t>
      </w:r>
    </w:p>
    <w:p>
      <w:pPr>
        <w:keepNext w:val="0"/>
        <w:keepLines w:val="0"/>
        <w:spacing w:line="240" w:lineRule="auto" w:before="0" w:after="160"/>
        <w:ind w:firstLine="0"/>
        <w:jc w:val="left"/>
      </w:pPr>
      <w:r>
        <w:rPr>
          <w:rFonts w:ascii="Arial" w:hAnsi="Arial"/>
          <w:b/>
          <w:i w:val="0"/>
          <w:sz w:val="24"/>
        </w:rPr>
        <w:t>Re: Submission of Position and Opinion Paper - “Hospital Governance for Forensic Odontology: Legal and Ethical Priorities in the Indonesian Context”</w:t>
      </w:r>
    </w:p>
    <w:p>
      <w:pPr>
        <w:keepNext w:val="0"/>
        <w:keepLines w:val="0"/>
        <w:spacing w:line="240" w:lineRule="auto" w:before="0" w:after="100"/>
        <w:ind w:firstLine="0"/>
        <w:jc w:val="left"/>
      </w:pPr>
      <w:r>
        <w:rPr>
          <w:rFonts w:ascii="Arial" w:hAnsi="Arial"/>
          <w:b w:val="0"/>
          <w:i w:val="0"/>
          <w:sz w:val="24"/>
        </w:rPr>
        <w:t>Dear Professor Pinchi,</w:t>
      </w:r>
    </w:p>
    <w:p>
      <w:pPr>
        <w:keepNext w:val="0"/>
        <w:keepLines w:val="0"/>
        <w:spacing w:line="240" w:lineRule="auto" w:before="0" w:after="100"/>
        <w:ind w:firstLine="0"/>
        <w:jc w:val="left"/>
      </w:pPr>
      <w:r>
        <w:rPr>
          <w:rFonts w:ascii="Arial" w:hAnsi="Arial"/>
          <w:b w:val="0"/>
          <w:i w:val="0"/>
          <w:sz w:val="24"/>
        </w:rPr>
        <w:t>On behalf of all authors, I am pleased to submit the Position and Opinion Paper entitled “Hospital Governance for Forensic Odontology: Legal and Ethical Priorities in the Indonesian Context” for consideration in The Journal of Forensic Odonto-Stomatology.</w:t>
      </w:r>
    </w:p>
    <w:p>
      <w:pPr>
        <w:keepNext w:val="0"/>
        <w:keepLines w:val="0"/>
        <w:spacing w:line="240" w:lineRule="auto" w:before="0" w:after="100"/>
        <w:ind w:firstLine="0"/>
        <w:jc w:val="left"/>
      </w:pPr>
      <w:r>
        <w:rPr>
          <w:rFonts w:ascii="Arial" w:hAnsi="Arial"/>
          <w:b w:val="0"/>
          <w:i w:val="0"/>
          <w:sz w:val="24"/>
        </w:rPr>
        <w:t>The paper argues that forensic odontology should be governed as an institutional capability rather than an ad hoc expert activity. It integrates the Indonesian legal context for health, medical records, and personal-data protection with international disaster victim identification guidance, dental ethics policies, and hospital-governance literature. It proposes a practical, seven-domain pathway for reliable dental documentation, lawful and proportionate disclosure, evidence integrity, professional independence, and quality assurance. We believe this multidisciplinary contribution fits JFOS’s scope in forensic and legal odonto-stomatology, ethics, jurisprudence, and safeguarding legal rights.</w:t>
      </w:r>
    </w:p>
    <w:p>
      <w:pPr>
        <w:keepNext w:val="0"/>
        <w:keepLines w:val="0"/>
        <w:spacing w:line="240" w:lineRule="auto" w:before="0" w:after="100"/>
        <w:ind w:firstLine="0"/>
        <w:jc w:val="left"/>
      </w:pPr>
      <w:r>
        <w:rPr>
          <w:rFonts w:ascii="Arial" w:hAnsi="Arial"/>
          <w:b w:val="0"/>
          <w:i w:val="0"/>
          <w:sz w:val="24"/>
        </w:rPr>
        <w:t>This manuscript is original, has not been published previously, and is not under consideration by another journal. It is not a narrative or descriptive review. All authors have reviewed and approved the submitted version, meet the ICMJE authorship criteria, and agree to submission to JFOS. The authors declare no external funding and no financial or non-financial conflicts of interest.</w:t>
      </w:r>
    </w:p>
    <w:p>
      <w:pPr>
        <w:keepNext w:val="0"/>
        <w:keepLines w:val="0"/>
        <w:spacing w:line="240" w:lineRule="auto" w:before="0" w:after="100"/>
        <w:ind w:firstLine="0"/>
        <w:jc w:val="left"/>
      </w:pPr>
      <w:r>
        <w:rPr>
          <w:rFonts w:ascii="Arial" w:hAnsi="Arial"/>
          <w:b w:val="0"/>
          <w:i w:val="0"/>
          <w:sz w:val="24"/>
        </w:rPr>
        <w:t>The manuscript is based exclusively on publicly available legislation, policy documents, and published literature. It did not involve human participants, human materials, identifiable personal data, or animals; therefore, formal ethical approval and informed consent were not required. A signed authors’ ethical-exemption statement is enclosed for the Editor’s consideration.</w:t>
      </w:r>
    </w:p>
    <w:p>
      <w:pPr>
        <w:keepNext w:val="0"/>
        <w:keepLines w:val="0"/>
        <w:spacing w:line="240" w:lineRule="auto" w:before="0" w:after="100"/>
        <w:ind w:firstLine="0"/>
        <w:jc w:val="left"/>
      </w:pPr>
      <w:r>
        <w:rPr>
          <w:rFonts w:ascii="Arial" w:hAnsi="Arial"/>
          <w:b w:val="0"/>
          <w:i w:val="0"/>
          <w:sz w:val="24"/>
        </w:rPr>
        <w:t>AI-assisted technologies disclosure: During manuscript preparation, ChatGPT (OpenAI; GPT-5.5 Thinking; accessed 27 June 2026) was used only for language editing and formatting support. It was not used to identify, select, appraise, or interpret the legal or scientific sources. All authors independently reviewed the final manuscript and accept full responsibility for its originality, validity, and integrity.</w:t>
      </w:r>
    </w:p>
    <w:p>
      <w:pPr>
        <w:keepNext w:val="0"/>
        <w:keepLines w:val="0"/>
        <w:spacing w:line="240" w:lineRule="auto" w:before="0" w:after="100"/>
        <w:ind w:firstLine="0"/>
        <w:jc w:val="left"/>
      </w:pPr>
      <w:r>
        <w:rPr>
          <w:rFonts w:ascii="Arial" w:hAnsi="Arial"/>
          <w:b w:val="0"/>
          <w:i w:val="0"/>
          <w:sz w:val="24"/>
        </w:rPr>
        <w:t>Thank you for considering our manuscript. We look forward to your decision.</w:t>
      </w:r>
    </w:p>
    <w:p>
      <w:pPr>
        <w:keepNext w:val="0"/>
        <w:keepLines w:val="0"/>
        <w:spacing w:line="240" w:lineRule="auto" w:before="0" w:after="200"/>
        <w:ind w:firstLine="0"/>
        <w:jc w:val="left"/>
      </w:pPr>
      <w:r>
        <w:rPr>
          <w:rFonts w:ascii="Arial" w:hAnsi="Arial"/>
          <w:b w:val="0"/>
          <w:i w:val="0"/>
          <w:sz w:val="24"/>
        </w:rPr>
        <w:t>Sincerely,</w:t>
      </w:r>
    </w:p>
    <w:p>
      <w:pPr>
        <w:keepNext w:val="0"/>
        <w:keepLines w:val="0"/>
        <w:spacing w:line="240" w:lineRule="auto" w:before="0" w:after="0"/>
        <w:ind w:firstLine="0"/>
        <w:jc w:val="left"/>
      </w:pPr>
      <w:r>
        <w:rPr>
          <w:rFonts w:ascii="Arial" w:hAnsi="Arial"/>
          <w:b/>
          <w:i w:val="0"/>
          <w:sz w:val="24"/>
        </w:rPr>
        <w:t>Yessy Andriani Fauziah</w:t>
      </w:r>
    </w:p>
    <w:p>
      <w:pPr>
        <w:keepNext w:val="0"/>
        <w:keepLines w:val="0"/>
        <w:spacing w:line="240" w:lineRule="auto" w:before="0" w:after="0"/>
        <w:ind w:firstLine="0"/>
        <w:jc w:val="left"/>
      </w:pPr>
      <w:r>
        <w:rPr>
          <w:rFonts w:ascii="Arial" w:hAnsi="Arial"/>
          <w:b w:val="0"/>
          <w:i w:val="0"/>
          <w:sz w:val="24"/>
        </w:rPr>
        <w:t>Corresponding Author</w:t>
      </w:r>
    </w:p>
    <w:p>
      <w:pPr>
        <w:keepNext w:val="0"/>
        <w:keepLines w:val="0"/>
        <w:spacing w:line="240" w:lineRule="auto" w:before="0" w:after="0"/>
        <w:ind w:firstLine="0"/>
        <w:jc w:val="left"/>
      </w:pPr>
      <w:r>
        <w:rPr>
          <w:rFonts w:ascii="Arial" w:hAnsi="Arial"/>
          <w:b w:val="0"/>
          <w:i w:val="0"/>
          <w:sz w:val="24"/>
        </w:rPr>
        <w:t>School of Dental Medicine, Universitas Ciputra, Surabaya, Indonesia</w:t>
      </w:r>
    </w:p>
    <w:p>
      <w:pPr>
        <w:keepNext w:val="0"/>
        <w:keepLines w:val="0"/>
        <w:spacing w:line="240" w:lineRule="auto" w:before="0" w:after="0"/>
        <w:ind w:firstLine="0"/>
        <w:jc w:val="left"/>
      </w:pPr>
      <w:r>
        <w:rPr>
          <w:rFonts w:ascii="Arial" w:hAnsi="Arial"/>
          <w:b w:val="0"/>
          <w:i w:val="0"/>
          <w:sz w:val="24"/>
        </w:rPr>
        <w:t>Email: yessy.andriani@ciputra.ac.id</w:t>
      </w:r>
    </w:p>
    <w:p>
      <w:pPr>
        <w:keepNext w:val="0"/>
        <w:keepLines w:val="0"/>
        <w:spacing w:line="240" w:lineRule="auto" w:before="0" w:after="0"/>
        <w:ind w:firstLine="0"/>
        <w:jc w:val="left"/>
      </w:pPr>
      <w:r>
        <w:rPr>
          <w:rFonts w:ascii="Arial" w:hAnsi="Arial"/>
          <w:b w:val="0"/>
          <w:i w:val="0"/>
          <w:sz w:val="24"/>
        </w:rPr>
        <w:t>Phone: +62 857 3008 8872</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