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B7F6" w14:textId="77777777" w:rsidR="00E91C76" w:rsidRDefault="00E91C76">
      <w:pPr>
        <w:keepNext/>
        <w:spacing w:before="240"/>
        <w:rPr>
          <w:b/>
        </w:rPr>
      </w:pPr>
      <w:r w:rsidRPr="00E91C76">
        <w:rPr>
          <w:b/>
        </w:rPr>
        <w:t>Immunomodulatory Effects of Carbonate Hydroxyapatite and Ellagic Acid-Modified Calcium Hydroxide</w:t>
      </w:r>
    </w:p>
    <w:p w14:paraId="55ED5920" w14:textId="5DAC4609" w:rsidR="0096456A" w:rsidRDefault="00000000">
      <w:pPr>
        <w:keepNext/>
        <w:spacing w:before="240"/>
      </w:pPr>
      <w:r>
        <w:rPr>
          <w:b/>
        </w:rPr>
        <w:t>ABSTRACT</w:t>
      </w:r>
    </w:p>
    <w:p w14:paraId="0D8110CC" w14:textId="77777777" w:rsidR="0096456A" w:rsidRDefault="00000000">
      <w:pPr>
        <w:jc w:val="both"/>
      </w:pPr>
      <w:r>
        <w:rPr>
          <w:b/>
        </w:rPr>
        <w:t>Background:</w:t>
      </w:r>
      <w:r>
        <w:t xml:space="preserve"> The local inflammatory response influences the outcome of vital pulp therapy after pulp exposure. Calcium hydroxide has long been used for pulp capping, but its biological performance may be improved by adding bioactive materials.</w:t>
      </w:r>
    </w:p>
    <w:p w14:paraId="2B6E125D" w14:textId="77777777" w:rsidR="0096456A" w:rsidRDefault="00000000">
      <w:pPr>
        <w:jc w:val="both"/>
      </w:pPr>
      <w:r>
        <w:rPr>
          <w:b/>
        </w:rPr>
        <w:t>Purpose:</w:t>
      </w:r>
      <w:r>
        <w:t xml:space="preserve"> To evaluate the inflammatory response to calcium hydroxide modified with carbonate hydroxyapatite and ellagic acid in a rat pulp perforation model.</w:t>
      </w:r>
    </w:p>
    <w:p w14:paraId="38C352BA" w14:textId="77777777" w:rsidR="0096456A" w:rsidRDefault="00000000">
      <w:pPr>
        <w:jc w:val="both"/>
      </w:pPr>
      <w:r>
        <w:rPr>
          <w:b/>
        </w:rPr>
        <w:t>Materials and Method:</w:t>
      </w:r>
      <w:r>
        <w:t xml:space="preserve"> Sixty male Wistar rats were allocated to negative control (NC), calcium hydroxide (CH), calcium hydroxide-carbonate hydroxyapatite (CH-CHA), and calcium hydroxide-carbonate hydroxyapatite-ellagic acid (CH-CHA-EA) groups (n = 5 per group at each time point). Animals were euthanized on days 3, 7, or 14. Hematoxylin and eosin (H&amp;E)-based macrophage counts and immunohistochemical expression of tumor necrosis factor alpha (TNF-alpha) and interleukin 10 (IL-10) were assessed. Data were analyzed using one-way analysis of variance and Tukey post hoc testing.</w:t>
      </w:r>
    </w:p>
    <w:p w14:paraId="38497459" w14:textId="77777777" w:rsidR="0096456A" w:rsidRDefault="00000000">
      <w:pPr>
        <w:jc w:val="both"/>
      </w:pPr>
      <w:r>
        <w:rPr>
          <w:b/>
        </w:rPr>
        <w:t>Results:</w:t>
      </w:r>
      <w:r>
        <w:t xml:space="preserve"> On day 14, the CH-CHA-EA group had a higher H&amp;E-based macrophage count (11.00 ± 1.60) than NC (3.60 ± 1.10), a lower TNF-alpha expression (2.20 ± 0.84 vs 12.00 ± 1.90), and a higher IL-10 expression (11.20 ± 1.90 vs 6.20 ± 1.90) (all p &lt; 0.05). TNF-alpha expression did not differ significantly among groups on day 3 (p = 0.2434).</w:t>
      </w:r>
    </w:p>
    <w:p w14:paraId="75015ECF" w14:textId="77777777" w:rsidR="0096456A" w:rsidRDefault="00000000">
      <w:pPr>
        <w:jc w:val="both"/>
      </w:pPr>
      <w:r>
        <w:rPr>
          <w:b/>
        </w:rPr>
        <w:t>Conclusion:</w:t>
      </w:r>
      <w:r>
        <w:t xml:space="preserve"> Calcium hydroxide modified with carbonate hydroxyapatite and ellagic acid was associated with higher H&amp;E-based macrophage counts and IL-10 expression and lower TNF-alpha expression at later observation points. The findings support further investigation of this formulation as a pulp-capping material.</w:t>
      </w:r>
    </w:p>
    <w:p w14:paraId="509F1B4B" w14:textId="77777777" w:rsidR="0096456A" w:rsidRDefault="00000000">
      <w:pPr>
        <w:jc w:val="both"/>
      </w:pPr>
      <w:r>
        <w:rPr>
          <w:b/>
        </w:rPr>
        <w:t>Key words:</w:t>
      </w:r>
      <w:r>
        <w:t xml:space="preserve"> Calcium hydroxide; Dental pulp; Ellagic acid; Hydroxyapatites; Inflammation; Rats, Wistar</w:t>
      </w:r>
    </w:p>
    <w:p w14:paraId="02E6DBE6" w14:textId="77777777" w:rsidR="0096456A" w:rsidRDefault="00000000">
      <w:pPr>
        <w:keepNext/>
        <w:spacing w:before="240"/>
      </w:pPr>
      <w:r>
        <w:rPr>
          <w:b/>
        </w:rPr>
        <w:t>INTRODUCTION</w:t>
      </w:r>
    </w:p>
    <w:p w14:paraId="6D8EBD40" w14:textId="77777777" w:rsidR="0096456A" w:rsidRDefault="00000000">
      <w:pPr>
        <w:jc w:val="both"/>
      </w:pPr>
      <w:r>
        <w:t xml:space="preserve">Preservation of pulp vitality is a central goal of vital pulp therapy (VPT). After pulp exposure, the dental pulp responds through inflammation, immune regulation, and tissue repair. A controlled inflammatory response contributes to host defense and tissue homeostasis, whereas persistent </w:t>
      </w:r>
      <w:r>
        <w:lastRenderedPageBreak/>
        <w:t>inflammation can compromise pulp survival. Consequently, bioactive pulp-capping materials that can influence the local inflammatory environment are of interest in contemporary VPT [1,2].</w:t>
      </w:r>
    </w:p>
    <w:p w14:paraId="17FF3106" w14:textId="77777777" w:rsidR="0096456A" w:rsidRDefault="00000000">
      <w:pPr>
        <w:jc w:val="both"/>
      </w:pPr>
      <w:r>
        <w:t>Pulp exposure caused by deep caries, trauma, or dental procedures initiates a biological response that includes vascular changes, immune-cell recruitment, cytokine release, and remodeling of the dentin-pulp complex. Inflammation is necessary for defense against injury and contamination, but a prolonged or excessive response can lead to tissue disorganization, necrosis, and loss of pulp vitality [2]. A material used for direct pulp capping should therefore provide a barrier while allowing the local inflammatory response to resolve in a timely manner.</w:t>
      </w:r>
    </w:p>
    <w:p w14:paraId="34086575" w14:textId="77777777" w:rsidR="0096456A" w:rsidRDefault="00000000">
      <w:pPr>
        <w:jc w:val="both"/>
      </w:pPr>
      <w:r>
        <w:t>Macrophages participate in both inflammatory and reparative responses after pulp injury. During an early inflammatory response, macrophages and other cells can contribute to the release of mediators such as tumor necrosis factor alpha (TNF-alpha). During resolution, macrophages may also contribute to tissue remodeling and produce anti-inflammatory mediators, including interleukin 10 (IL-10). This functional plasticity is relevant to pulp healing, although macrophage phenotype cannot be inferred from cytokine expression alone [3].</w:t>
      </w:r>
    </w:p>
    <w:p w14:paraId="41290EC6" w14:textId="77777777" w:rsidR="0096456A" w:rsidRDefault="00000000">
      <w:pPr>
        <w:jc w:val="both"/>
      </w:pPr>
      <w:r>
        <w:t>Calcium hydroxide has been used as a reference pulp-capping material because of its antibacterial activity, alkaline pH, and ability to support mineralized tissue formation. Its limitations include solubility, limited mechanical integrity, microleakage susceptibility, and an irregular reparative tissue bridge in some settings [4,5]. These limitations have encouraged investigation of adjunct materials that may improve the biological environment after pulp exposure.</w:t>
      </w:r>
    </w:p>
    <w:p w14:paraId="5F289087" w14:textId="77777777" w:rsidR="0096456A" w:rsidRDefault="00000000">
      <w:pPr>
        <w:jc w:val="both"/>
      </w:pPr>
      <w:r>
        <w:t>Carbonate hydroxyapatite (CHA) is a calcium phosphate biomaterial that resembles the mineral phase of hard tissues. Its carbonate substitution may increase similarity to biological apatite and support bioactivity, resorption, and cellular interactions. Carbonate apatite-based materials have therefore been explored in endodontic and mineralized-tissue applications [6].</w:t>
      </w:r>
    </w:p>
    <w:p w14:paraId="323D79A3" w14:textId="77777777" w:rsidR="0096456A" w:rsidRDefault="00000000">
      <w:pPr>
        <w:jc w:val="both"/>
      </w:pPr>
      <w:r>
        <w:t>Ellagic acid (EA) is a polyphenolic compound with anti-inflammatory and antioxidant properties. Studies have reported that EA can influence cytokine-related signaling, including nuclear factor-kappa B-associated pathways, and EA-containing pulp-capping materials have shown reduced inflammatory-cell infiltration and TNF-alpha expression in vivo [7,8]. Changes in dentin mineral and collagen organization may also influence the biological context in which pulp-capping materials interact with injured pulp tissue [9].</w:t>
      </w:r>
    </w:p>
    <w:p w14:paraId="7B703FF2" w14:textId="77777777" w:rsidR="0096456A" w:rsidRDefault="00000000">
      <w:pPr>
        <w:jc w:val="both"/>
      </w:pPr>
      <w:r>
        <w:t xml:space="preserve">Although calcium hydroxide, CHA, and EA each have potential biological relevance, the inflammatory profile of their combined formulation after pulp perforation remains insufficiently </w:t>
      </w:r>
      <w:r>
        <w:lastRenderedPageBreak/>
        <w:t>described. Materials can influence macrophage behavior through their chemical and physical properties [10]. In a pulp-capping setting, a material that modifies inflammatory signaling without impairing the subsequent reparative process may be clinically valuable. This study therefore evaluated H&amp;E-based macrophage counts and TNF-alpha and IL-10 expression in a rat pulp perforation model after application of calcium hydroxide modified with CHA and EA.</w:t>
      </w:r>
    </w:p>
    <w:p w14:paraId="1C523009" w14:textId="77777777" w:rsidR="0096456A" w:rsidRDefault="00000000">
      <w:pPr>
        <w:keepNext/>
        <w:spacing w:before="240"/>
      </w:pPr>
      <w:r>
        <w:rPr>
          <w:b/>
        </w:rPr>
        <w:t>MATERIALS AND METHOD</w:t>
      </w:r>
    </w:p>
    <w:p w14:paraId="18098C55" w14:textId="77777777" w:rsidR="0096456A" w:rsidRDefault="00000000">
      <w:pPr>
        <w:keepNext/>
        <w:spacing w:before="120"/>
      </w:pPr>
      <w:r>
        <w:rPr>
          <w:b/>
        </w:rPr>
        <w:t>Study design</w:t>
      </w:r>
    </w:p>
    <w:p w14:paraId="41596229" w14:textId="77777777" w:rsidR="0096456A" w:rsidRDefault="00000000">
      <w:pPr>
        <w:jc w:val="both"/>
      </w:pPr>
      <w:r>
        <w:t>This laboratory study used a post-test-only controlled design. Sixty healthy male Wistar rats (Rattus norvegicus) were randomly allocated to four groups: negative control (NC), calcium hydroxide (CH), calcium hydroxide with carbonate hydroxyapatite (CH-CHA), and calcium hydroxide with carbonate hydroxyapatite and ellagic acid (CH-CHA-EA). Each group included five animals at each scheduled endpoint (days 3, 7, and 14), yielding a total of 60 animals. The prespecified outcomes were H&amp;E-based macrophage counts and immunohistochemical expression of TNF-alpha and IL-10.</w:t>
      </w:r>
    </w:p>
    <w:p w14:paraId="1D178B19" w14:textId="77777777" w:rsidR="0096456A" w:rsidRDefault="00000000">
      <w:pPr>
        <w:keepNext/>
        <w:spacing w:before="120"/>
      </w:pPr>
      <w:r>
        <w:rPr>
          <w:b/>
        </w:rPr>
        <w:t>Experimental animals</w:t>
      </w:r>
    </w:p>
    <w:p w14:paraId="2B400D82" w14:textId="77777777" w:rsidR="0096456A" w:rsidRDefault="00000000">
      <w:pPr>
        <w:jc w:val="both"/>
      </w:pPr>
      <w:r>
        <w:t>Healthy male Wistar rats aged 20-28 weeks and weighing 270-320 g were included. The animals were acclimatized before the experiment, housed under standard laboratory conditions with free access to food and water, and assessed for health before inclusion.</w:t>
      </w:r>
    </w:p>
    <w:p w14:paraId="5352FC62" w14:textId="77777777" w:rsidR="0096456A" w:rsidRDefault="00000000">
      <w:pPr>
        <w:keepNext/>
        <w:spacing w:before="120"/>
      </w:pPr>
      <w:r>
        <w:rPr>
          <w:b/>
        </w:rPr>
        <w:t>Ethical approval and animal welfare</w:t>
      </w:r>
    </w:p>
    <w:p w14:paraId="31A9125F" w14:textId="77777777" w:rsidR="0096456A" w:rsidRDefault="00000000">
      <w:pPr>
        <w:jc w:val="both"/>
      </w:pPr>
      <w:r>
        <w:t>The experimental protocol was approved by the institutional Health Research Ethical Clearance Commission (Ethical Clearance No. 0109/HRECC.FODM/I/2026). Animal procedures were conducted under the applicable institutional and national standards for the care and use of laboratory animals.</w:t>
      </w:r>
    </w:p>
    <w:p w14:paraId="3E328707" w14:textId="77777777" w:rsidR="0096456A" w:rsidRDefault="00000000">
      <w:pPr>
        <w:keepNext/>
        <w:spacing w:before="120"/>
      </w:pPr>
      <w:r>
        <w:rPr>
          <w:b/>
        </w:rPr>
        <w:t>Preparation of pulp-capping materials</w:t>
      </w:r>
    </w:p>
    <w:p w14:paraId="3372DA15" w14:textId="77777777" w:rsidR="0096456A" w:rsidRDefault="00000000">
      <w:pPr>
        <w:jc w:val="both"/>
      </w:pPr>
      <w:r>
        <w:t xml:space="preserve">Calcium hydroxide [Ca(OH)2] powder (Merck, Germany) was used as the base pulp-capping material. Carbonate hydroxyapatite powder was prepared as previously described from Indonesian limestone-derived hydroxyapatite using a dry mechano-milling technique [11]. For the CH-CHA formulation, calcium hydroxide and CHA powders were mixed at a 1:1 weight-to-weight ratio. EA (90% purity; Xi'an Biof Bio-Technology Co., Ltd., China) was prepared as a 12.5% solution by dissolving the powder in 90% distilled water and 10% polyethylene glycol 400 </w:t>
      </w:r>
      <w:r>
        <w:lastRenderedPageBreak/>
        <w:t>(PEG 400) to a final volume of 100 mL. For the CH-CHA-EA formulation, the calcium hydroxide-CHA powder mixture was combined with the EA solution at a 1:1 powder-to-liquid ratio before application.</w:t>
      </w:r>
    </w:p>
    <w:p w14:paraId="5825167E" w14:textId="77777777" w:rsidR="0096456A" w:rsidRDefault="00000000">
      <w:pPr>
        <w:keepNext/>
        <w:spacing w:before="120"/>
      </w:pPr>
      <w:r>
        <w:rPr>
          <w:b/>
        </w:rPr>
        <w:t>Pulp perforation procedure and material application</w:t>
      </w:r>
    </w:p>
    <w:p w14:paraId="21DCC8D3" w14:textId="77777777" w:rsidR="0096456A" w:rsidRDefault="00000000">
      <w:pPr>
        <w:jc w:val="both"/>
      </w:pPr>
      <w:r>
        <w:t>Animals were anesthetized by intramuscular injection of 10% ketamine hydrochloride and 2% xylazine at 0.1 mL per 100 g body weight. A cavity was prepared on the occlusal surface of the maxillary first molar using a low-speed handpiece and a 0.8-mm round bur. Pulp perforation was performed by gently probing the cavity floor with a dental explorer until bleeding and loss of resistance confirmed pulp exposure. Hemostasis was achieved with sterile paper points. The exposed pulp was treated according to the assigned group, and the cavity was sealed with conventional glass ionomer cement (GC Fuji, GC Corporation, Tokyo, Japan) to maintain material retention and limit bacterial contamination during the observation period.</w:t>
      </w:r>
    </w:p>
    <w:p w14:paraId="2E111375" w14:textId="77777777" w:rsidR="0096456A" w:rsidRDefault="00000000">
      <w:pPr>
        <w:keepNext/>
        <w:spacing w:before="120"/>
      </w:pPr>
      <w:r>
        <w:rPr>
          <w:b/>
        </w:rPr>
        <w:t>Histological and immunohistochemical assessment</w:t>
      </w:r>
    </w:p>
    <w:p w14:paraId="602429F2" w14:textId="77777777" w:rsidR="0096456A" w:rsidRDefault="00000000">
      <w:pPr>
        <w:jc w:val="both"/>
      </w:pPr>
      <w:r>
        <w:t>At 3, 7, and 14 days after treatment, animals were euthanized with an overdose of ketamine and xylazine at three times the anesthetic dose. The left maxillary jaw containing the first molar was harvested and fixed in 10% neutral buffered formalin for 18-24 hours at room temperature. Specimens were decalcified in 10% EDTA at room temperature for 21-30 days, with daily solution changes until adequate tissue softening was achieved. After routine tissue processing and paraffin embedding, serial sections were prepared. H&amp;E staining was performed using HistoCore SPECTRA H&amp;E Stains (Leica Biosystems). Immunohistochemical staining followed the manufacturer's instructions using anti-TNF-alpha antibody (Santa Cruz Biotechnology, Cat. No. sc-52746) and anti-IL-10 antibody (Santa Cruz Biotechnology, Cat. No. sc-8438).</w:t>
      </w:r>
    </w:p>
    <w:p w14:paraId="666A1CD3" w14:textId="77777777" w:rsidR="0096456A" w:rsidRDefault="00000000">
      <w:pPr>
        <w:keepNext/>
        <w:spacing w:before="120"/>
      </w:pPr>
      <w:r>
        <w:rPr>
          <w:b/>
        </w:rPr>
        <w:t>Quantification of H&amp;E-based macrophage counts, TNF-alpha, and IL-10 expression</w:t>
      </w:r>
    </w:p>
    <w:p w14:paraId="0FE0CAC8" w14:textId="77777777" w:rsidR="0096456A" w:rsidRDefault="00000000">
      <w:pPr>
        <w:jc w:val="both"/>
      </w:pPr>
      <w:r>
        <w:t>Microscopic evaluation was performed at 1,000x magnification. Approximately 20 fields were examined per specimen. Cells included in the H&amp;E-based macrophage count were assessed morphologically, whereas TNF-alpha-positive and IL-10-positive cells were assessed by light microscopy after immunohistochemical staining. Histological and immunohistochemical evaluations were performed in a blinded manner, with the observer unaware of treatment allocation.</w:t>
      </w:r>
    </w:p>
    <w:p w14:paraId="3DD0255C" w14:textId="77777777" w:rsidR="0096456A" w:rsidRDefault="00000000">
      <w:pPr>
        <w:keepNext/>
        <w:spacing w:before="120"/>
      </w:pPr>
      <w:r>
        <w:rPr>
          <w:b/>
        </w:rPr>
        <w:lastRenderedPageBreak/>
        <w:t>Statistical analysis</w:t>
      </w:r>
    </w:p>
    <w:p w14:paraId="753617EE" w14:textId="77777777" w:rsidR="0096456A" w:rsidRDefault="00000000">
      <w:pPr>
        <w:jc w:val="both"/>
      </w:pPr>
      <w:r>
        <w:t>Statistical analyses were performed using IBM SPSS Statistics version 25.0 (IBM Corp., Armonk, NY, USA). Normality and homogeneity of variance were evaluated using Kolmogorov-Smirnov and Levene tests, respectively. Group differences were analyzed separately at each observation time point using one-way analysis of variance followed by Tukey honestly significant difference post hoc testing. Statistical significance was set at p &lt; 0.05.</w:t>
      </w:r>
    </w:p>
    <w:p w14:paraId="3740F9AD" w14:textId="77777777" w:rsidR="0096456A" w:rsidRDefault="00000000">
      <w:pPr>
        <w:keepNext/>
        <w:spacing w:before="240"/>
      </w:pPr>
      <w:r>
        <w:rPr>
          <w:b/>
        </w:rPr>
        <w:t>RESULTS</w:t>
      </w:r>
    </w:p>
    <w:p w14:paraId="52B73132" w14:textId="77777777" w:rsidR="0096456A" w:rsidRDefault="00000000">
      <w:pPr>
        <w:keepNext/>
        <w:spacing w:before="120"/>
      </w:pPr>
      <w:r>
        <w:rPr>
          <w:b/>
        </w:rPr>
        <w:t>H&amp;E-based macrophage counts</w:t>
      </w:r>
    </w:p>
    <w:p w14:paraId="58E732B7" w14:textId="77777777" w:rsidR="0096456A" w:rsidRDefault="00000000">
      <w:pPr>
        <w:jc w:val="both"/>
      </w:pPr>
      <w:r>
        <w:t>Mean H&amp;E-based macrophage counts differed among groups on days 3, 7, and 14 (all overall p &lt; 0.0001; Table 1). On day 3, the mean counts were 2.20 ± 0.84 in NC, 4.80 ± 1.30 in CH, 6.60 ± 1.30 in CH-CHA, and 7.80 ± 0.84 in CH-CHA-EA.</w:t>
      </w:r>
    </w:p>
    <w:p w14:paraId="3891715F" w14:textId="77777777" w:rsidR="0096456A" w:rsidRDefault="00000000">
      <w:pPr>
        <w:jc w:val="both"/>
      </w:pPr>
      <w:r>
        <w:t>On day 7, the mean counts were 2.80 ± 0.84 in NC, 7.00 ± 1.60 in CH, 8.00 ± 1.60 in CH-CHA, and 9.40 ± 1.50 in CH-CHA-EA. The treated groups had significantly higher counts than NC, whereas differences among CH, CH-CHA, and CH-CHA-EA were not significant.</w:t>
      </w:r>
    </w:p>
    <w:p w14:paraId="3EB709A7" w14:textId="77777777" w:rsidR="0096456A" w:rsidRDefault="00000000">
      <w:pPr>
        <w:jc w:val="both"/>
      </w:pPr>
      <w:r>
        <w:t>On day 14, the mean counts were 3.60 ± 1.10 in NC, 7.60 ± 1.10 in CH, 9.20 ± 1.80 in CH-CHA, and 11.00 ± 1.60 in CH-CHA-EA. The CH-CHA-EA group had a significantly higher count than NC and CH, but did not differ significantly from CH-CHA. Representative H&amp;E-stained sections are shown in Figure 1.</w:t>
      </w:r>
    </w:p>
    <w:p w14:paraId="0EFA11BB" w14:textId="77777777" w:rsidR="0096456A" w:rsidRDefault="00000000">
      <w:pPr>
        <w:keepNext/>
        <w:spacing w:before="120"/>
      </w:pPr>
      <w:r>
        <w:rPr>
          <w:b/>
        </w:rPr>
        <w:t>TNF-alpha expression</w:t>
      </w:r>
    </w:p>
    <w:p w14:paraId="2A86E00B" w14:textId="77777777" w:rsidR="0096456A" w:rsidRDefault="00000000">
      <w:pPr>
        <w:jc w:val="both"/>
      </w:pPr>
      <w:r>
        <w:t>TNF-alpha expression did not differ significantly among groups on day 3 (overall p = 0.2434; Table 2). The mean values were 5.60 ± 2.10 in NC, 5.80 ± 0.84 in CH, 5.00 ± 1.00 in CH-CHA, and 4.00 ± 1.60 in CH-CHA-EA.</w:t>
      </w:r>
    </w:p>
    <w:p w14:paraId="134DC6D0" w14:textId="77777777" w:rsidR="0096456A" w:rsidRDefault="00000000">
      <w:pPr>
        <w:jc w:val="both"/>
      </w:pPr>
      <w:r>
        <w:t>On day 7, TNF-alpha expression differed among groups (overall p &lt; 0.0001). The CH-CHA-EA group had the lowest mean expression (2.00 ± 1.00), whereas the values were 7.20 ± 1.50 in NC, 7.80 ± 1.30 in CH, and 6.60 ± 1.10 in CH-CHA. Post hoc analysis showed lower TNF-alpha expression in CH-CHA-EA than in the other groups.</w:t>
      </w:r>
    </w:p>
    <w:p w14:paraId="29D0D19C" w14:textId="77777777" w:rsidR="0096456A" w:rsidRDefault="00000000">
      <w:pPr>
        <w:jc w:val="both"/>
      </w:pPr>
      <w:r>
        <w:t>On day 14, mean TNF-alpha expression was 12.00 ± 1.90 in NC, 4.60 ± 1.10 in CH, 4.80 ± 1.30 in CH-CHA, and 2.20 ± 0.84 in CH-CHA-EA (overall p &lt; 0.0001). All treatment groups had lower expression than NC, and CH-CHA-EA was also lower than CH-CHA. Representative immunohistochemical staining is shown in Figure 2.</w:t>
      </w:r>
    </w:p>
    <w:p w14:paraId="4B06226A" w14:textId="77777777" w:rsidR="0096456A" w:rsidRDefault="00000000">
      <w:pPr>
        <w:keepNext/>
        <w:spacing w:before="120"/>
      </w:pPr>
      <w:r>
        <w:rPr>
          <w:b/>
        </w:rPr>
        <w:lastRenderedPageBreak/>
        <w:t>IL-10 expression</w:t>
      </w:r>
    </w:p>
    <w:p w14:paraId="4563270E" w14:textId="77777777" w:rsidR="0096456A" w:rsidRDefault="00000000">
      <w:pPr>
        <w:jc w:val="both"/>
      </w:pPr>
      <w:r>
        <w:t>IL-10 expression differed among groups on day 3 (overall p &lt; 0.0001; Table 3). The mean values were 3.20 ± 0.84 in NC, 5.20 ± 1.30 in CH, 6.20 ± 1.30 in CH-CHA, and 8.40 ± 1.10 in CH-CHA-EA. CH-CHA-EA had the highest mean value.</w:t>
      </w:r>
    </w:p>
    <w:p w14:paraId="07DE292B" w14:textId="77777777" w:rsidR="0096456A" w:rsidRDefault="00000000">
      <w:pPr>
        <w:jc w:val="both"/>
      </w:pPr>
      <w:r>
        <w:t>On day 7, IL-10 expression also differed among groups (overall p = 0.0004). Mean values were 4.40 ± 1.10 in NC, 7.40 ± 1.80 in CH, 7.80 ± 1.30 in CH-CHA, and 9.60 ± 1.50 in CH-CHA-EA. Post hoc analysis showed higher IL-10 expression in CH-CHA-EA than in NC, CH, and CH-CHA.</w:t>
      </w:r>
    </w:p>
    <w:p w14:paraId="70DE0B5E" w14:textId="77777777" w:rsidR="0096456A" w:rsidRDefault="00000000">
      <w:pPr>
        <w:jc w:val="both"/>
      </w:pPr>
      <w:r>
        <w:t>On day 14, the means were 6.20 ± 1.90 in NC, 7.80 ± 1.50 in CH, 9.20 ± 1.30 in CH-CHA, and 11.20 ± 1.90 in CH-CHA-EA (overall p = 0.0018). CH-CHA-EA had significantly higher IL-10 expression than NC and CH. Representative immunohistochemical staining is shown in Figure 3.</w:t>
      </w:r>
    </w:p>
    <w:p w14:paraId="1167108F" w14:textId="77777777" w:rsidR="0096456A" w:rsidRDefault="00000000">
      <w:pPr>
        <w:keepNext/>
        <w:spacing w:before="240"/>
      </w:pPr>
      <w:r>
        <w:rPr>
          <w:b/>
        </w:rPr>
        <w:t>DISCUSSION</w:t>
      </w:r>
    </w:p>
    <w:p w14:paraId="39F2F7B8" w14:textId="77777777" w:rsidR="0096456A" w:rsidRDefault="00000000">
      <w:pPr>
        <w:jc w:val="both"/>
      </w:pPr>
      <w:r>
        <w:t>This study compared inflammatory markers after pulp perforation among a negative control, calcium hydroxide, calcium hydroxide-CHA, and calcium hydroxide-CHA-EA formulation. Across the scheduled observation points, CH-CHA-EA had the largest mean H&amp;E-based macrophage count and IL-10 expression, whereas TNF-alpha expression was lower on days 7 and 14. These findings indicate an inflammatory profile that may be more favorable for resolution of local inflammation after pulp injury.</w:t>
      </w:r>
    </w:p>
    <w:p w14:paraId="39162968" w14:textId="77777777" w:rsidR="0096456A" w:rsidRDefault="00000000">
      <w:pPr>
        <w:jc w:val="both"/>
      </w:pPr>
      <w:r>
        <w:t>Macrophage counts were higher in the treated groups than in NC. Macrophages can contribute to tissue repair through cytokine production, growth-factor signaling, cell recruitment, matrix remodeling, and regulation of local immune responses. The higher H&amp;E-based counts in CH-CHA-EA may therefore reflect a greater cellular response in treated pulp tissue. However, H&amp;E morphology is not macrophage-specific and does not determine whether counted cells were pro-inflammatory or reparative macrophages. The findings should not be interpreted as evidence of M1-to-M2 polarization [3].</w:t>
      </w:r>
    </w:p>
    <w:p w14:paraId="223F5346" w14:textId="77777777" w:rsidR="0096456A" w:rsidRDefault="00000000">
      <w:pPr>
        <w:jc w:val="both"/>
      </w:pPr>
      <w:r>
        <w:t>CHA is a bioactive calcium phosphate material that resembles biological apatite and can release calcium and phosphate ions. These properties may support cell activity and mineral-related tissue responses in injured pulp [12,13]. In the present study, however, mineralized tissue deposition, dentin bridge formation, pulp vitality, and odontoblast-related markers were not evaluated. The inflammatory findings therefore cannot establish that the modified formulation improved pulp repair or regeneration.</w:t>
      </w:r>
    </w:p>
    <w:p w14:paraId="726A6BC2" w14:textId="77777777" w:rsidR="0096456A" w:rsidRDefault="00000000">
      <w:pPr>
        <w:jc w:val="both"/>
      </w:pPr>
      <w:r>
        <w:lastRenderedPageBreak/>
        <w:t>The lower TNF-alpha and higher IL-10 expression in CH-CHA-EA may reflect an effect on local inflammatory signaling. Both cytokines can be produced by several cell types, and their relationship cannot establish a causal mechanism. Nevertheless, the pattern of lower TNF-alpha together with higher IL-10 is compatible with a pro-resolution inflammatory environment. Persistent TNF-alpha expression in untreated or inadequately protected exposed pulp has been associated with inflammatory-cell infiltration and tissue disorganization in experimental models [14-16].</w:t>
      </w:r>
    </w:p>
    <w:p w14:paraId="77B4EEAE" w14:textId="77777777" w:rsidR="0096456A" w:rsidRDefault="00000000">
      <w:pPr>
        <w:jc w:val="both"/>
      </w:pPr>
      <w:r>
        <w:t>The lower TNF-alpha expression in CH-CHA-EA was most apparent on days 7 and 14. EA has been reported to modulate inflammatory pathways, including NF-kappa B-associated signaling, and EA-containing dental materials have demonstrated anti-inflammatory effects in vivo [7,8]. CHA may complement these effects through its mineral-related bioactivity. Calcium hydroxide itself also establishes an alkaline environment and releases calcium ions, so the observed profile may reflect the combined action of all components rather than one ingredient alone. Because CH-CHA-EA included calcium hydroxide, CHA, EA, and an EA vehicle, the present design cannot separate the contribution of each component or exclude an effect of the vehicle.</w:t>
      </w:r>
    </w:p>
    <w:p w14:paraId="73357721" w14:textId="77777777" w:rsidR="0096456A" w:rsidRDefault="00000000">
      <w:pPr>
        <w:jc w:val="both"/>
      </w:pPr>
      <w:r>
        <w:t>IL-10 is an anti-inflammatory cytokine that can help limit excessive immune activation. The greater IL-10 expression in CH-CHA-EA at each scheduled observation point may be relevant to local inflammation control. The inverse pattern of IL-10 and TNF-alpha, particularly at days 7 and 14, supports the interpretation that the formulation influenced the measured inflammatory profile. Direct pulp-capping animal studies commonly assess histologic outcomes such as inflammation, fibrosis, and hard-tissue bridge formation in addition to immunologic measures [17]. Those outcomes were not measured here and remain important for future work.</w:t>
      </w:r>
    </w:p>
    <w:p w14:paraId="652818CF" w14:textId="77777777" w:rsidR="0096456A" w:rsidRDefault="00000000">
      <w:pPr>
        <w:jc w:val="both"/>
      </w:pPr>
      <w:r>
        <w:t>The findings should be interpreted within the limits of the study. First, macrophages were evaluated by H&amp;E morphology rather than marker-specific staining. Second, the study did not include a vehicle-only control. Third, direct indicators of pulp repair were not measured. Finally, the destructive design used independent animal groups at each endpoint, and the statistical analysis compared groups separately at each time point; no group-by-time interaction was tested. Thus, differences in group means at the three scheduled endpoints should not be interpreted as within-animal change over time. Future studies should include marker-specific characterization of inflammatory cells, a vehicle control, and direct structural and functional outcomes of pulp repair [18,19].</w:t>
      </w:r>
    </w:p>
    <w:p w14:paraId="4E4CA5B9" w14:textId="77777777" w:rsidR="0096456A" w:rsidRDefault="00000000">
      <w:pPr>
        <w:keepNext/>
        <w:spacing w:before="240"/>
      </w:pPr>
      <w:r>
        <w:rPr>
          <w:b/>
        </w:rPr>
        <w:lastRenderedPageBreak/>
        <w:t>CONCLUSION</w:t>
      </w:r>
    </w:p>
    <w:p w14:paraId="6D7E92F4" w14:textId="77777777" w:rsidR="0096456A" w:rsidRDefault="00000000">
      <w:pPr>
        <w:jc w:val="both"/>
      </w:pPr>
      <w:r>
        <w:t>Calcium hydroxide modified with carbonate hydroxyapatite and ellagic acid was associated with higher H&amp;E-based macrophage counts and IL-10 expression and lower TNF-alpha expression in this rat pulp perforation model. The formulation may help regulate local inflammatory responses after pulp injury. Studies using marker-specific inflammatory-cell assessment, vehicle controls, and direct measures of pulp repair are required before drawing conclusions about regenerative benefit.</w:t>
      </w:r>
    </w:p>
    <w:p w14:paraId="2BD8984C" w14:textId="77777777" w:rsidR="0096456A" w:rsidRDefault="00000000">
      <w:pPr>
        <w:keepNext/>
        <w:spacing w:before="240"/>
      </w:pPr>
      <w:r>
        <w:rPr>
          <w:b/>
        </w:rPr>
        <w:t>DATA AVAILABILITY</w:t>
      </w:r>
    </w:p>
    <w:p w14:paraId="2F57669D" w14:textId="68459B75" w:rsidR="0096456A" w:rsidRDefault="000126C9">
      <w:r w:rsidRPr="000126C9">
        <w:t>The data supporting the findings of this study are available from the corresponding author upon reasonable request</w:t>
      </w:r>
      <w:r>
        <w:t>.</w:t>
      </w:r>
    </w:p>
    <w:p w14:paraId="4708680E" w14:textId="77777777" w:rsidR="0096456A" w:rsidRDefault="00000000">
      <w:pPr>
        <w:keepNext/>
        <w:spacing w:before="240"/>
      </w:pPr>
      <w:r>
        <w:rPr>
          <w:b/>
        </w:rPr>
        <w:t>FUNDING</w:t>
      </w:r>
    </w:p>
    <w:p w14:paraId="288CC4D1" w14:textId="5169B504" w:rsidR="0096456A" w:rsidRDefault="001627AF">
      <w:r w:rsidRPr="001627AF">
        <w:t>The authors received no specific funding for this work.</w:t>
      </w:r>
    </w:p>
    <w:p w14:paraId="3B6756B3" w14:textId="77777777" w:rsidR="0096456A" w:rsidRDefault="00000000">
      <w:pPr>
        <w:keepNext/>
        <w:spacing w:before="240"/>
      </w:pPr>
      <w:r>
        <w:rPr>
          <w:b/>
        </w:rPr>
        <w:t>AUTHOR CONTRIBUTIONS</w:t>
      </w:r>
    </w:p>
    <w:p w14:paraId="4A4EAC7F" w14:textId="7008EEC7" w:rsidR="001627AF" w:rsidRDefault="001627AF" w:rsidP="001627AF">
      <w:proofErr w:type="spellStart"/>
      <w:r>
        <w:t>Catur</w:t>
      </w:r>
      <w:proofErr w:type="spellEnd"/>
      <w:r>
        <w:t xml:space="preserve"> </w:t>
      </w:r>
      <w:proofErr w:type="spellStart"/>
      <w:r>
        <w:t>Septommy</w:t>
      </w:r>
      <w:proofErr w:type="spellEnd"/>
      <w:r>
        <w:t>: Conceptualization, methodology, investigation, formal analysis, data curation, and original draft preparation.</w:t>
      </w:r>
    </w:p>
    <w:p w14:paraId="7435973C" w14:textId="21BD3744" w:rsidR="001627AF" w:rsidRDefault="001627AF" w:rsidP="001627AF">
      <w:r>
        <w:t xml:space="preserve">Intan </w:t>
      </w:r>
      <w:proofErr w:type="spellStart"/>
      <w:r>
        <w:t>Nirwana</w:t>
      </w:r>
      <w:proofErr w:type="spellEnd"/>
      <w:r>
        <w:t>: Conceptualization, methodology, supervision, manuscript review, and editing.</w:t>
      </w:r>
    </w:p>
    <w:p w14:paraId="2E57FAA5" w14:textId="6FCAC72D" w:rsidR="001627AF" w:rsidRDefault="001627AF" w:rsidP="001627AF">
      <w:r>
        <w:t>Ira Widjiastuti: Conceptualization, methodology, supervision, manuscript review, and editing.</w:t>
      </w:r>
    </w:p>
    <w:p w14:paraId="0675E387" w14:textId="261431E4" w:rsidR="0096456A" w:rsidRDefault="001627AF" w:rsidP="001627AF">
      <w:r>
        <w:t>All authors read and approved the final manuscript.</w:t>
      </w:r>
    </w:p>
    <w:p w14:paraId="73A664FE" w14:textId="77777777" w:rsidR="0096456A" w:rsidRDefault="00000000">
      <w:pPr>
        <w:keepNext/>
        <w:spacing w:before="240"/>
      </w:pPr>
      <w:r>
        <w:rPr>
          <w:b/>
        </w:rPr>
        <w:t>CONFLICT OF INTEREST</w:t>
      </w:r>
    </w:p>
    <w:p w14:paraId="517D51E5" w14:textId="5147F0E6" w:rsidR="0096456A" w:rsidRDefault="001627AF">
      <w:r w:rsidRPr="001627AF">
        <w:t>The authors declare no conflict of interest.</w:t>
      </w:r>
    </w:p>
    <w:p w14:paraId="4FBB8E24" w14:textId="77777777" w:rsidR="0096456A" w:rsidRDefault="00000000">
      <w:pPr>
        <w:keepNext/>
        <w:spacing w:before="240"/>
      </w:pPr>
      <w:r>
        <w:rPr>
          <w:b/>
        </w:rPr>
        <w:t>ACKNOWLEDGMENTS</w:t>
      </w:r>
    </w:p>
    <w:p w14:paraId="6948CDA6" w14:textId="6B5FABF1" w:rsidR="0096456A" w:rsidRPr="00AA770E" w:rsidRDefault="00AA770E">
      <w:pPr>
        <w:rPr>
          <w:bCs/>
        </w:rPr>
      </w:pPr>
      <w:r w:rsidRPr="00AA770E">
        <w:rPr>
          <w:bCs/>
        </w:rPr>
        <w:t>Not applicable.</w:t>
      </w:r>
    </w:p>
    <w:p w14:paraId="29063997" w14:textId="77777777" w:rsidR="0096456A" w:rsidRDefault="00000000">
      <w:pPr>
        <w:keepNext/>
        <w:pageBreakBefore/>
        <w:spacing w:before="240"/>
      </w:pPr>
      <w:r>
        <w:rPr>
          <w:b/>
        </w:rPr>
        <w:lastRenderedPageBreak/>
        <w:t>REFERENCES</w:t>
      </w:r>
    </w:p>
    <w:p w14:paraId="6EDC18FD" w14:textId="77777777" w:rsidR="0096456A" w:rsidRDefault="00000000">
      <w:pPr>
        <w:spacing w:line="480" w:lineRule="auto"/>
      </w:pPr>
      <w:r>
        <w:t>1. Qiao L, Zheng X, Xie C, Wang Y, Ye L, Zhao J, et al. Bioactive materials in vital pulp therapy: promoting dental pulp repair through inflammation modulation. Biomolecules. 2025;15(2):258. doi: 10.3390/biom15020258.</w:t>
      </w:r>
    </w:p>
    <w:p w14:paraId="0CB79886" w14:textId="77777777" w:rsidR="0096456A" w:rsidRDefault="00000000">
      <w:pPr>
        <w:spacing w:line="480" w:lineRule="auto"/>
      </w:pPr>
      <w:r>
        <w:t>2. Pohl S, Akamp T, Smeda M, Uderhardt S, Besold D, Krastl G, et al. Understanding dental pulp inflammation: from signaling to structure. Front Immunol. 2024;15:1474466. doi: 10.3389/fimmu.2024.1474466.</w:t>
      </w:r>
    </w:p>
    <w:p w14:paraId="7A6314D5" w14:textId="77777777" w:rsidR="0096456A" w:rsidRDefault="00000000">
      <w:pPr>
        <w:spacing w:line="480" w:lineRule="auto"/>
      </w:pPr>
      <w:r>
        <w:t>3. Kadowaki M, Yoshida S, Itoyama T, Tomokiyo A, Hamano S, Hasegawa D, et al. Involvement of M1/M2 macrophage polarization in reparative dentin formation. Life (Basel). 2022;12(11):1812. doi: 10.3390/life12111812.</w:t>
      </w:r>
    </w:p>
    <w:p w14:paraId="46232C82" w14:textId="77777777" w:rsidR="0096456A" w:rsidRDefault="00000000">
      <w:pPr>
        <w:spacing w:line="480" w:lineRule="auto"/>
      </w:pPr>
      <w:r>
        <w:t>4. Anselmi C, Mendes Soares IP, Dal-Fabbro R, Chang S, de Carvalho ABG, Oliveira PHC, et al. Multifunctional bilayer scaffold for dental pulp protection and sustained calcium hydroxide release for mineralized tissue regeneration. Biomaterials. 2026;326:123700. doi: 10.1016/j.biomaterials.2025.123700.</w:t>
      </w:r>
    </w:p>
    <w:p w14:paraId="4E6F5E41" w14:textId="77777777" w:rsidR="0096456A" w:rsidRDefault="00000000">
      <w:pPr>
        <w:spacing w:line="480" w:lineRule="auto"/>
      </w:pPr>
      <w:r>
        <w:t>5. Silva EJNL, Pinto KP, Riche FNSJ, Carestiato MGH, Martins JNR, Duncan HF, et al. A meta-analysis of calcium silicate-based cements and calcium hydroxide as promoters of hard tissue bridge formation. Int Endod J. 2025;58(5):685-714. doi: 10.1111/iej.14210.</w:t>
      </w:r>
    </w:p>
    <w:p w14:paraId="217FB417" w14:textId="77777777" w:rsidR="0096456A" w:rsidRDefault="00000000">
      <w:pPr>
        <w:spacing w:line="480" w:lineRule="auto"/>
      </w:pPr>
      <w:r>
        <w:t>6. Widyasari R, Cahyanto A, Widyaputra S, Rachman A. Fabrication and characterization of carbonate apatite-bovine gelatin scaffolds for endodontic regeneration: a lyophilization-based approach. Eur J Dent. 2025;19(4):1106-1114. doi: 10.1055/s-0045-1809306.</w:t>
      </w:r>
    </w:p>
    <w:p w14:paraId="3B2C8CFB" w14:textId="77777777" w:rsidR="0096456A" w:rsidRDefault="00000000">
      <w:pPr>
        <w:spacing w:line="480" w:lineRule="auto"/>
      </w:pPr>
      <w:r>
        <w:t>7. Sari AF, Nirwana I, Yuliati A, Meizarini A, Rahayu RP, Palupi R, et al. Anti-inflammatory effects of calcium hydroxide combined with ellagic acid as pulp capping material: in vivo study. Eur J Dent. 2025;19(3):624-629. doi: 10.1055/s-0044-1791243.</w:t>
      </w:r>
    </w:p>
    <w:p w14:paraId="37293C9F" w14:textId="77777777" w:rsidR="0096456A" w:rsidRDefault="00000000">
      <w:pPr>
        <w:spacing w:line="480" w:lineRule="auto"/>
      </w:pPr>
      <w:r>
        <w:lastRenderedPageBreak/>
        <w:t>8. Ongoz Dede F, Bozkurt Dogan S, Balli U, Durmuslar MC, Avci B, Gulle K, et al. The effect of ellagic acid on the repair process of periodontal defects related to experimental periodontitis in rats. J Appl Oral Sci. 2021;29:e20210160. doi: 10.1590/1678-7757-2021-0160.</w:t>
      </w:r>
    </w:p>
    <w:p w14:paraId="44076585" w14:textId="77777777" w:rsidR="0096456A" w:rsidRDefault="00000000">
      <w:pPr>
        <w:spacing w:line="480" w:lineRule="auto"/>
      </w:pPr>
      <w:r>
        <w:t>9. Di Foggia M, Prati C, Gandolfi MG, Taddei P. An in vitro study on dentin demineralization and remineralization: collagen rearrangements and influence on the enucleated phase. J Inorg Biochem. 2019;193:84-93. doi: 10.1016/j.jinorgbio.2019.01.004.</w:t>
      </w:r>
    </w:p>
    <w:p w14:paraId="6ACE7D46" w14:textId="77777777" w:rsidR="0096456A" w:rsidRDefault="00000000">
      <w:pPr>
        <w:spacing w:line="480" w:lineRule="auto"/>
      </w:pPr>
      <w:r>
        <w:t>10. Li J, Jiang X, Li H, Gelinsky M, Gu Z. Tailoring materials for modulation of macrophage fate. Adv Mater. 2021;33(12):e2004172. doi: 10.1002/adma.202004172.</w:t>
      </w:r>
    </w:p>
    <w:p w14:paraId="0EA8DE18" w14:textId="77777777" w:rsidR="0096456A" w:rsidRDefault="00000000">
      <w:pPr>
        <w:spacing w:line="480" w:lineRule="auto"/>
      </w:pPr>
      <w:r>
        <w:t>11. Damayanti H, Noordiningsih K, Wahyudi K, Hernawan, Maryani E, Yuliati A, et al. Synthesis of carbonate hydroxyapatite containing magnesium cations by dry mechano-milling. Mater Lett. 2023;338:133999. doi: 10.1016/j.matlet.2023.133999.</w:t>
      </w:r>
    </w:p>
    <w:p w14:paraId="7F5CF557" w14:textId="77777777" w:rsidR="0096456A" w:rsidRDefault="00000000">
      <w:pPr>
        <w:spacing w:line="480" w:lineRule="auto"/>
      </w:pPr>
      <w:r>
        <w:t>12. Ishikawa K. Bone substitute fabrication based on dissolution-precipitation reactions. Materials (Basel). 2010;3(2):1138-1155. doi: 10.3390/ma3021138.</w:t>
      </w:r>
    </w:p>
    <w:p w14:paraId="2C3CF468" w14:textId="77777777" w:rsidR="0096456A" w:rsidRDefault="00000000">
      <w:pPr>
        <w:spacing w:line="480" w:lineRule="auto"/>
      </w:pPr>
      <w:r>
        <w:t>13. Zakaria MN, Cahyanto A, El-Ghannam A. Calcium release and physical properties of modified carbonate apatite cement as pulp capping agent in dental application. Biomater Res. 2018;22:35. doi: 10.1186/s40824-018-0146-6.</w:t>
      </w:r>
    </w:p>
    <w:p w14:paraId="3978FF8A" w14:textId="77777777" w:rsidR="0096456A" w:rsidRDefault="00000000">
      <w:pPr>
        <w:spacing w:line="480" w:lineRule="auto"/>
      </w:pPr>
      <w:r>
        <w:t>14. Wong RSY, Tan T, Pang ASR, Srinivasan DK. The role of cytokines in wound healing: from mechanistic insights to therapeutic applications. Explor Immunol. 2025;5:1003183. doi: 10.37349/ei.2025.1003183.</w:t>
      </w:r>
    </w:p>
    <w:p w14:paraId="71F02F17" w14:textId="77777777" w:rsidR="0096456A" w:rsidRDefault="00000000">
      <w:pPr>
        <w:spacing w:line="480" w:lineRule="auto"/>
      </w:pPr>
      <w:r>
        <w:t>15. Hasan A, Roome T, Wahid M, Ansari SA, Khan JA, Jilani SNA, et al. Expression of Toll-like receptor 2, Dectin-1, and osteopontin in murine model of pulpitis. Clin Oral Investig. 2023;27(3):1177-1192. doi: 10.1007/s00784-022-04732-2.</w:t>
      </w:r>
    </w:p>
    <w:p w14:paraId="264B7D05" w14:textId="77777777" w:rsidR="0096456A" w:rsidRDefault="00000000">
      <w:pPr>
        <w:spacing w:line="480" w:lineRule="auto"/>
      </w:pPr>
      <w:r>
        <w:lastRenderedPageBreak/>
        <w:t>16. He Y, Gan Y, Lu J, Feng Q, Wang H, Guan H, et al. Pulpal tissue inflammatory reactions after experimental pulpal exposure in mice. J Endod. 2017;43(1):90-95. doi: 10.1016/j.joen.2016.09.003.</w:t>
      </w:r>
    </w:p>
    <w:p w14:paraId="3907DF71" w14:textId="77777777" w:rsidR="0096456A" w:rsidRDefault="00000000">
      <w:pPr>
        <w:spacing w:line="480" w:lineRule="auto"/>
      </w:pPr>
      <w:r>
        <w:t>17. Nabil S, El-Rashidy AA, El Moshy S, Abbas MMS, Waly G. Nano eggshell-based slurry as a direct pulp-capping material: in vitro characterization and histopathological assessment in an experimental animal model. Int Endod J. 2023;56(9):1129-1146. doi: 10.1111/iej.13949.</w:t>
      </w:r>
    </w:p>
    <w:p w14:paraId="7E13B57C" w14:textId="77777777" w:rsidR="0096456A" w:rsidRDefault="00000000">
      <w:pPr>
        <w:spacing w:line="480" w:lineRule="auto"/>
      </w:pPr>
      <w:r>
        <w:t>18. Duncan HF, Cooper PR, Smith AJ. Dissecting dentine-pulp injury and wound healing responses: consequences for regenerative endodontics. Int Endod J. 2019;52(3):261-266. doi: 10.1111/iej.13064.</w:t>
      </w:r>
    </w:p>
    <w:p w14:paraId="5526422B" w14:textId="77777777" w:rsidR="0096456A" w:rsidRDefault="00000000">
      <w:pPr>
        <w:spacing w:line="480" w:lineRule="auto"/>
      </w:pPr>
      <w:r>
        <w:t>19. Zaky SH, Shehabeldin M, Ray H, Sfeir C. The role of inflammation modulation in dental pulp regeneration. Eur Cell Mater. 2021;41:184-193. doi: 10.22203/eCM.v041a13.</w:t>
      </w:r>
    </w:p>
    <w:p w14:paraId="37C549A8" w14:textId="77777777" w:rsidR="0096456A" w:rsidRDefault="00000000">
      <w:pPr>
        <w:keepNext/>
        <w:pageBreakBefore/>
        <w:spacing w:before="240"/>
      </w:pPr>
      <w:r>
        <w:rPr>
          <w:b/>
        </w:rPr>
        <w:lastRenderedPageBreak/>
        <w:t>FIGURE LEGENDS</w:t>
      </w:r>
    </w:p>
    <w:p w14:paraId="26A78A4C" w14:textId="77777777" w:rsidR="0096456A" w:rsidRDefault="00000000">
      <w:pPr>
        <w:spacing w:before="100"/>
      </w:pPr>
      <w:r>
        <w:t>Figure 1. Representative hematoxylin and eosin (H&amp;E)-stained sections of perforated pulp tissue from the NC, CH, CH-CHA, and CH-CHA-EA groups. Arrows identify cells included in the H&amp;E-based macrophage count. Original magnification, 1,000x.</w:t>
      </w:r>
    </w:p>
    <w:p w14:paraId="04715E67" w14:textId="77777777" w:rsidR="0096456A" w:rsidRDefault="00000000">
      <w:pPr>
        <w:spacing w:before="100"/>
      </w:pPr>
      <w:r>
        <w:t>Figure 2. Representative immunohistochemical staining showing TNF-alpha-positive cells in perforated pulp tissue after treatment with different pulp-capping materials. Brown staining indicates TNF-alpha immunoreactivity. Arrows indicate positively stained cells. Original magnification, 1,000x.</w:t>
      </w:r>
    </w:p>
    <w:p w14:paraId="0C3F5243" w14:textId="77777777" w:rsidR="0096456A" w:rsidRDefault="00000000">
      <w:pPr>
        <w:spacing w:before="100"/>
      </w:pPr>
      <w:r>
        <w:t>Figure 3. Representative immunohistochemical staining showing IL-10-positive cells in perforated pulp tissue after treatment with different pulp-capping materials. Brown staining indicates IL-10 immunoreactivity. Arrows indicate positively stained cells. Original magnification, 1,000x.</w:t>
      </w:r>
    </w:p>
    <w:p w14:paraId="74439AB2" w14:textId="77777777" w:rsidR="0096456A" w:rsidRDefault="00000000">
      <w:pPr>
        <w:keepNext/>
        <w:pageBreakBefore/>
        <w:spacing w:before="240"/>
      </w:pPr>
      <w:r>
        <w:rPr>
          <w:b/>
        </w:rPr>
        <w:lastRenderedPageBreak/>
        <w:t>TABLES</w:t>
      </w:r>
    </w:p>
    <w:p w14:paraId="60928E01" w14:textId="77777777" w:rsidR="0096456A" w:rsidRDefault="00000000">
      <w:pPr>
        <w:keepNext/>
        <w:spacing w:before="200"/>
      </w:pPr>
      <w:r>
        <w:rPr>
          <w:b/>
        </w:rPr>
        <w:t>Table 1. H&amp;E-based macrophage counts in pulp tissue after application of different pulp-capping materials.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1"/>
        <w:gridCol w:w="2351"/>
        <w:gridCol w:w="2351"/>
        <w:gridCol w:w="2351"/>
      </w:tblGrid>
      <w:tr w:rsidR="0096456A" w14:paraId="1295C51A" w14:textId="77777777">
        <w:trPr>
          <w:tblHeader/>
          <w:jc w:val="center"/>
        </w:trPr>
        <w:tc>
          <w:tcPr>
            <w:tcW w:w="1871" w:type="dxa"/>
            <w:shd w:val="clear" w:color="auto" w:fill="D9EAF7"/>
            <w:tcMar>
              <w:top w:w="80" w:type="dxa"/>
              <w:left w:w="80" w:type="dxa"/>
              <w:bottom w:w="80" w:type="dxa"/>
              <w:right w:w="80" w:type="dxa"/>
            </w:tcMar>
            <w:vAlign w:val="center"/>
          </w:tcPr>
          <w:p w14:paraId="715EB991" w14:textId="77777777" w:rsidR="0096456A" w:rsidRDefault="00000000">
            <w:pPr>
              <w:spacing w:line="240" w:lineRule="auto"/>
              <w:jc w:val="center"/>
            </w:pPr>
            <w:r>
              <w:rPr>
                <w:b/>
              </w:rPr>
              <w:t>Group</w:t>
            </w:r>
          </w:p>
        </w:tc>
        <w:tc>
          <w:tcPr>
            <w:tcW w:w="1757" w:type="dxa"/>
            <w:shd w:val="clear" w:color="auto" w:fill="D9EAF7"/>
            <w:tcMar>
              <w:top w:w="80" w:type="dxa"/>
              <w:left w:w="80" w:type="dxa"/>
              <w:bottom w:w="80" w:type="dxa"/>
              <w:right w:w="80" w:type="dxa"/>
            </w:tcMar>
            <w:vAlign w:val="center"/>
          </w:tcPr>
          <w:p w14:paraId="5A01DD85" w14:textId="77777777" w:rsidR="0096456A" w:rsidRDefault="00000000">
            <w:pPr>
              <w:spacing w:line="240" w:lineRule="auto"/>
              <w:jc w:val="center"/>
            </w:pPr>
            <w:r>
              <w:rPr>
                <w:b/>
              </w:rPr>
              <w:t>Day 3</w:t>
            </w:r>
          </w:p>
        </w:tc>
        <w:tc>
          <w:tcPr>
            <w:tcW w:w="1757" w:type="dxa"/>
            <w:shd w:val="clear" w:color="auto" w:fill="D9EAF7"/>
            <w:tcMar>
              <w:top w:w="80" w:type="dxa"/>
              <w:left w:w="80" w:type="dxa"/>
              <w:bottom w:w="80" w:type="dxa"/>
              <w:right w:w="80" w:type="dxa"/>
            </w:tcMar>
            <w:vAlign w:val="center"/>
          </w:tcPr>
          <w:p w14:paraId="149C1C3F" w14:textId="77777777" w:rsidR="0096456A" w:rsidRDefault="00000000">
            <w:pPr>
              <w:spacing w:line="240" w:lineRule="auto"/>
              <w:jc w:val="center"/>
            </w:pPr>
            <w:r>
              <w:rPr>
                <w:b/>
              </w:rPr>
              <w:t>Day 7</w:t>
            </w:r>
          </w:p>
        </w:tc>
        <w:tc>
          <w:tcPr>
            <w:tcW w:w="1757" w:type="dxa"/>
            <w:shd w:val="clear" w:color="auto" w:fill="D9EAF7"/>
            <w:tcMar>
              <w:top w:w="80" w:type="dxa"/>
              <w:left w:w="80" w:type="dxa"/>
              <w:bottom w:w="80" w:type="dxa"/>
              <w:right w:w="80" w:type="dxa"/>
            </w:tcMar>
            <w:vAlign w:val="center"/>
          </w:tcPr>
          <w:p w14:paraId="43F46A10" w14:textId="77777777" w:rsidR="0096456A" w:rsidRDefault="00000000">
            <w:pPr>
              <w:spacing w:line="240" w:lineRule="auto"/>
              <w:jc w:val="center"/>
            </w:pPr>
            <w:r>
              <w:rPr>
                <w:b/>
              </w:rPr>
              <w:t>Day 14</w:t>
            </w:r>
          </w:p>
        </w:tc>
      </w:tr>
      <w:tr w:rsidR="0096456A" w14:paraId="1518E64F" w14:textId="77777777">
        <w:trPr>
          <w:jc w:val="center"/>
        </w:trPr>
        <w:tc>
          <w:tcPr>
            <w:tcW w:w="2351" w:type="dxa"/>
            <w:tcMar>
              <w:top w:w="80" w:type="dxa"/>
              <w:left w:w="80" w:type="dxa"/>
              <w:bottom w:w="80" w:type="dxa"/>
              <w:right w:w="80" w:type="dxa"/>
            </w:tcMar>
            <w:vAlign w:val="center"/>
          </w:tcPr>
          <w:p w14:paraId="16B72F65" w14:textId="77777777" w:rsidR="0096456A" w:rsidRDefault="00000000">
            <w:pPr>
              <w:spacing w:line="240" w:lineRule="auto"/>
            </w:pPr>
            <w:r>
              <w:t>NC</w:t>
            </w:r>
          </w:p>
        </w:tc>
        <w:tc>
          <w:tcPr>
            <w:tcW w:w="2351" w:type="dxa"/>
            <w:tcMar>
              <w:top w:w="80" w:type="dxa"/>
              <w:left w:w="80" w:type="dxa"/>
              <w:bottom w:w="80" w:type="dxa"/>
              <w:right w:w="80" w:type="dxa"/>
            </w:tcMar>
            <w:vAlign w:val="center"/>
          </w:tcPr>
          <w:p w14:paraId="0CA1EAF8" w14:textId="77777777" w:rsidR="0096456A" w:rsidRDefault="00000000">
            <w:pPr>
              <w:spacing w:line="240" w:lineRule="auto"/>
              <w:jc w:val="center"/>
            </w:pPr>
            <w:r>
              <w:t>2.20 ± 0.84</w:t>
            </w:r>
          </w:p>
        </w:tc>
        <w:tc>
          <w:tcPr>
            <w:tcW w:w="2351" w:type="dxa"/>
            <w:tcMar>
              <w:top w:w="80" w:type="dxa"/>
              <w:left w:w="80" w:type="dxa"/>
              <w:bottom w:w="80" w:type="dxa"/>
              <w:right w:w="80" w:type="dxa"/>
            </w:tcMar>
            <w:vAlign w:val="center"/>
          </w:tcPr>
          <w:p w14:paraId="3ABFE531" w14:textId="77777777" w:rsidR="0096456A" w:rsidRDefault="00000000">
            <w:pPr>
              <w:spacing w:line="240" w:lineRule="auto"/>
              <w:jc w:val="center"/>
            </w:pPr>
            <w:r>
              <w:t>2.80 ± 0.84</w:t>
            </w:r>
          </w:p>
        </w:tc>
        <w:tc>
          <w:tcPr>
            <w:tcW w:w="2351" w:type="dxa"/>
            <w:tcMar>
              <w:top w:w="80" w:type="dxa"/>
              <w:left w:w="80" w:type="dxa"/>
              <w:bottom w:w="80" w:type="dxa"/>
              <w:right w:w="80" w:type="dxa"/>
            </w:tcMar>
            <w:vAlign w:val="center"/>
          </w:tcPr>
          <w:p w14:paraId="6EC84C02" w14:textId="77777777" w:rsidR="0096456A" w:rsidRDefault="00000000">
            <w:pPr>
              <w:spacing w:line="240" w:lineRule="auto"/>
              <w:jc w:val="center"/>
            </w:pPr>
            <w:r>
              <w:t>3.60 ± 1.10</w:t>
            </w:r>
          </w:p>
        </w:tc>
      </w:tr>
      <w:tr w:rsidR="0096456A" w14:paraId="66D00F65" w14:textId="77777777">
        <w:trPr>
          <w:jc w:val="center"/>
        </w:trPr>
        <w:tc>
          <w:tcPr>
            <w:tcW w:w="2351" w:type="dxa"/>
            <w:tcMar>
              <w:top w:w="80" w:type="dxa"/>
              <w:left w:w="80" w:type="dxa"/>
              <w:bottom w:w="80" w:type="dxa"/>
              <w:right w:w="80" w:type="dxa"/>
            </w:tcMar>
            <w:vAlign w:val="center"/>
          </w:tcPr>
          <w:p w14:paraId="774828A8" w14:textId="77777777" w:rsidR="0096456A" w:rsidRDefault="00000000">
            <w:pPr>
              <w:spacing w:line="240" w:lineRule="auto"/>
            </w:pPr>
            <w:r>
              <w:t>CH</w:t>
            </w:r>
          </w:p>
        </w:tc>
        <w:tc>
          <w:tcPr>
            <w:tcW w:w="2351" w:type="dxa"/>
            <w:tcMar>
              <w:top w:w="80" w:type="dxa"/>
              <w:left w:w="80" w:type="dxa"/>
              <w:bottom w:w="80" w:type="dxa"/>
              <w:right w:w="80" w:type="dxa"/>
            </w:tcMar>
            <w:vAlign w:val="center"/>
          </w:tcPr>
          <w:p w14:paraId="264CAB92" w14:textId="77777777" w:rsidR="0096456A" w:rsidRDefault="00000000">
            <w:pPr>
              <w:spacing w:line="240" w:lineRule="auto"/>
              <w:jc w:val="center"/>
            </w:pPr>
            <w:r>
              <w:t>4.80 ± 1.30</w:t>
            </w:r>
          </w:p>
        </w:tc>
        <w:tc>
          <w:tcPr>
            <w:tcW w:w="2351" w:type="dxa"/>
            <w:tcMar>
              <w:top w:w="80" w:type="dxa"/>
              <w:left w:w="80" w:type="dxa"/>
              <w:bottom w:w="80" w:type="dxa"/>
              <w:right w:w="80" w:type="dxa"/>
            </w:tcMar>
            <w:vAlign w:val="center"/>
          </w:tcPr>
          <w:p w14:paraId="665EC14D" w14:textId="77777777" w:rsidR="0096456A" w:rsidRDefault="00000000">
            <w:pPr>
              <w:spacing w:line="240" w:lineRule="auto"/>
              <w:jc w:val="center"/>
            </w:pPr>
            <w:r>
              <w:t>7.00 ± 1.60</w:t>
            </w:r>
          </w:p>
        </w:tc>
        <w:tc>
          <w:tcPr>
            <w:tcW w:w="2351" w:type="dxa"/>
            <w:tcMar>
              <w:top w:w="80" w:type="dxa"/>
              <w:left w:w="80" w:type="dxa"/>
              <w:bottom w:w="80" w:type="dxa"/>
              <w:right w:w="80" w:type="dxa"/>
            </w:tcMar>
            <w:vAlign w:val="center"/>
          </w:tcPr>
          <w:p w14:paraId="5C2A88D4" w14:textId="77777777" w:rsidR="0096456A" w:rsidRDefault="00000000">
            <w:pPr>
              <w:spacing w:line="240" w:lineRule="auto"/>
              <w:jc w:val="center"/>
            </w:pPr>
            <w:r>
              <w:t>7.60 ± 1.10</w:t>
            </w:r>
          </w:p>
        </w:tc>
      </w:tr>
      <w:tr w:rsidR="0096456A" w14:paraId="525EED16" w14:textId="77777777">
        <w:trPr>
          <w:jc w:val="center"/>
        </w:trPr>
        <w:tc>
          <w:tcPr>
            <w:tcW w:w="2351" w:type="dxa"/>
            <w:tcMar>
              <w:top w:w="80" w:type="dxa"/>
              <w:left w:w="80" w:type="dxa"/>
              <w:bottom w:w="80" w:type="dxa"/>
              <w:right w:w="80" w:type="dxa"/>
            </w:tcMar>
            <w:vAlign w:val="center"/>
          </w:tcPr>
          <w:p w14:paraId="56EB827C" w14:textId="77777777" w:rsidR="0096456A" w:rsidRDefault="00000000">
            <w:pPr>
              <w:spacing w:line="240" w:lineRule="auto"/>
            </w:pPr>
            <w:r>
              <w:t>CH-CHA</w:t>
            </w:r>
          </w:p>
        </w:tc>
        <w:tc>
          <w:tcPr>
            <w:tcW w:w="2351" w:type="dxa"/>
            <w:tcMar>
              <w:top w:w="80" w:type="dxa"/>
              <w:left w:w="80" w:type="dxa"/>
              <w:bottom w:w="80" w:type="dxa"/>
              <w:right w:w="80" w:type="dxa"/>
            </w:tcMar>
            <w:vAlign w:val="center"/>
          </w:tcPr>
          <w:p w14:paraId="23F9C55C" w14:textId="77777777" w:rsidR="0096456A" w:rsidRDefault="00000000">
            <w:pPr>
              <w:spacing w:line="240" w:lineRule="auto"/>
              <w:jc w:val="center"/>
            </w:pPr>
            <w:r>
              <w:t>6.60 ± 1.30</w:t>
            </w:r>
          </w:p>
        </w:tc>
        <w:tc>
          <w:tcPr>
            <w:tcW w:w="2351" w:type="dxa"/>
            <w:tcMar>
              <w:top w:w="80" w:type="dxa"/>
              <w:left w:w="80" w:type="dxa"/>
              <w:bottom w:w="80" w:type="dxa"/>
              <w:right w:w="80" w:type="dxa"/>
            </w:tcMar>
            <w:vAlign w:val="center"/>
          </w:tcPr>
          <w:p w14:paraId="40152CFE" w14:textId="77777777" w:rsidR="0096456A" w:rsidRDefault="00000000">
            <w:pPr>
              <w:spacing w:line="240" w:lineRule="auto"/>
              <w:jc w:val="center"/>
            </w:pPr>
            <w:r>
              <w:t>8.00 ± 1.60</w:t>
            </w:r>
          </w:p>
        </w:tc>
        <w:tc>
          <w:tcPr>
            <w:tcW w:w="2351" w:type="dxa"/>
            <w:tcMar>
              <w:top w:w="80" w:type="dxa"/>
              <w:left w:w="80" w:type="dxa"/>
              <w:bottom w:w="80" w:type="dxa"/>
              <w:right w:w="80" w:type="dxa"/>
            </w:tcMar>
            <w:vAlign w:val="center"/>
          </w:tcPr>
          <w:p w14:paraId="076BEC8F" w14:textId="77777777" w:rsidR="0096456A" w:rsidRDefault="00000000">
            <w:pPr>
              <w:spacing w:line="240" w:lineRule="auto"/>
              <w:jc w:val="center"/>
            </w:pPr>
            <w:r>
              <w:t>9.20 ± 1.80</w:t>
            </w:r>
          </w:p>
        </w:tc>
      </w:tr>
      <w:tr w:rsidR="0096456A" w14:paraId="125D9E5D" w14:textId="77777777">
        <w:trPr>
          <w:jc w:val="center"/>
        </w:trPr>
        <w:tc>
          <w:tcPr>
            <w:tcW w:w="2351" w:type="dxa"/>
            <w:tcMar>
              <w:top w:w="80" w:type="dxa"/>
              <w:left w:w="80" w:type="dxa"/>
              <w:bottom w:w="80" w:type="dxa"/>
              <w:right w:w="80" w:type="dxa"/>
            </w:tcMar>
            <w:vAlign w:val="center"/>
          </w:tcPr>
          <w:p w14:paraId="1EBA353E" w14:textId="77777777" w:rsidR="0096456A" w:rsidRDefault="00000000">
            <w:pPr>
              <w:spacing w:line="240" w:lineRule="auto"/>
            </w:pPr>
            <w:r>
              <w:t>CH-CHA-EA</w:t>
            </w:r>
          </w:p>
        </w:tc>
        <w:tc>
          <w:tcPr>
            <w:tcW w:w="2351" w:type="dxa"/>
            <w:tcMar>
              <w:top w:w="80" w:type="dxa"/>
              <w:left w:w="80" w:type="dxa"/>
              <w:bottom w:w="80" w:type="dxa"/>
              <w:right w:w="80" w:type="dxa"/>
            </w:tcMar>
            <w:vAlign w:val="center"/>
          </w:tcPr>
          <w:p w14:paraId="6899539A" w14:textId="77777777" w:rsidR="0096456A" w:rsidRDefault="00000000">
            <w:pPr>
              <w:spacing w:line="240" w:lineRule="auto"/>
              <w:jc w:val="center"/>
            </w:pPr>
            <w:r>
              <w:t>7.80 ± 0.84</w:t>
            </w:r>
          </w:p>
        </w:tc>
        <w:tc>
          <w:tcPr>
            <w:tcW w:w="2351" w:type="dxa"/>
            <w:tcMar>
              <w:top w:w="80" w:type="dxa"/>
              <w:left w:w="80" w:type="dxa"/>
              <w:bottom w:w="80" w:type="dxa"/>
              <w:right w:w="80" w:type="dxa"/>
            </w:tcMar>
            <w:vAlign w:val="center"/>
          </w:tcPr>
          <w:p w14:paraId="5D29311B" w14:textId="77777777" w:rsidR="0096456A" w:rsidRDefault="00000000">
            <w:pPr>
              <w:spacing w:line="240" w:lineRule="auto"/>
              <w:jc w:val="center"/>
            </w:pPr>
            <w:r>
              <w:t>9.40 ± 1.50</w:t>
            </w:r>
          </w:p>
        </w:tc>
        <w:tc>
          <w:tcPr>
            <w:tcW w:w="2351" w:type="dxa"/>
            <w:tcMar>
              <w:top w:w="80" w:type="dxa"/>
              <w:left w:w="80" w:type="dxa"/>
              <w:bottom w:w="80" w:type="dxa"/>
              <w:right w:w="80" w:type="dxa"/>
            </w:tcMar>
            <w:vAlign w:val="center"/>
          </w:tcPr>
          <w:p w14:paraId="104DC3CF" w14:textId="77777777" w:rsidR="0096456A" w:rsidRDefault="00000000">
            <w:pPr>
              <w:spacing w:line="240" w:lineRule="auto"/>
              <w:jc w:val="center"/>
            </w:pPr>
            <w:r>
              <w:t>11.00 ± 1.60</w:t>
            </w:r>
          </w:p>
        </w:tc>
      </w:tr>
      <w:tr w:rsidR="0096456A" w14:paraId="165E3DD4" w14:textId="77777777">
        <w:trPr>
          <w:jc w:val="center"/>
        </w:trPr>
        <w:tc>
          <w:tcPr>
            <w:tcW w:w="2351" w:type="dxa"/>
            <w:shd w:val="clear" w:color="auto" w:fill="F2F2F2"/>
            <w:tcMar>
              <w:top w:w="80" w:type="dxa"/>
              <w:left w:w="80" w:type="dxa"/>
              <w:bottom w:w="80" w:type="dxa"/>
              <w:right w:w="80" w:type="dxa"/>
            </w:tcMar>
            <w:vAlign w:val="center"/>
          </w:tcPr>
          <w:p w14:paraId="2C91182C" w14:textId="77777777" w:rsidR="0096456A" w:rsidRDefault="00000000">
            <w:pPr>
              <w:spacing w:line="240" w:lineRule="auto"/>
            </w:pPr>
            <w:r>
              <w:rPr>
                <w:b/>
              </w:rPr>
              <w:t>Overall p valuea</w:t>
            </w:r>
          </w:p>
        </w:tc>
        <w:tc>
          <w:tcPr>
            <w:tcW w:w="2351" w:type="dxa"/>
            <w:shd w:val="clear" w:color="auto" w:fill="F2F2F2"/>
            <w:tcMar>
              <w:top w:w="80" w:type="dxa"/>
              <w:left w:w="80" w:type="dxa"/>
              <w:bottom w:w="80" w:type="dxa"/>
              <w:right w:w="80" w:type="dxa"/>
            </w:tcMar>
            <w:vAlign w:val="center"/>
          </w:tcPr>
          <w:p w14:paraId="55592746" w14:textId="77777777" w:rsidR="0096456A" w:rsidRDefault="00000000">
            <w:pPr>
              <w:spacing w:line="240" w:lineRule="auto"/>
              <w:jc w:val="center"/>
            </w:pPr>
            <w:r>
              <w:rPr>
                <w:b/>
              </w:rPr>
              <w:t>&lt; 0.0001</w:t>
            </w:r>
          </w:p>
        </w:tc>
        <w:tc>
          <w:tcPr>
            <w:tcW w:w="2351" w:type="dxa"/>
            <w:shd w:val="clear" w:color="auto" w:fill="F2F2F2"/>
            <w:tcMar>
              <w:top w:w="80" w:type="dxa"/>
              <w:left w:w="80" w:type="dxa"/>
              <w:bottom w:w="80" w:type="dxa"/>
              <w:right w:w="80" w:type="dxa"/>
            </w:tcMar>
            <w:vAlign w:val="center"/>
          </w:tcPr>
          <w:p w14:paraId="584499B8" w14:textId="77777777" w:rsidR="0096456A" w:rsidRDefault="00000000">
            <w:pPr>
              <w:spacing w:line="240" w:lineRule="auto"/>
              <w:jc w:val="center"/>
            </w:pPr>
            <w:r>
              <w:rPr>
                <w:b/>
              </w:rPr>
              <w:t>&lt; 0.0001</w:t>
            </w:r>
          </w:p>
        </w:tc>
        <w:tc>
          <w:tcPr>
            <w:tcW w:w="2351" w:type="dxa"/>
            <w:shd w:val="clear" w:color="auto" w:fill="F2F2F2"/>
            <w:tcMar>
              <w:top w:w="80" w:type="dxa"/>
              <w:left w:w="80" w:type="dxa"/>
              <w:bottom w:w="80" w:type="dxa"/>
              <w:right w:w="80" w:type="dxa"/>
            </w:tcMar>
            <w:vAlign w:val="center"/>
          </w:tcPr>
          <w:p w14:paraId="5ACA1A42" w14:textId="77777777" w:rsidR="0096456A" w:rsidRDefault="00000000">
            <w:pPr>
              <w:spacing w:line="240" w:lineRule="auto"/>
              <w:jc w:val="center"/>
            </w:pPr>
            <w:r>
              <w:rPr>
                <w:b/>
              </w:rPr>
              <w:t>&lt; 0.0001</w:t>
            </w:r>
          </w:p>
        </w:tc>
      </w:tr>
    </w:tbl>
    <w:p w14:paraId="3876BE6A" w14:textId="77777777" w:rsidR="0096456A" w:rsidRDefault="00000000">
      <w:r>
        <w:rPr>
          <w:i/>
        </w:rPr>
        <w:t>Values are mean ± standard deviation (n = 5 animals per group at each time point). a One-way analysis of variance across groups at the specified time point. CH, calcium hydroxide; CHA, carbonate hydroxyapatite; EA, ellagic acid; H&amp;E, hematoxylin and eosin; NC, negative control.</w:t>
      </w:r>
    </w:p>
    <w:p w14:paraId="3E73BE87" w14:textId="77777777" w:rsidR="0096456A" w:rsidRDefault="00000000">
      <w:pPr>
        <w:keepNext/>
        <w:spacing w:before="200"/>
      </w:pPr>
      <w:r>
        <w:rPr>
          <w:b/>
        </w:rPr>
        <w:t>Table 2. TNF-alpha expression in pulp tissue after application of different pulp-capping materials.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1"/>
        <w:gridCol w:w="2351"/>
        <w:gridCol w:w="2351"/>
        <w:gridCol w:w="2351"/>
      </w:tblGrid>
      <w:tr w:rsidR="0096456A" w14:paraId="52EBBCF4" w14:textId="77777777">
        <w:trPr>
          <w:tblHeader/>
          <w:jc w:val="center"/>
        </w:trPr>
        <w:tc>
          <w:tcPr>
            <w:tcW w:w="1871" w:type="dxa"/>
            <w:shd w:val="clear" w:color="auto" w:fill="D9EAF7"/>
            <w:tcMar>
              <w:top w:w="80" w:type="dxa"/>
              <w:left w:w="80" w:type="dxa"/>
              <w:bottom w:w="80" w:type="dxa"/>
              <w:right w:w="80" w:type="dxa"/>
            </w:tcMar>
            <w:vAlign w:val="center"/>
          </w:tcPr>
          <w:p w14:paraId="79610899" w14:textId="77777777" w:rsidR="0096456A" w:rsidRDefault="00000000">
            <w:pPr>
              <w:spacing w:line="240" w:lineRule="auto"/>
              <w:jc w:val="center"/>
            </w:pPr>
            <w:r>
              <w:rPr>
                <w:b/>
              </w:rPr>
              <w:t>Group</w:t>
            </w:r>
          </w:p>
        </w:tc>
        <w:tc>
          <w:tcPr>
            <w:tcW w:w="1757" w:type="dxa"/>
            <w:shd w:val="clear" w:color="auto" w:fill="D9EAF7"/>
            <w:tcMar>
              <w:top w:w="80" w:type="dxa"/>
              <w:left w:w="80" w:type="dxa"/>
              <w:bottom w:w="80" w:type="dxa"/>
              <w:right w:w="80" w:type="dxa"/>
            </w:tcMar>
            <w:vAlign w:val="center"/>
          </w:tcPr>
          <w:p w14:paraId="1A93C155" w14:textId="77777777" w:rsidR="0096456A" w:rsidRDefault="00000000">
            <w:pPr>
              <w:spacing w:line="240" w:lineRule="auto"/>
              <w:jc w:val="center"/>
            </w:pPr>
            <w:r>
              <w:rPr>
                <w:b/>
              </w:rPr>
              <w:t>Day 3</w:t>
            </w:r>
          </w:p>
        </w:tc>
        <w:tc>
          <w:tcPr>
            <w:tcW w:w="1757" w:type="dxa"/>
            <w:shd w:val="clear" w:color="auto" w:fill="D9EAF7"/>
            <w:tcMar>
              <w:top w:w="80" w:type="dxa"/>
              <w:left w:w="80" w:type="dxa"/>
              <w:bottom w:w="80" w:type="dxa"/>
              <w:right w:w="80" w:type="dxa"/>
            </w:tcMar>
            <w:vAlign w:val="center"/>
          </w:tcPr>
          <w:p w14:paraId="316C9526" w14:textId="77777777" w:rsidR="0096456A" w:rsidRDefault="00000000">
            <w:pPr>
              <w:spacing w:line="240" w:lineRule="auto"/>
              <w:jc w:val="center"/>
            </w:pPr>
            <w:r>
              <w:rPr>
                <w:b/>
              </w:rPr>
              <w:t>Day 7</w:t>
            </w:r>
          </w:p>
        </w:tc>
        <w:tc>
          <w:tcPr>
            <w:tcW w:w="1757" w:type="dxa"/>
            <w:shd w:val="clear" w:color="auto" w:fill="D9EAF7"/>
            <w:tcMar>
              <w:top w:w="80" w:type="dxa"/>
              <w:left w:w="80" w:type="dxa"/>
              <w:bottom w:w="80" w:type="dxa"/>
              <w:right w:w="80" w:type="dxa"/>
            </w:tcMar>
            <w:vAlign w:val="center"/>
          </w:tcPr>
          <w:p w14:paraId="2DA2A048" w14:textId="77777777" w:rsidR="0096456A" w:rsidRDefault="00000000">
            <w:pPr>
              <w:spacing w:line="240" w:lineRule="auto"/>
              <w:jc w:val="center"/>
            </w:pPr>
            <w:r>
              <w:rPr>
                <w:b/>
              </w:rPr>
              <w:t>Day 14</w:t>
            </w:r>
          </w:p>
        </w:tc>
      </w:tr>
      <w:tr w:rsidR="0096456A" w14:paraId="26551AF3" w14:textId="77777777">
        <w:trPr>
          <w:jc w:val="center"/>
        </w:trPr>
        <w:tc>
          <w:tcPr>
            <w:tcW w:w="2351" w:type="dxa"/>
            <w:tcMar>
              <w:top w:w="80" w:type="dxa"/>
              <w:left w:w="80" w:type="dxa"/>
              <w:bottom w:w="80" w:type="dxa"/>
              <w:right w:w="80" w:type="dxa"/>
            </w:tcMar>
            <w:vAlign w:val="center"/>
          </w:tcPr>
          <w:p w14:paraId="38BCAB77" w14:textId="77777777" w:rsidR="0096456A" w:rsidRDefault="00000000">
            <w:pPr>
              <w:spacing w:line="240" w:lineRule="auto"/>
            </w:pPr>
            <w:r>
              <w:t>NC</w:t>
            </w:r>
          </w:p>
        </w:tc>
        <w:tc>
          <w:tcPr>
            <w:tcW w:w="2351" w:type="dxa"/>
            <w:tcMar>
              <w:top w:w="80" w:type="dxa"/>
              <w:left w:w="80" w:type="dxa"/>
              <w:bottom w:w="80" w:type="dxa"/>
              <w:right w:w="80" w:type="dxa"/>
            </w:tcMar>
            <w:vAlign w:val="center"/>
          </w:tcPr>
          <w:p w14:paraId="390AD15E" w14:textId="77777777" w:rsidR="0096456A" w:rsidRDefault="00000000">
            <w:pPr>
              <w:spacing w:line="240" w:lineRule="auto"/>
              <w:jc w:val="center"/>
            </w:pPr>
            <w:r>
              <w:t>5.60 ± 2.10</w:t>
            </w:r>
          </w:p>
        </w:tc>
        <w:tc>
          <w:tcPr>
            <w:tcW w:w="2351" w:type="dxa"/>
            <w:tcMar>
              <w:top w:w="80" w:type="dxa"/>
              <w:left w:w="80" w:type="dxa"/>
              <w:bottom w:w="80" w:type="dxa"/>
              <w:right w:w="80" w:type="dxa"/>
            </w:tcMar>
            <w:vAlign w:val="center"/>
          </w:tcPr>
          <w:p w14:paraId="6F0ED485" w14:textId="77777777" w:rsidR="0096456A" w:rsidRDefault="00000000">
            <w:pPr>
              <w:spacing w:line="240" w:lineRule="auto"/>
              <w:jc w:val="center"/>
            </w:pPr>
            <w:r>
              <w:t>7.20 ± 1.50</w:t>
            </w:r>
          </w:p>
        </w:tc>
        <w:tc>
          <w:tcPr>
            <w:tcW w:w="2351" w:type="dxa"/>
            <w:tcMar>
              <w:top w:w="80" w:type="dxa"/>
              <w:left w:w="80" w:type="dxa"/>
              <w:bottom w:w="80" w:type="dxa"/>
              <w:right w:w="80" w:type="dxa"/>
            </w:tcMar>
            <w:vAlign w:val="center"/>
          </w:tcPr>
          <w:p w14:paraId="26FBD633" w14:textId="77777777" w:rsidR="0096456A" w:rsidRDefault="00000000">
            <w:pPr>
              <w:spacing w:line="240" w:lineRule="auto"/>
              <w:jc w:val="center"/>
            </w:pPr>
            <w:r>
              <w:t>12.00 ± 1.90</w:t>
            </w:r>
          </w:p>
        </w:tc>
      </w:tr>
      <w:tr w:rsidR="0096456A" w14:paraId="36554FC2" w14:textId="77777777">
        <w:trPr>
          <w:jc w:val="center"/>
        </w:trPr>
        <w:tc>
          <w:tcPr>
            <w:tcW w:w="2351" w:type="dxa"/>
            <w:tcMar>
              <w:top w:w="80" w:type="dxa"/>
              <w:left w:w="80" w:type="dxa"/>
              <w:bottom w:w="80" w:type="dxa"/>
              <w:right w:w="80" w:type="dxa"/>
            </w:tcMar>
            <w:vAlign w:val="center"/>
          </w:tcPr>
          <w:p w14:paraId="29F7AD80" w14:textId="77777777" w:rsidR="0096456A" w:rsidRDefault="00000000">
            <w:pPr>
              <w:spacing w:line="240" w:lineRule="auto"/>
            </w:pPr>
            <w:r>
              <w:t>CH</w:t>
            </w:r>
          </w:p>
        </w:tc>
        <w:tc>
          <w:tcPr>
            <w:tcW w:w="2351" w:type="dxa"/>
            <w:tcMar>
              <w:top w:w="80" w:type="dxa"/>
              <w:left w:w="80" w:type="dxa"/>
              <w:bottom w:w="80" w:type="dxa"/>
              <w:right w:w="80" w:type="dxa"/>
            </w:tcMar>
            <w:vAlign w:val="center"/>
          </w:tcPr>
          <w:p w14:paraId="1DC7DD72" w14:textId="77777777" w:rsidR="0096456A" w:rsidRDefault="00000000">
            <w:pPr>
              <w:spacing w:line="240" w:lineRule="auto"/>
              <w:jc w:val="center"/>
            </w:pPr>
            <w:r>
              <w:t>5.80 ± 0.84</w:t>
            </w:r>
          </w:p>
        </w:tc>
        <w:tc>
          <w:tcPr>
            <w:tcW w:w="2351" w:type="dxa"/>
            <w:tcMar>
              <w:top w:w="80" w:type="dxa"/>
              <w:left w:w="80" w:type="dxa"/>
              <w:bottom w:w="80" w:type="dxa"/>
              <w:right w:w="80" w:type="dxa"/>
            </w:tcMar>
            <w:vAlign w:val="center"/>
          </w:tcPr>
          <w:p w14:paraId="17871F01" w14:textId="77777777" w:rsidR="0096456A" w:rsidRDefault="00000000">
            <w:pPr>
              <w:spacing w:line="240" w:lineRule="auto"/>
              <w:jc w:val="center"/>
            </w:pPr>
            <w:r>
              <w:t>7.80 ± 1.30</w:t>
            </w:r>
          </w:p>
        </w:tc>
        <w:tc>
          <w:tcPr>
            <w:tcW w:w="2351" w:type="dxa"/>
            <w:tcMar>
              <w:top w:w="80" w:type="dxa"/>
              <w:left w:w="80" w:type="dxa"/>
              <w:bottom w:w="80" w:type="dxa"/>
              <w:right w:w="80" w:type="dxa"/>
            </w:tcMar>
            <w:vAlign w:val="center"/>
          </w:tcPr>
          <w:p w14:paraId="35BD32DE" w14:textId="77777777" w:rsidR="0096456A" w:rsidRDefault="00000000">
            <w:pPr>
              <w:spacing w:line="240" w:lineRule="auto"/>
              <w:jc w:val="center"/>
            </w:pPr>
            <w:r>
              <w:t>4.60 ± 1.10</w:t>
            </w:r>
          </w:p>
        </w:tc>
      </w:tr>
      <w:tr w:rsidR="0096456A" w14:paraId="3FB3AEF3" w14:textId="77777777">
        <w:trPr>
          <w:jc w:val="center"/>
        </w:trPr>
        <w:tc>
          <w:tcPr>
            <w:tcW w:w="2351" w:type="dxa"/>
            <w:tcMar>
              <w:top w:w="80" w:type="dxa"/>
              <w:left w:w="80" w:type="dxa"/>
              <w:bottom w:w="80" w:type="dxa"/>
              <w:right w:w="80" w:type="dxa"/>
            </w:tcMar>
            <w:vAlign w:val="center"/>
          </w:tcPr>
          <w:p w14:paraId="01E1888B" w14:textId="77777777" w:rsidR="0096456A" w:rsidRDefault="00000000">
            <w:pPr>
              <w:spacing w:line="240" w:lineRule="auto"/>
            </w:pPr>
            <w:r>
              <w:t>CH-CHA</w:t>
            </w:r>
          </w:p>
        </w:tc>
        <w:tc>
          <w:tcPr>
            <w:tcW w:w="2351" w:type="dxa"/>
            <w:tcMar>
              <w:top w:w="80" w:type="dxa"/>
              <w:left w:w="80" w:type="dxa"/>
              <w:bottom w:w="80" w:type="dxa"/>
              <w:right w:w="80" w:type="dxa"/>
            </w:tcMar>
            <w:vAlign w:val="center"/>
          </w:tcPr>
          <w:p w14:paraId="443FDF6A" w14:textId="77777777" w:rsidR="0096456A" w:rsidRDefault="00000000">
            <w:pPr>
              <w:spacing w:line="240" w:lineRule="auto"/>
              <w:jc w:val="center"/>
            </w:pPr>
            <w:r>
              <w:t>5.00 ± 1.00</w:t>
            </w:r>
          </w:p>
        </w:tc>
        <w:tc>
          <w:tcPr>
            <w:tcW w:w="2351" w:type="dxa"/>
            <w:tcMar>
              <w:top w:w="80" w:type="dxa"/>
              <w:left w:w="80" w:type="dxa"/>
              <w:bottom w:w="80" w:type="dxa"/>
              <w:right w:w="80" w:type="dxa"/>
            </w:tcMar>
            <w:vAlign w:val="center"/>
          </w:tcPr>
          <w:p w14:paraId="616AB1B6" w14:textId="77777777" w:rsidR="0096456A" w:rsidRDefault="00000000">
            <w:pPr>
              <w:spacing w:line="240" w:lineRule="auto"/>
              <w:jc w:val="center"/>
            </w:pPr>
            <w:r>
              <w:t>6.60 ± 1.10</w:t>
            </w:r>
          </w:p>
        </w:tc>
        <w:tc>
          <w:tcPr>
            <w:tcW w:w="2351" w:type="dxa"/>
            <w:tcMar>
              <w:top w:w="80" w:type="dxa"/>
              <w:left w:w="80" w:type="dxa"/>
              <w:bottom w:w="80" w:type="dxa"/>
              <w:right w:w="80" w:type="dxa"/>
            </w:tcMar>
            <w:vAlign w:val="center"/>
          </w:tcPr>
          <w:p w14:paraId="5530798B" w14:textId="77777777" w:rsidR="0096456A" w:rsidRDefault="00000000">
            <w:pPr>
              <w:spacing w:line="240" w:lineRule="auto"/>
              <w:jc w:val="center"/>
            </w:pPr>
            <w:r>
              <w:t>4.80 ± 1.30</w:t>
            </w:r>
          </w:p>
        </w:tc>
      </w:tr>
      <w:tr w:rsidR="0096456A" w14:paraId="72FBD61E" w14:textId="77777777">
        <w:trPr>
          <w:jc w:val="center"/>
        </w:trPr>
        <w:tc>
          <w:tcPr>
            <w:tcW w:w="2351" w:type="dxa"/>
            <w:tcMar>
              <w:top w:w="80" w:type="dxa"/>
              <w:left w:w="80" w:type="dxa"/>
              <w:bottom w:w="80" w:type="dxa"/>
              <w:right w:w="80" w:type="dxa"/>
            </w:tcMar>
            <w:vAlign w:val="center"/>
          </w:tcPr>
          <w:p w14:paraId="6B4B77DE" w14:textId="77777777" w:rsidR="0096456A" w:rsidRDefault="00000000">
            <w:pPr>
              <w:spacing w:line="240" w:lineRule="auto"/>
            </w:pPr>
            <w:r>
              <w:t>CH-CHA-EA</w:t>
            </w:r>
          </w:p>
        </w:tc>
        <w:tc>
          <w:tcPr>
            <w:tcW w:w="2351" w:type="dxa"/>
            <w:tcMar>
              <w:top w:w="80" w:type="dxa"/>
              <w:left w:w="80" w:type="dxa"/>
              <w:bottom w:w="80" w:type="dxa"/>
              <w:right w:w="80" w:type="dxa"/>
            </w:tcMar>
            <w:vAlign w:val="center"/>
          </w:tcPr>
          <w:p w14:paraId="49426673" w14:textId="77777777" w:rsidR="0096456A" w:rsidRDefault="00000000">
            <w:pPr>
              <w:spacing w:line="240" w:lineRule="auto"/>
              <w:jc w:val="center"/>
            </w:pPr>
            <w:r>
              <w:t>4.00 ± 1.60</w:t>
            </w:r>
          </w:p>
        </w:tc>
        <w:tc>
          <w:tcPr>
            <w:tcW w:w="2351" w:type="dxa"/>
            <w:tcMar>
              <w:top w:w="80" w:type="dxa"/>
              <w:left w:w="80" w:type="dxa"/>
              <w:bottom w:w="80" w:type="dxa"/>
              <w:right w:w="80" w:type="dxa"/>
            </w:tcMar>
            <w:vAlign w:val="center"/>
          </w:tcPr>
          <w:p w14:paraId="13612BB6" w14:textId="77777777" w:rsidR="0096456A" w:rsidRDefault="00000000">
            <w:pPr>
              <w:spacing w:line="240" w:lineRule="auto"/>
              <w:jc w:val="center"/>
            </w:pPr>
            <w:r>
              <w:t>2.00 ± 1.00</w:t>
            </w:r>
          </w:p>
        </w:tc>
        <w:tc>
          <w:tcPr>
            <w:tcW w:w="2351" w:type="dxa"/>
            <w:tcMar>
              <w:top w:w="80" w:type="dxa"/>
              <w:left w:w="80" w:type="dxa"/>
              <w:bottom w:w="80" w:type="dxa"/>
              <w:right w:w="80" w:type="dxa"/>
            </w:tcMar>
            <w:vAlign w:val="center"/>
          </w:tcPr>
          <w:p w14:paraId="11D6A81B" w14:textId="77777777" w:rsidR="0096456A" w:rsidRDefault="00000000">
            <w:pPr>
              <w:spacing w:line="240" w:lineRule="auto"/>
              <w:jc w:val="center"/>
            </w:pPr>
            <w:r>
              <w:t>2.20 ± 0.84</w:t>
            </w:r>
          </w:p>
        </w:tc>
      </w:tr>
      <w:tr w:rsidR="0096456A" w14:paraId="3282CF11" w14:textId="77777777">
        <w:trPr>
          <w:jc w:val="center"/>
        </w:trPr>
        <w:tc>
          <w:tcPr>
            <w:tcW w:w="2351" w:type="dxa"/>
            <w:shd w:val="clear" w:color="auto" w:fill="F2F2F2"/>
            <w:tcMar>
              <w:top w:w="80" w:type="dxa"/>
              <w:left w:w="80" w:type="dxa"/>
              <w:bottom w:w="80" w:type="dxa"/>
              <w:right w:w="80" w:type="dxa"/>
            </w:tcMar>
            <w:vAlign w:val="center"/>
          </w:tcPr>
          <w:p w14:paraId="42523396" w14:textId="77777777" w:rsidR="0096456A" w:rsidRDefault="00000000">
            <w:pPr>
              <w:spacing w:line="240" w:lineRule="auto"/>
            </w:pPr>
            <w:r>
              <w:rPr>
                <w:b/>
              </w:rPr>
              <w:t>Overall p valuea</w:t>
            </w:r>
          </w:p>
        </w:tc>
        <w:tc>
          <w:tcPr>
            <w:tcW w:w="2351" w:type="dxa"/>
            <w:shd w:val="clear" w:color="auto" w:fill="F2F2F2"/>
            <w:tcMar>
              <w:top w:w="80" w:type="dxa"/>
              <w:left w:w="80" w:type="dxa"/>
              <w:bottom w:w="80" w:type="dxa"/>
              <w:right w:w="80" w:type="dxa"/>
            </w:tcMar>
            <w:vAlign w:val="center"/>
          </w:tcPr>
          <w:p w14:paraId="6691D08A" w14:textId="77777777" w:rsidR="0096456A" w:rsidRDefault="00000000">
            <w:pPr>
              <w:spacing w:line="240" w:lineRule="auto"/>
              <w:jc w:val="center"/>
            </w:pPr>
            <w:r>
              <w:rPr>
                <w:b/>
              </w:rPr>
              <w:t>0.2434</w:t>
            </w:r>
          </w:p>
        </w:tc>
        <w:tc>
          <w:tcPr>
            <w:tcW w:w="2351" w:type="dxa"/>
            <w:shd w:val="clear" w:color="auto" w:fill="F2F2F2"/>
            <w:tcMar>
              <w:top w:w="80" w:type="dxa"/>
              <w:left w:w="80" w:type="dxa"/>
              <w:bottom w:w="80" w:type="dxa"/>
              <w:right w:w="80" w:type="dxa"/>
            </w:tcMar>
            <w:vAlign w:val="center"/>
          </w:tcPr>
          <w:p w14:paraId="02FA302D" w14:textId="77777777" w:rsidR="0096456A" w:rsidRDefault="00000000">
            <w:pPr>
              <w:spacing w:line="240" w:lineRule="auto"/>
              <w:jc w:val="center"/>
            </w:pPr>
            <w:r>
              <w:rPr>
                <w:b/>
              </w:rPr>
              <w:t>&lt; 0.0001</w:t>
            </w:r>
          </w:p>
        </w:tc>
        <w:tc>
          <w:tcPr>
            <w:tcW w:w="2351" w:type="dxa"/>
            <w:shd w:val="clear" w:color="auto" w:fill="F2F2F2"/>
            <w:tcMar>
              <w:top w:w="80" w:type="dxa"/>
              <w:left w:w="80" w:type="dxa"/>
              <w:bottom w:w="80" w:type="dxa"/>
              <w:right w:w="80" w:type="dxa"/>
            </w:tcMar>
            <w:vAlign w:val="center"/>
          </w:tcPr>
          <w:p w14:paraId="5316F35B" w14:textId="77777777" w:rsidR="0096456A" w:rsidRDefault="00000000">
            <w:pPr>
              <w:spacing w:line="240" w:lineRule="auto"/>
              <w:jc w:val="center"/>
            </w:pPr>
            <w:r>
              <w:rPr>
                <w:b/>
              </w:rPr>
              <w:t>&lt; 0.0001</w:t>
            </w:r>
          </w:p>
        </w:tc>
      </w:tr>
    </w:tbl>
    <w:p w14:paraId="5F4E83F5" w14:textId="77777777" w:rsidR="0096456A" w:rsidRDefault="00000000">
      <w:r>
        <w:rPr>
          <w:i/>
        </w:rPr>
        <w:t>Values are mean ± standard deviation (n = 5 animals per group at each time point). a One-way analysis of variance across groups at the specified time point. CH, calcium hydroxide; CHA, carbonate hydroxyapatite; EA, ellagic acid; NC, negative control; TNF-alpha, tumor necrosis factor alpha.</w:t>
      </w:r>
    </w:p>
    <w:p w14:paraId="62294477" w14:textId="77777777" w:rsidR="0096456A" w:rsidRDefault="00000000">
      <w:r>
        <w:br w:type="page"/>
      </w:r>
    </w:p>
    <w:p w14:paraId="643469BC" w14:textId="77777777" w:rsidR="0096456A" w:rsidRDefault="00000000">
      <w:pPr>
        <w:keepNext/>
        <w:spacing w:before="200"/>
      </w:pPr>
      <w:r>
        <w:rPr>
          <w:b/>
        </w:rPr>
        <w:lastRenderedPageBreak/>
        <w:t>Table 3. IL-10 expression in pulp tissue after application of different pulp-capping materials.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1"/>
        <w:gridCol w:w="2351"/>
        <w:gridCol w:w="2351"/>
        <w:gridCol w:w="2351"/>
      </w:tblGrid>
      <w:tr w:rsidR="0096456A" w14:paraId="2E662758" w14:textId="77777777">
        <w:trPr>
          <w:tblHeader/>
          <w:jc w:val="center"/>
        </w:trPr>
        <w:tc>
          <w:tcPr>
            <w:tcW w:w="1871" w:type="dxa"/>
            <w:shd w:val="clear" w:color="auto" w:fill="D9EAF7"/>
            <w:tcMar>
              <w:top w:w="80" w:type="dxa"/>
              <w:left w:w="80" w:type="dxa"/>
              <w:bottom w:w="80" w:type="dxa"/>
              <w:right w:w="80" w:type="dxa"/>
            </w:tcMar>
            <w:vAlign w:val="center"/>
          </w:tcPr>
          <w:p w14:paraId="49C94FB3" w14:textId="77777777" w:rsidR="0096456A" w:rsidRDefault="00000000">
            <w:pPr>
              <w:spacing w:line="240" w:lineRule="auto"/>
              <w:jc w:val="center"/>
            </w:pPr>
            <w:r>
              <w:rPr>
                <w:b/>
              </w:rPr>
              <w:t>Group</w:t>
            </w:r>
          </w:p>
        </w:tc>
        <w:tc>
          <w:tcPr>
            <w:tcW w:w="1757" w:type="dxa"/>
            <w:shd w:val="clear" w:color="auto" w:fill="D9EAF7"/>
            <w:tcMar>
              <w:top w:w="80" w:type="dxa"/>
              <w:left w:w="80" w:type="dxa"/>
              <w:bottom w:w="80" w:type="dxa"/>
              <w:right w:w="80" w:type="dxa"/>
            </w:tcMar>
            <w:vAlign w:val="center"/>
          </w:tcPr>
          <w:p w14:paraId="4B037046" w14:textId="77777777" w:rsidR="0096456A" w:rsidRDefault="00000000">
            <w:pPr>
              <w:spacing w:line="240" w:lineRule="auto"/>
              <w:jc w:val="center"/>
            </w:pPr>
            <w:r>
              <w:rPr>
                <w:b/>
              </w:rPr>
              <w:t>Day 3</w:t>
            </w:r>
          </w:p>
        </w:tc>
        <w:tc>
          <w:tcPr>
            <w:tcW w:w="1757" w:type="dxa"/>
            <w:shd w:val="clear" w:color="auto" w:fill="D9EAF7"/>
            <w:tcMar>
              <w:top w:w="80" w:type="dxa"/>
              <w:left w:w="80" w:type="dxa"/>
              <w:bottom w:w="80" w:type="dxa"/>
              <w:right w:w="80" w:type="dxa"/>
            </w:tcMar>
            <w:vAlign w:val="center"/>
          </w:tcPr>
          <w:p w14:paraId="5DF71CFF" w14:textId="77777777" w:rsidR="0096456A" w:rsidRDefault="00000000">
            <w:pPr>
              <w:spacing w:line="240" w:lineRule="auto"/>
              <w:jc w:val="center"/>
            </w:pPr>
            <w:r>
              <w:rPr>
                <w:b/>
              </w:rPr>
              <w:t>Day 7</w:t>
            </w:r>
          </w:p>
        </w:tc>
        <w:tc>
          <w:tcPr>
            <w:tcW w:w="1757" w:type="dxa"/>
            <w:shd w:val="clear" w:color="auto" w:fill="D9EAF7"/>
            <w:tcMar>
              <w:top w:w="80" w:type="dxa"/>
              <w:left w:w="80" w:type="dxa"/>
              <w:bottom w:w="80" w:type="dxa"/>
              <w:right w:w="80" w:type="dxa"/>
            </w:tcMar>
            <w:vAlign w:val="center"/>
          </w:tcPr>
          <w:p w14:paraId="6C204E3B" w14:textId="77777777" w:rsidR="0096456A" w:rsidRDefault="00000000">
            <w:pPr>
              <w:spacing w:line="240" w:lineRule="auto"/>
              <w:jc w:val="center"/>
            </w:pPr>
            <w:r>
              <w:rPr>
                <w:b/>
              </w:rPr>
              <w:t>Day 14</w:t>
            </w:r>
          </w:p>
        </w:tc>
      </w:tr>
      <w:tr w:rsidR="0096456A" w14:paraId="0854CC24" w14:textId="77777777">
        <w:trPr>
          <w:jc w:val="center"/>
        </w:trPr>
        <w:tc>
          <w:tcPr>
            <w:tcW w:w="2351" w:type="dxa"/>
            <w:tcMar>
              <w:top w:w="80" w:type="dxa"/>
              <w:left w:w="80" w:type="dxa"/>
              <w:bottom w:w="80" w:type="dxa"/>
              <w:right w:w="80" w:type="dxa"/>
            </w:tcMar>
            <w:vAlign w:val="center"/>
          </w:tcPr>
          <w:p w14:paraId="200022D4" w14:textId="77777777" w:rsidR="0096456A" w:rsidRDefault="00000000">
            <w:pPr>
              <w:spacing w:line="240" w:lineRule="auto"/>
            </w:pPr>
            <w:r>
              <w:t>NC</w:t>
            </w:r>
          </w:p>
        </w:tc>
        <w:tc>
          <w:tcPr>
            <w:tcW w:w="2351" w:type="dxa"/>
            <w:tcMar>
              <w:top w:w="80" w:type="dxa"/>
              <w:left w:w="80" w:type="dxa"/>
              <w:bottom w:w="80" w:type="dxa"/>
              <w:right w:w="80" w:type="dxa"/>
            </w:tcMar>
            <w:vAlign w:val="center"/>
          </w:tcPr>
          <w:p w14:paraId="4044D9E9" w14:textId="77777777" w:rsidR="0096456A" w:rsidRDefault="00000000">
            <w:pPr>
              <w:spacing w:line="240" w:lineRule="auto"/>
              <w:jc w:val="center"/>
            </w:pPr>
            <w:r>
              <w:t>3.20 ± 0.84</w:t>
            </w:r>
          </w:p>
        </w:tc>
        <w:tc>
          <w:tcPr>
            <w:tcW w:w="2351" w:type="dxa"/>
            <w:tcMar>
              <w:top w:w="80" w:type="dxa"/>
              <w:left w:w="80" w:type="dxa"/>
              <w:bottom w:w="80" w:type="dxa"/>
              <w:right w:w="80" w:type="dxa"/>
            </w:tcMar>
            <w:vAlign w:val="center"/>
          </w:tcPr>
          <w:p w14:paraId="2C6890A5" w14:textId="77777777" w:rsidR="0096456A" w:rsidRDefault="00000000">
            <w:pPr>
              <w:spacing w:line="240" w:lineRule="auto"/>
              <w:jc w:val="center"/>
            </w:pPr>
            <w:r>
              <w:t>4.40 ± 1.10</w:t>
            </w:r>
          </w:p>
        </w:tc>
        <w:tc>
          <w:tcPr>
            <w:tcW w:w="2351" w:type="dxa"/>
            <w:tcMar>
              <w:top w:w="80" w:type="dxa"/>
              <w:left w:w="80" w:type="dxa"/>
              <w:bottom w:w="80" w:type="dxa"/>
              <w:right w:w="80" w:type="dxa"/>
            </w:tcMar>
            <w:vAlign w:val="center"/>
          </w:tcPr>
          <w:p w14:paraId="4281CAFB" w14:textId="77777777" w:rsidR="0096456A" w:rsidRDefault="00000000">
            <w:pPr>
              <w:spacing w:line="240" w:lineRule="auto"/>
              <w:jc w:val="center"/>
            </w:pPr>
            <w:r>
              <w:t>6.20 ± 1.90</w:t>
            </w:r>
          </w:p>
        </w:tc>
      </w:tr>
      <w:tr w:rsidR="0096456A" w14:paraId="46A853A7" w14:textId="77777777">
        <w:trPr>
          <w:jc w:val="center"/>
        </w:trPr>
        <w:tc>
          <w:tcPr>
            <w:tcW w:w="2351" w:type="dxa"/>
            <w:tcMar>
              <w:top w:w="80" w:type="dxa"/>
              <w:left w:w="80" w:type="dxa"/>
              <w:bottom w:w="80" w:type="dxa"/>
              <w:right w:w="80" w:type="dxa"/>
            </w:tcMar>
            <w:vAlign w:val="center"/>
          </w:tcPr>
          <w:p w14:paraId="38282319" w14:textId="77777777" w:rsidR="0096456A" w:rsidRDefault="00000000">
            <w:pPr>
              <w:spacing w:line="240" w:lineRule="auto"/>
            </w:pPr>
            <w:r>
              <w:t>CH</w:t>
            </w:r>
          </w:p>
        </w:tc>
        <w:tc>
          <w:tcPr>
            <w:tcW w:w="2351" w:type="dxa"/>
            <w:tcMar>
              <w:top w:w="80" w:type="dxa"/>
              <w:left w:w="80" w:type="dxa"/>
              <w:bottom w:w="80" w:type="dxa"/>
              <w:right w:w="80" w:type="dxa"/>
            </w:tcMar>
            <w:vAlign w:val="center"/>
          </w:tcPr>
          <w:p w14:paraId="76D73B63" w14:textId="77777777" w:rsidR="0096456A" w:rsidRDefault="00000000">
            <w:pPr>
              <w:spacing w:line="240" w:lineRule="auto"/>
              <w:jc w:val="center"/>
            </w:pPr>
            <w:r>
              <w:t>5.20 ± 1.30</w:t>
            </w:r>
          </w:p>
        </w:tc>
        <w:tc>
          <w:tcPr>
            <w:tcW w:w="2351" w:type="dxa"/>
            <w:tcMar>
              <w:top w:w="80" w:type="dxa"/>
              <w:left w:w="80" w:type="dxa"/>
              <w:bottom w:w="80" w:type="dxa"/>
              <w:right w:w="80" w:type="dxa"/>
            </w:tcMar>
            <w:vAlign w:val="center"/>
          </w:tcPr>
          <w:p w14:paraId="3A0E45D8" w14:textId="77777777" w:rsidR="0096456A" w:rsidRDefault="00000000">
            <w:pPr>
              <w:spacing w:line="240" w:lineRule="auto"/>
              <w:jc w:val="center"/>
            </w:pPr>
            <w:r>
              <w:t>7.40 ± 1.80</w:t>
            </w:r>
          </w:p>
        </w:tc>
        <w:tc>
          <w:tcPr>
            <w:tcW w:w="2351" w:type="dxa"/>
            <w:tcMar>
              <w:top w:w="80" w:type="dxa"/>
              <w:left w:w="80" w:type="dxa"/>
              <w:bottom w:w="80" w:type="dxa"/>
              <w:right w:w="80" w:type="dxa"/>
            </w:tcMar>
            <w:vAlign w:val="center"/>
          </w:tcPr>
          <w:p w14:paraId="509A3321" w14:textId="77777777" w:rsidR="0096456A" w:rsidRDefault="00000000">
            <w:pPr>
              <w:spacing w:line="240" w:lineRule="auto"/>
              <w:jc w:val="center"/>
            </w:pPr>
            <w:r>
              <w:t>7.80 ± 1.50</w:t>
            </w:r>
          </w:p>
        </w:tc>
      </w:tr>
      <w:tr w:rsidR="0096456A" w14:paraId="2081333E" w14:textId="77777777">
        <w:trPr>
          <w:jc w:val="center"/>
        </w:trPr>
        <w:tc>
          <w:tcPr>
            <w:tcW w:w="2351" w:type="dxa"/>
            <w:tcMar>
              <w:top w:w="80" w:type="dxa"/>
              <w:left w:w="80" w:type="dxa"/>
              <w:bottom w:w="80" w:type="dxa"/>
              <w:right w:w="80" w:type="dxa"/>
            </w:tcMar>
            <w:vAlign w:val="center"/>
          </w:tcPr>
          <w:p w14:paraId="429DFF44" w14:textId="77777777" w:rsidR="0096456A" w:rsidRDefault="00000000">
            <w:pPr>
              <w:spacing w:line="240" w:lineRule="auto"/>
            </w:pPr>
            <w:r>
              <w:t>CH-CHA</w:t>
            </w:r>
          </w:p>
        </w:tc>
        <w:tc>
          <w:tcPr>
            <w:tcW w:w="2351" w:type="dxa"/>
            <w:tcMar>
              <w:top w:w="80" w:type="dxa"/>
              <w:left w:w="80" w:type="dxa"/>
              <w:bottom w:w="80" w:type="dxa"/>
              <w:right w:w="80" w:type="dxa"/>
            </w:tcMar>
            <w:vAlign w:val="center"/>
          </w:tcPr>
          <w:p w14:paraId="4256A620" w14:textId="77777777" w:rsidR="0096456A" w:rsidRDefault="00000000">
            <w:pPr>
              <w:spacing w:line="240" w:lineRule="auto"/>
              <w:jc w:val="center"/>
            </w:pPr>
            <w:r>
              <w:t>6.20 ± 1.30</w:t>
            </w:r>
          </w:p>
        </w:tc>
        <w:tc>
          <w:tcPr>
            <w:tcW w:w="2351" w:type="dxa"/>
            <w:tcMar>
              <w:top w:w="80" w:type="dxa"/>
              <w:left w:w="80" w:type="dxa"/>
              <w:bottom w:w="80" w:type="dxa"/>
              <w:right w:w="80" w:type="dxa"/>
            </w:tcMar>
            <w:vAlign w:val="center"/>
          </w:tcPr>
          <w:p w14:paraId="112FEBF9" w14:textId="77777777" w:rsidR="0096456A" w:rsidRDefault="00000000">
            <w:pPr>
              <w:spacing w:line="240" w:lineRule="auto"/>
              <w:jc w:val="center"/>
            </w:pPr>
            <w:r>
              <w:t>7.80 ± 1.30</w:t>
            </w:r>
          </w:p>
        </w:tc>
        <w:tc>
          <w:tcPr>
            <w:tcW w:w="2351" w:type="dxa"/>
            <w:tcMar>
              <w:top w:w="80" w:type="dxa"/>
              <w:left w:w="80" w:type="dxa"/>
              <w:bottom w:w="80" w:type="dxa"/>
              <w:right w:w="80" w:type="dxa"/>
            </w:tcMar>
            <w:vAlign w:val="center"/>
          </w:tcPr>
          <w:p w14:paraId="767C7AD5" w14:textId="77777777" w:rsidR="0096456A" w:rsidRDefault="00000000">
            <w:pPr>
              <w:spacing w:line="240" w:lineRule="auto"/>
              <w:jc w:val="center"/>
            </w:pPr>
            <w:r>
              <w:t>9.20 ± 1.30</w:t>
            </w:r>
          </w:p>
        </w:tc>
      </w:tr>
      <w:tr w:rsidR="0096456A" w14:paraId="0E022A3B" w14:textId="77777777">
        <w:trPr>
          <w:jc w:val="center"/>
        </w:trPr>
        <w:tc>
          <w:tcPr>
            <w:tcW w:w="2351" w:type="dxa"/>
            <w:tcMar>
              <w:top w:w="80" w:type="dxa"/>
              <w:left w:w="80" w:type="dxa"/>
              <w:bottom w:w="80" w:type="dxa"/>
              <w:right w:w="80" w:type="dxa"/>
            </w:tcMar>
            <w:vAlign w:val="center"/>
          </w:tcPr>
          <w:p w14:paraId="1797A0BA" w14:textId="77777777" w:rsidR="0096456A" w:rsidRDefault="00000000">
            <w:pPr>
              <w:spacing w:line="240" w:lineRule="auto"/>
            </w:pPr>
            <w:r>
              <w:t>CH-CHA-EA</w:t>
            </w:r>
          </w:p>
        </w:tc>
        <w:tc>
          <w:tcPr>
            <w:tcW w:w="2351" w:type="dxa"/>
            <w:tcMar>
              <w:top w:w="80" w:type="dxa"/>
              <w:left w:w="80" w:type="dxa"/>
              <w:bottom w:w="80" w:type="dxa"/>
              <w:right w:w="80" w:type="dxa"/>
            </w:tcMar>
            <w:vAlign w:val="center"/>
          </w:tcPr>
          <w:p w14:paraId="2EFDB2D3" w14:textId="77777777" w:rsidR="0096456A" w:rsidRDefault="00000000">
            <w:pPr>
              <w:spacing w:line="240" w:lineRule="auto"/>
              <w:jc w:val="center"/>
            </w:pPr>
            <w:r>
              <w:t>8.40 ± 1.10</w:t>
            </w:r>
          </w:p>
        </w:tc>
        <w:tc>
          <w:tcPr>
            <w:tcW w:w="2351" w:type="dxa"/>
            <w:tcMar>
              <w:top w:w="80" w:type="dxa"/>
              <w:left w:w="80" w:type="dxa"/>
              <w:bottom w:w="80" w:type="dxa"/>
              <w:right w:w="80" w:type="dxa"/>
            </w:tcMar>
            <w:vAlign w:val="center"/>
          </w:tcPr>
          <w:p w14:paraId="55C2056B" w14:textId="77777777" w:rsidR="0096456A" w:rsidRDefault="00000000">
            <w:pPr>
              <w:spacing w:line="240" w:lineRule="auto"/>
              <w:jc w:val="center"/>
            </w:pPr>
            <w:r>
              <w:t>9.60 ± 1.50</w:t>
            </w:r>
          </w:p>
        </w:tc>
        <w:tc>
          <w:tcPr>
            <w:tcW w:w="2351" w:type="dxa"/>
            <w:tcMar>
              <w:top w:w="80" w:type="dxa"/>
              <w:left w:w="80" w:type="dxa"/>
              <w:bottom w:w="80" w:type="dxa"/>
              <w:right w:w="80" w:type="dxa"/>
            </w:tcMar>
            <w:vAlign w:val="center"/>
          </w:tcPr>
          <w:p w14:paraId="0F56BFA1" w14:textId="77777777" w:rsidR="0096456A" w:rsidRDefault="00000000">
            <w:pPr>
              <w:spacing w:line="240" w:lineRule="auto"/>
              <w:jc w:val="center"/>
            </w:pPr>
            <w:r>
              <w:t>11.20 ± 1.90</w:t>
            </w:r>
          </w:p>
        </w:tc>
      </w:tr>
      <w:tr w:rsidR="0096456A" w14:paraId="74BFCD93" w14:textId="77777777">
        <w:trPr>
          <w:jc w:val="center"/>
        </w:trPr>
        <w:tc>
          <w:tcPr>
            <w:tcW w:w="2351" w:type="dxa"/>
            <w:shd w:val="clear" w:color="auto" w:fill="F2F2F2"/>
            <w:tcMar>
              <w:top w:w="80" w:type="dxa"/>
              <w:left w:w="80" w:type="dxa"/>
              <w:bottom w:w="80" w:type="dxa"/>
              <w:right w:w="80" w:type="dxa"/>
            </w:tcMar>
            <w:vAlign w:val="center"/>
          </w:tcPr>
          <w:p w14:paraId="041AC964" w14:textId="77777777" w:rsidR="0096456A" w:rsidRDefault="00000000">
            <w:pPr>
              <w:spacing w:line="240" w:lineRule="auto"/>
            </w:pPr>
            <w:r>
              <w:rPr>
                <w:b/>
              </w:rPr>
              <w:t>Overall p valuea</w:t>
            </w:r>
          </w:p>
        </w:tc>
        <w:tc>
          <w:tcPr>
            <w:tcW w:w="2351" w:type="dxa"/>
            <w:shd w:val="clear" w:color="auto" w:fill="F2F2F2"/>
            <w:tcMar>
              <w:top w:w="80" w:type="dxa"/>
              <w:left w:w="80" w:type="dxa"/>
              <w:bottom w:w="80" w:type="dxa"/>
              <w:right w:w="80" w:type="dxa"/>
            </w:tcMar>
            <w:vAlign w:val="center"/>
          </w:tcPr>
          <w:p w14:paraId="12ACBE66" w14:textId="77777777" w:rsidR="0096456A" w:rsidRDefault="00000000">
            <w:pPr>
              <w:spacing w:line="240" w:lineRule="auto"/>
              <w:jc w:val="center"/>
            </w:pPr>
            <w:r>
              <w:rPr>
                <w:b/>
              </w:rPr>
              <w:t>&lt; 0.0001</w:t>
            </w:r>
          </w:p>
        </w:tc>
        <w:tc>
          <w:tcPr>
            <w:tcW w:w="2351" w:type="dxa"/>
            <w:shd w:val="clear" w:color="auto" w:fill="F2F2F2"/>
            <w:tcMar>
              <w:top w:w="80" w:type="dxa"/>
              <w:left w:w="80" w:type="dxa"/>
              <w:bottom w:w="80" w:type="dxa"/>
              <w:right w:w="80" w:type="dxa"/>
            </w:tcMar>
            <w:vAlign w:val="center"/>
          </w:tcPr>
          <w:p w14:paraId="081103F5" w14:textId="77777777" w:rsidR="0096456A" w:rsidRDefault="00000000">
            <w:pPr>
              <w:spacing w:line="240" w:lineRule="auto"/>
              <w:jc w:val="center"/>
            </w:pPr>
            <w:r>
              <w:rPr>
                <w:b/>
              </w:rPr>
              <w:t>0.0004</w:t>
            </w:r>
          </w:p>
        </w:tc>
        <w:tc>
          <w:tcPr>
            <w:tcW w:w="2351" w:type="dxa"/>
            <w:shd w:val="clear" w:color="auto" w:fill="F2F2F2"/>
            <w:tcMar>
              <w:top w:w="80" w:type="dxa"/>
              <w:left w:w="80" w:type="dxa"/>
              <w:bottom w:w="80" w:type="dxa"/>
              <w:right w:w="80" w:type="dxa"/>
            </w:tcMar>
            <w:vAlign w:val="center"/>
          </w:tcPr>
          <w:p w14:paraId="0FD18AA0" w14:textId="77777777" w:rsidR="0096456A" w:rsidRDefault="00000000">
            <w:pPr>
              <w:spacing w:line="240" w:lineRule="auto"/>
              <w:jc w:val="center"/>
            </w:pPr>
            <w:r>
              <w:rPr>
                <w:b/>
              </w:rPr>
              <w:t>0.0018</w:t>
            </w:r>
          </w:p>
        </w:tc>
      </w:tr>
    </w:tbl>
    <w:p w14:paraId="7D3E7C1B" w14:textId="77777777" w:rsidR="0096456A" w:rsidRDefault="00000000">
      <w:r>
        <w:rPr>
          <w:i/>
        </w:rPr>
        <w:t>Values are mean ± standard deviation (n = 5 animals per group at each time point). a One-way analysis of variance across groups at the specified time point. CH, calcium hydroxide; CHA, carbonate hydroxyapatite; EA, ellagic acid; IL-10, interleukin 10; NC, negative control.</w:t>
      </w:r>
    </w:p>
    <w:sectPr w:rsidR="0096456A" w:rsidSect="00034616">
      <w:footerReference w:type="default" r:id="rId8"/>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C8C9" w14:textId="77777777" w:rsidR="004A784A" w:rsidRDefault="004A784A">
      <w:pPr>
        <w:spacing w:line="240" w:lineRule="auto"/>
      </w:pPr>
      <w:r>
        <w:separator/>
      </w:r>
    </w:p>
  </w:endnote>
  <w:endnote w:type="continuationSeparator" w:id="0">
    <w:p w14:paraId="6AAD881D" w14:textId="77777777" w:rsidR="004A784A" w:rsidRDefault="004A78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81A0" w14:textId="77777777" w:rsidR="0096456A" w:rsidRDefault="00000000">
    <w:pPr>
      <w:pStyle w:val="Footer"/>
      <w:jc w:val="center"/>
    </w:pPr>
    <w:r>
      <w:rPr>
        <w:sz w:val="20"/>
      </w:rPr>
      <w:fldChar w:fldCharType="begin"/>
    </w:r>
    <w:r>
      <w:rPr>
        <w:sz w:val="20"/>
      </w:rPr>
      <w:instrText>PAGE</w:instrText>
    </w:r>
    <w:r w:rsidR="00E91C76">
      <w:rPr>
        <w:sz w:val="20"/>
      </w:rPr>
      <w:fldChar w:fldCharType="separate"/>
    </w:r>
    <w:r w:rsidR="00E91C7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97FA0" w14:textId="77777777" w:rsidR="004A784A" w:rsidRDefault="004A784A">
      <w:pPr>
        <w:spacing w:line="240" w:lineRule="auto"/>
      </w:pPr>
      <w:r>
        <w:separator/>
      </w:r>
    </w:p>
  </w:footnote>
  <w:footnote w:type="continuationSeparator" w:id="0">
    <w:p w14:paraId="34B25AB8" w14:textId="77777777" w:rsidR="004A784A" w:rsidRDefault="004A78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032832">
    <w:abstractNumId w:val="8"/>
  </w:num>
  <w:num w:numId="2" w16cid:durableId="951866659">
    <w:abstractNumId w:val="6"/>
  </w:num>
  <w:num w:numId="3" w16cid:durableId="6293090">
    <w:abstractNumId w:val="5"/>
  </w:num>
  <w:num w:numId="4" w16cid:durableId="1656178542">
    <w:abstractNumId w:val="4"/>
  </w:num>
  <w:num w:numId="5" w16cid:durableId="114492400">
    <w:abstractNumId w:val="7"/>
  </w:num>
  <w:num w:numId="6" w16cid:durableId="798883877">
    <w:abstractNumId w:val="3"/>
  </w:num>
  <w:num w:numId="7" w16cid:durableId="2046952228">
    <w:abstractNumId w:val="2"/>
  </w:num>
  <w:num w:numId="8" w16cid:durableId="972564526">
    <w:abstractNumId w:val="1"/>
  </w:num>
  <w:num w:numId="9" w16cid:durableId="158167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C9"/>
    <w:rsid w:val="00034616"/>
    <w:rsid w:val="0006063C"/>
    <w:rsid w:val="0015074B"/>
    <w:rsid w:val="001627AF"/>
    <w:rsid w:val="0029639D"/>
    <w:rsid w:val="00326F90"/>
    <w:rsid w:val="003D5CFE"/>
    <w:rsid w:val="004A784A"/>
    <w:rsid w:val="00610388"/>
    <w:rsid w:val="0096456A"/>
    <w:rsid w:val="00AA1D8D"/>
    <w:rsid w:val="00AA770E"/>
    <w:rsid w:val="00B47730"/>
    <w:rsid w:val="00CB0664"/>
    <w:rsid w:val="00E91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D38B0"/>
  <w14:defaultImageDpi w14:val="300"/>
  <w15:docId w15:val="{F6D6753F-F69B-48EA-B339-4243B0D7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3726</Words>
  <Characters>21240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Calcium hydroxide modified with carbonate hydroxyapatite and ellagic acid</vt:lpstr>
    </vt:vector>
  </TitlesOfParts>
  <Manager/>
  <Company/>
  <LinksUpToDate>false</LinksUpToDate>
  <CharactersWithSpaces>24917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Calcium hydroxide modified with carbonate hydroxyapatite and ellagic acid</dc:title>
  <dc:subject>Original Article</dc:subject>
  <dc:creator>PT ANOA MANDIRI SEJAHTERA</dc:creator>
  <cp:keywords>calcium hydroxide, carbonate hydroxyapatite, ellagic acid, pulp perforation, inflammation</cp:keywords>
  <dc:description>generated by python-docx</dc:description>
  <cp:lastModifiedBy>PT ANOA MANDIRI SEJAHTERA</cp:lastModifiedBy>
  <cp:revision>2</cp:revision>
  <dcterms:created xsi:type="dcterms:W3CDTF">2026-07-02T08:51:00Z</dcterms:created>
  <dcterms:modified xsi:type="dcterms:W3CDTF">2026-07-02T08:51:00Z</dcterms:modified>
  <cp:category/>
</cp:coreProperties>
</file>