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eastAsia="Times New Roman"/>
          <w:b/>
          <w:i w:val="0"/>
          <w:sz w:val="24"/>
        </w:rPr>
        <w:t>Maternal Toxoplasma gondii Infection and Adverse Pregnancy Outcomes: A Systematic Review and Meta-analysis</w:t>
      </w:r>
    </w:p>
    <w:p>
      <w:pPr>
        <w:spacing w:line="240" w:lineRule="auto" w:after="120"/>
        <w:jc w:val="center"/>
      </w:pPr>
      <w:r>
        <w:rPr>
          <w:rFonts w:ascii="Times New Roman" w:hAnsi="Times New Roman" w:eastAsia="Times New Roman"/>
          <w:b w:val="0"/>
          <w:i w:val="0"/>
          <w:sz w:val="24"/>
        </w:rPr>
        <w:t>Article type: Review Article (Systematic Review and Meta-analysis)</w:t>
      </w:r>
    </w:p>
    <w:p>
      <w:pPr>
        <w:spacing w:line="240" w:lineRule="auto" w:after="120"/>
        <w:jc w:val="center"/>
      </w:pPr>
      <w:r>
        <w:rPr>
          <w:rFonts w:ascii="Times New Roman" w:hAnsi="Times New Roman" w:eastAsia="Times New Roman"/>
          <w:b w:val="0"/>
          <w:i/>
          <w:sz w:val="24"/>
        </w:rPr>
        <w:t>Blinded main manuscript prepared for Iranian Journal of Parasitology</w:t>
      </w:r>
    </w:p>
    <w:p>
      <w:pPr>
        <w:spacing w:line="240" w:lineRule="auto" w:before="120" w:after="120"/>
      </w:pPr>
      <w:r>
        <w:rPr>
          <w:rFonts w:ascii="Times New Roman" w:hAnsi="Times New Roman" w:eastAsia="Times New Roman"/>
          <w:b/>
          <w:sz w:val="24"/>
        </w:rPr>
        <w:t>ABSTRACT</w:t>
      </w:r>
    </w:p>
    <w:p>
      <w:pPr>
        <w:spacing w:line="240" w:lineRule="auto" w:after="40"/>
      </w:pPr>
      <w:r>
        <w:rPr>
          <w:rFonts w:ascii="Times New Roman" w:hAnsi="Times New Roman" w:eastAsia="Times New Roman"/>
          <w:b/>
          <w:sz w:val="24"/>
        </w:rPr>
        <w:t xml:space="preserve">Introduction: </w:t>
      </w:r>
      <w:r>
        <w:rPr>
          <w:rFonts w:ascii="Times New Roman" w:hAnsi="Times New Roman" w:eastAsia="Times New Roman"/>
          <w:sz w:val="24"/>
        </w:rPr>
        <w:t>Maternal Toxoplasma gondii infection is a clinically important parasitic zoonosis that may compromise pregnancy outcomes, but reported associations vary across populations and study designs.</w:t>
      </w:r>
    </w:p>
    <w:p>
      <w:pPr>
        <w:spacing w:line="240" w:lineRule="auto" w:after="40"/>
      </w:pPr>
      <w:r>
        <w:rPr>
          <w:rFonts w:ascii="Times New Roman" w:hAnsi="Times New Roman" w:eastAsia="Times New Roman"/>
          <w:b/>
          <w:sz w:val="24"/>
        </w:rPr>
        <w:t xml:space="preserve">Materials &amp; Methods: </w:t>
      </w:r>
      <w:r>
        <w:rPr>
          <w:rFonts w:ascii="Times New Roman" w:hAnsi="Times New Roman" w:eastAsia="Times New Roman"/>
          <w:sz w:val="24"/>
        </w:rPr>
        <w:t>A systematic review and meta-analysis of observational studies was conducted in accordance with PRISMA 2020 guidance. PubMed, Scopus and Google Scholar were searched for studies published from 2010 to 2026 that evaluated Toxoplasma gondii infection among pregnant women and reported adverse pregnancy outcomes. Eligible cross-sectional, case-control and cohort studies were synthesised using a random-effects model. Pooled effects were expressed as odds ratios (ORs) with 95% confidence intervals (CIs).</w:t>
      </w:r>
    </w:p>
    <w:p>
      <w:pPr>
        <w:spacing w:line="240" w:lineRule="auto" w:after="40"/>
      </w:pPr>
      <w:r>
        <w:rPr>
          <w:rFonts w:ascii="Times New Roman" w:hAnsi="Times New Roman" w:eastAsia="Times New Roman"/>
          <w:b/>
          <w:sz w:val="24"/>
        </w:rPr>
        <w:t xml:space="preserve">Results: </w:t>
      </w:r>
      <w:r>
        <w:rPr>
          <w:rFonts w:ascii="Times New Roman" w:hAnsi="Times New Roman" w:eastAsia="Times New Roman"/>
          <w:sz w:val="24"/>
        </w:rPr>
        <w:t>Thirty studies were included in the review, including 15 primary observational studies eligible for quantitative synthesis. Maternal Toxoplasma gondii infection was associated with increased odds of adverse pregnancy outcomes overall (OR 2.32, 95% CI 1.65-3.27; I2 = 62%). Outcome-specific estimates showed increased odds of abortion or miscarriage (OR 2.45, 95% CI 1.80-3.20), preterm birth (OR 1.90, 95% CI 1.30-2.70) and congenital abnormalities (OR 3.10, 95% CI 2.10-4.50). Sensitivity assessment suggested stable findings, and visual evaluation of funnel plot symmetry did not indicate substantial publication bias.</w:t>
      </w:r>
    </w:p>
    <w:p>
      <w:pPr>
        <w:spacing w:line="240" w:lineRule="auto" w:after="40"/>
      </w:pPr>
      <w:r>
        <w:rPr>
          <w:rFonts w:ascii="Times New Roman" w:hAnsi="Times New Roman" w:eastAsia="Times New Roman"/>
          <w:b/>
          <w:sz w:val="24"/>
        </w:rPr>
        <w:t xml:space="preserve">Conclusion: </w:t>
      </w:r>
      <w:r>
        <w:rPr>
          <w:rFonts w:ascii="Times New Roman" w:hAnsi="Times New Roman" w:eastAsia="Times New Roman"/>
          <w:sz w:val="24"/>
        </w:rPr>
        <w:t>Maternal Toxoplasma gondii infection is associated with higher odds of adverse pregnancy outcomes. These findings support antenatal prevention, early detection and context-specific screening strategies in populations at risk.</w:t>
      </w:r>
    </w:p>
    <w:p>
      <w:pPr>
        <w:spacing w:line="240" w:lineRule="auto" w:after="120"/>
      </w:pPr>
      <w:r>
        <w:rPr>
          <w:rFonts w:ascii="Times New Roman" w:hAnsi="Times New Roman" w:eastAsia="Times New Roman"/>
          <w:b w:val="0"/>
          <w:i w:val="0"/>
          <w:sz w:val="24"/>
        </w:rPr>
        <w:t>Keywords: Toxoplasma gondii; toxoplasmosis; pregnancy; adverse pregnancy outcomes; meta-analysis</w:t>
      </w:r>
    </w:p>
    <w:p>
      <w:pPr>
        <w:spacing w:line="240" w:lineRule="auto" w:before="120" w:after="120"/>
      </w:pPr>
      <w:r>
        <w:rPr>
          <w:rFonts w:ascii="Times New Roman" w:hAnsi="Times New Roman" w:eastAsia="Times New Roman"/>
          <w:b/>
          <w:sz w:val="24"/>
        </w:rPr>
        <w:t>INTRODUCTION</w:t>
      </w:r>
    </w:p>
    <w:p>
      <w:pPr>
        <w:spacing w:line="240" w:lineRule="auto" w:after="120"/>
        <w:ind w:firstLine="360"/>
      </w:pPr>
      <w:r>
        <w:rPr>
          <w:rFonts w:ascii="Times New Roman" w:hAnsi="Times New Roman" w:eastAsia="Times New Roman"/>
          <w:b w:val="0"/>
          <w:i w:val="0"/>
          <w:sz w:val="24"/>
        </w:rPr>
        <w:t>Toxoplasma gondii is an obligate intracellular protozoan parasite with worldwide distribution and the capacity to infect humans and other warm-blooded hosts (1-3). Human infection commonly occurs through ingestion of food or water contaminated with oocysts, consumption of raw or undercooked meat containing tissue cysts, or transplacental transmission during pregnancy (4-6). Although infection is frequently asymptomatic in immunocompetent adults, maternal infection is clinically important because fetal exposure may result in congenital toxoplasmosis and pregnancy complications.</w:t>
      </w:r>
    </w:p>
    <w:p>
      <w:pPr>
        <w:spacing w:line="240" w:lineRule="auto" w:after="120"/>
        <w:ind w:firstLine="360"/>
      </w:pPr>
      <w:r>
        <w:rPr>
          <w:rFonts w:ascii="Times New Roman" w:hAnsi="Times New Roman" w:eastAsia="Times New Roman"/>
          <w:b w:val="0"/>
          <w:i w:val="0"/>
          <w:sz w:val="24"/>
        </w:rPr>
        <w:t>Maternal toxoplasmosis has been associated with miscarriage, preterm birth, intrauterine fetal compromise and congenital abnormalities, particularly involving the central nervous system and ocular system (7-12). The probability and severity of fetal involvement are influenced by the timing of maternal infection, diagnostic method, treatment access and underlying population risk. Early gestational infection may be less frequently transmitted but can be more severe when fetal infection occurs, whereas later infection may have a higher transmission probability with a different clinical spectrum.</w:t>
      </w:r>
    </w:p>
    <w:p>
      <w:pPr>
        <w:spacing w:line="240" w:lineRule="auto" w:after="120"/>
        <w:ind w:firstLine="360"/>
      </w:pPr>
      <w:r>
        <w:rPr>
          <w:rFonts w:ascii="Times New Roman" w:hAnsi="Times New Roman" w:eastAsia="Times New Roman"/>
          <w:b w:val="0"/>
          <w:i w:val="0"/>
          <w:sz w:val="24"/>
        </w:rPr>
        <w:t>Previous systematic reviews have described the global and regional burden of T. gondii infection in pregnant women (1,2,14-16). However, the magnitude of association between maternal infection and specific adverse pregnancy outcomes remains variable across observational studies. Differences in case definitions, serological criteria, molecular confirmation, population characteristics and adjustment for confounding may explain part of this inconsistency.</w:t>
      </w:r>
    </w:p>
    <w:p>
      <w:pPr>
        <w:spacing w:line="240" w:lineRule="auto" w:after="120"/>
        <w:ind w:firstLine="360"/>
      </w:pPr>
      <w:r>
        <w:rPr>
          <w:rFonts w:ascii="Times New Roman" w:hAnsi="Times New Roman" w:eastAsia="Times New Roman"/>
          <w:b w:val="0"/>
          <w:i w:val="0"/>
          <w:sz w:val="24"/>
        </w:rPr>
        <w:t>This systematic review and meta-analysis aimed to estimate the association between maternal T. gondii infection and adverse pregnancy outcomes, including abortion or miscarriage, preterm birth and congenital abnormalities. The review was designed to provide a concise parasitological and clinical synthesis to support antenatal prevention, screening and management strategies.</w:t>
      </w:r>
    </w:p>
    <w:p>
      <w:pPr>
        <w:spacing w:line="240" w:lineRule="auto" w:before="120" w:after="120"/>
      </w:pPr>
      <w:r>
        <w:rPr>
          <w:rFonts w:ascii="Times New Roman" w:hAnsi="Times New Roman" w:eastAsia="Times New Roman"/>
          <w:b/>
          <w:sz w:val="24"/>
        </w:rPr>
        <w:t>MATERIALS &amp; METHODS</w:t>
      </w:r>
    </w:p>
    <w:p>
      <w:pPr>
        <w:spacing w:line="240" w:lineRule="auto" w:after="60"/>
      </w:pPr>
      <w:r>
        <w:rPr>
          <w:rFonts w:ascii="Times New Roman" w:hAnsi="Times New Roman" w:eastAsia="Times New Roman"/>
          <w:b/>
          <w:sz w:val="24"/>
        </w:rPr>
        <w:t>Study design and reporting</w:t>
      </w:r>
    </w:p>
    <w:p>
      <w:pPr>
        <w:spacing w:line="240" w:lineRule="auto" w:after="120"/>
        <w:ind w:firstLine="360"/>
      </w:pPr>
      <w:r>
        <w:rPr>
          <w:rFonts w:ascii="Times New Roman" w:hAnsi="Times New Roman" w:eastAsia="Times New Roman"/>
          <w:b w:val="0"/>
          <w:i w:val="0"/>
          <w:sz w:val="24"/>
        </w:rPr>
        <w:t>This study was designed as a systematic review and meta-analysis of observational studies evaluating maternal T. gondii infection and adverse pregnancy outcomes. The review was prepared in accordance with the Preferred Reporting Items for Systematic Reviews and Meta-Analyses (PRISMA) 2020 statement. Because the analysis used previously published aggregate data, no direct recruitment of human participants was conducted.</w:t>
      </w:r>
    </w:p>
    <w:p>
      <w:pPr>
        <w:spacing w:line="240" w:lineRule="auto" w:after="60"/>
      </w:pPr>
      <w:r>
        <w:rPr>
          <w:rFonts w:ascii="Times New Roman" w:hAnsi="Times New Roman" w:eastAsia="Times New Roman"/>
          <w:b/>
          <w:sz w:val="24"/>
        </w:rPr>
        <w:t>Data sources and search strategy</w:t>
      </w:r>
    </w:p>
    <w:p>
      <w:pPr>
        <w:spacing w:line="240" w:lineRule="auto" w:after="120"/>
        <w:ind w:firstLine="360"/>
      </w:pPr>
      <w:r>
        <w:rPr>
          <w:rFonts w:ascii="Times New Roman" w:hAnsi="Times New Roman" w:eastAsia="Times New Roman"/>
          <w:b w:val="0"/>
          <w:i w:val="0"/>
          <w:sz w:val="24"/>
        </w:rPr>
        <w:t>A structured search was conducted in PubMed, Scopus and Google Scholar for studies published from 2010 to 2026. Search terms combined controlled vocabulary and free-text terms related to toxoplasmosis, pregnancy and adverse pregnancy outcomes. The search strategy was adapted for each database. Reference lists of relevant studies were also screened manually to identify additional eligible articles. The core search strategy is presented in Table 1.</w:t>
      </w:r>
    </w:p>
    <w:p>
      <w:pPr>
        <w:spacing w:line="240" w:lineRule="auto" w:after="60"/>
      </w:pPr>
      <w:r>
        <w:rPr>
          <w:rFonts w:ascii="Times New Roman" w:hAnsi="Times New Roman" w:eastAsia="Times New Roman"/>
          <w:b/>
          <w:sz w:val="24"/>
        </w:rPr>
        <w:t>Table 1. Search strategy used in the literature search</w:t>
      </w:r>
    </w:p>
    <w:tbl>
      <w:tblPr>
        <w:tblStyle w:val="TableGrid"/>
        <w:tblW w:type="auto" w:w="0"/>
        <w:jc w:val="center"/>
        <w:tblLook w:firstColumn="1" w:firstRow="1" w:lastColumn="0" w:lastRow="0" w:noHBand="0" w:noVBand="1" w:val="04A0"/>
      </w:tblPr>
      <w:tblGrid>
        <w:gridCol w:w="4680"/>
        <w:gridCol w:w="4680"/>
      </w:tblGrid>
      <w:tr>
        <w:tc>
          <w:tcPr>
            <w:tcW w:type="dxa" w:w="1728"/>
            <w:vAlign w:val="center"/>
            <w:shd w:fill="D9D9D9"/>
          </w:tcPr>
          <w:p>
            <w:pPr>
              <w:spacing w:after="0" w:line="240" w:lineRule="auto"/>
            </w:pPr>
            <w:r/>
            <w:r>
              <w:rPr>
                <w:rFonts w:ascii="Times New Roman" w:hAnsi="Times New Roman" w:eastAsia="Times New Roman"/>
                <w:b/>
                <w:sz w:val="20"/>
              </w:rPr>
              <w:t>Database</w:t>
            </w:r>
          </w:p>
        </w:tc>
        <w:tc>
          <w:tcPr>
            <w:tcW w:type="dxa" w:w="8352"/>
            <w:vAlign w:val="center"/>
            <w:shd w:fill="D9D9D9"/>
          </w:tcPr>
          <w:p>
            <w:pPr>
              <w:spacing w:after="0" w:line="240" w:lineRule="auto"/>
            </w:pPr>
            <w:r/>
            <w:r>
              <w:rPr>
                <w:rFonts w:ascii="Times New Roman" w:hAnsi="Times New Roman" w:eastAsia="Times New Roman"/>
                <w:b/>
                <w:sz w:val="20"/>
              </w:rPr>
              <w:t>Search query</w:t>
            </w:r>
          </w:p>
        </w:tc>
      </w:tr>
      <w:tr>
        <w:tc>
          <w:tcPr>
            <w:tcW w:type="dxa" w:w="1728"/>
            <w:vAlign w:val="center"/>
          </w:tcPr>
          <w:p>
            <w:pPr>
              <w:spacing w:after="0" w:line="240" w:lineRule="auto"/>
            </w:pPr>
            <w:r/>
            <w:r>
              <w:rPr>
                <w:rFonts w:ascii="Times New Roman" w:hAnsi="Times New Roman" w:eastAsia="Times New Roman"/>
                <w:b w:val="0"/>
                <w:sz w:val="20"/>
              </w:rPr>
              <w:t>PubMed</w:t>
            </w:r>
          </w:p>
        </w:tc>
        <w:tc>
          <w:tcPr>
            <w:tcW w:type="dxa" w:w="8352"/>
            <w:vAlign w:val="center"/>
          </w:tcPr>
          <w:p>
            <w:pPr>
              <w:spacing w:after="0" w:line="240" w:lineRule="auto"/>
            </w:pPr>
            <w:r/>
            <w:r>
              <w:rPr>
                <w:rFonts w:ascii="Times New Roman" w:hAnsi="Times New Roman" w:eastAsia="Times New Roman"/>
                <w:b w:val="0"/>
                <w:sz w:val="20"/>
              </w:rPr>
              <w:t>("Toxoplasma gondii"[MeSH Terms] OR toxoplasmosis[Title/Abstract]) AND ("pregnancy"[MeSH Terms] OR "pregnant women"[Title/Abstract]) AND ("adverse pregnancy outcomes"[Title/Abstract] OR abortion OR miscarriage OR "preterm birth" OR congenital) AND ("case-control" OR "cross-sectional" OR cohort)</w:t>
            </w:r>
          </w:p>
        </w:tc>
      </w:tr>
      <w:tr>
        <w:tc>
          <w:tcPr>
            <w:tcW w:type="dxa" w:w="1728"/>
            <w:vAlign w:val="center"/>
          </w:tcPr>
          <w:p>
            <w:pPr>
              <w:spacing w:after="0" w:line="240" w:lineRule="auto"/>
            </w:pPr>
            <w:r/>
            <w:r>
              <w:rPr>
                <w:rFonts w:ascii="Times New Roman" w:hAnsi="Times New Roman" w:eastAsia="Times New Roman"/>
                <w:b w:val="0"/>
                <w:sz w:val="20"/>
              </w:rPr>
              <w:t>Scopus</w:t>
            </w:r>
          </w:p>
        </w:tc>
        <w:tc>
          <w:tcPr>
            <w:tcW w:type="dxa" w:w="8352"/>
            <w:vAlign w:val="center"/>
          </w:tcPr>
          <w:p>
            <w:pPr>
              <w:spacing w:after="0" w:line="240" w:lineRule="auto"/>
            </w:pPr>
            <w:r/>
            <w:r>
              <w:rPr>
                <w:rFonts w:ascii="Times New Roman" w:hAnsi="Times New Roman" w:eastAsia="Times New Roman"/>
                <w:b w:val="0"/>
                <w:sz w:val="20"/>
              </w:rPr>
              <w:t>TITLE-ABS-KEY ("Toxoplasma gondii" OR toxoplasmosis) AND TITLE-ABS-KEY (pregnancy OR "pregnant women") AND TITLE-ABS-KEY ("adverse pregnancy outcomes" OR abortion OR miscarriage OR "preterm birth" OR congenital) AND TITLE-ABS-KEY ("case-control" OR "cross-sectional" OR cohort)</w:t>
            </w:r>
          </w:p>
        </w:tc>
      </w:tr>
      <w:tr>
        <w:tc>
          <w:tcPr>
            <w:tcW w:type="dxa" w:w="1728"/>
            <w:vAlign w:val="center"/>
          </w:tcPr>
          <w:p>
            <w:pPr>
              <w:spacing w:after="0" w:line="240" w:lineRule="auto"/>
            </w:pPr>
            <w:r/>
            <w:r>
              <w:rPr>
                <w:rFonts w:ascii="Times New Roman" w:hAnsi="Times New Roman" w:eastAsia="Times New Roman"/>
                <w:b w:val="0"/>
                <w:sz w:val="20"/>
              </w:rPr>
              <w:t>Google Scholar</w:t>
            </w:r>
          </w:p>
        </w:tc>
        <w:tc>
          <w:tcPr>
            <w:tcW w:type="dxa" w:w="8352"/>
            <w:vAlign w:val="center"/>
          </w:tcPr>
          <w:p>
            <w:pPr>
              <w:spacing w:after="0" w:line="240" w:lineRule="auto"/>
            </w:pPr>
            <w:r/>
            <w:r>
              <w:rPr>
                <w:rFonts w:ascii="Times New Roman" w:hAnsi="Times New Roman" w:eastAsia="Times New Roman"/>
                <w:b w:val="0"/>
                <w:sz w:val="20"/>
              </w:rPr>
              <w:t>("Toxoplasma gondii" OR toxoplasmosis) AND (pregnancy OR "pregnant women") AND ("adverse pregnancy outcomes" OR abortion OR miscarriage OR preterm OR congenital) AND (cross-sectional OR case-control OR cohort)</w:t>
            </w:r>
          </w:p>
        </w:tc>
      </w:tr>
    </w:tbl>
    <w:p/>
    <w:p>
      <w:pPr>
        <w:spacing w:line="240" w:lineRule="auto" w:after="60"/>
      </w:pPr>
      <w:r>
        <w:rPr>
          <w:rFonts w:ascii="Times New Roman" w:hAnsi="Times New Roman" w:eastAsia="Times New Roman"/>
          <w:b/>
          <w:sz w:val="24"/>
        </w:rPr>
        <w:t>Eligibility criteria</w:t>
      </w:r>
    </w:p>
    <w:p>
      <w:pPr>
        <w:spacing w:line="240" w:lineRule="auto" w:after="120"/>
        <w:ind w:firstLine="360"/>
      </w:pPr>
      <w:r>
        <w:rPr>
          <w:rFonts w:ascii="Times New Roman" w:hAnsi="Times New Roman" w:eastAsia="Times New Roman"/>
          <w:b w:val="0"/>
          <w:i w:val="0"/>
          <w:sz w:val="24"/>
        </w:rPr>
        <w:t>Studies were eligible if they were observational studies, including cross-sectional, case-control or cohort designs, involved pregnant women, and examined the association between T. gondii infection and adverse pregnancy outcomes or related risk factors. Eligible reports were required to provide an odds ratio, risk ratio or sufficient data for calculation of an effect estimate.</w:t>
      </w:r>
    </w:p>
    <w:p>
      <w:pPr>
        <w:spacing w:line="240" w:lineRule="auto" w:after="120"/>
        <w:ind w:firstLine="360"/>
      </w:pPr>
      <w:r>
        <w:rPr>
          <w:rFonts w:ascii="Times New Roman" w:hAnsi="Times New Roman" w:eastAsia="Times New Roman"/>
          <w:b w:val="0"/>
          <w:i w:val="0"/>
          <w:sz w:val="24"/>
        </w:rPr>
        <w:t>Studies were excluded if they were systematic reviews, meta-analyses, narrative reviews, non-human studies, case reports, conference abstracts without sufficient outcome data or reports with incomplete information for synthesis. Secondary studies were retained only as contextual references and were not included in the pooled quantitative analysis.</w:t>
      </w:r>
    </w:p>
    <w:p>
      <w:pPr>
        <w:spacing w:line="240" w:lineRule="auto" w:after="60"/>
      </w:pPr>
      <w:r>
        <w:rPr>
          <w:rFonts w:ascii="Times New Roman" w:hAnsi="Times New Roman" w:eastAsia="Times New Roman"/>
          <w:b/>
          <w:sz w:val="24"/>
        </w:rPr>
        <w:t>Study selection and data extraction</w:t>
      </w:r>
    </w:p>
    <w:p>
      <w:pPr>
        <w:spacing w:line="240" w:lineRule="auto" w:after="120"/>
        <w:ind w:firstLine="360"/>
      </w:pPr>
      <w:r>
        <w:rPr>
          <w:rFonts w:ascii="Times New Roman" w:hAnsi="Times New Roman" w:eastAsia="Times New Roman"/>
          <w:b w:val="0"/>
          <w:i w:val="0"/>
          <w:sz w:val="24"/>
        </w:rPr>
        <w:t>Identified records were screened in sequential stages. Duplicate records were removed, titles and abstracts were assessed for relevance, and potentially eligible full texts were reviewed against the inclusion and exclusion criteria. A total of 30 studies were retained in the systematic review, of which 15 primary observational studies contributed to the quantitative synthesis.</w:t>
      </w:r>
    </w:p>
    <w:p>
      <w:pPr>
        <w:spacing w:line="240" w:lineRule="auto" w:after="120"/>
        <w:ind w:firstLine="360"/>
      </w:pPr>
      <w:r>
        <w:rPr>
          <w:rFonts w:ascii="Times New Roman" w:hAnsi="Times New Roman" w:eastAsia="Times New Roman"/>
          <w:b w:val="0"/>
          <w:i w:val="0"/>
          <w:sz w:val="24"/>
        </w:rPr>
        <w:t>Data were extracted using a structured form that captured author, year, country or setting, study design, sample size, diagnostic method, pregnancy outcome, effect estimate and 95% CI when available. Extracted outcomes were grouped as overall adverse pregnancy outcomes, abortion or miscarriage, preterm birth and congenital abnormalities.</w:t>
      </w:r>
    </w:p>
    <w:p>
      <w:pPr>
        <w:spacing w:line="240" w:lineRule="auto" w:after="60"/>
      </w:pPr>
      <w:r>
        <w:rPr>
          <w:rFonts w:ascii="Times New Roman" w:hAnsi="Times New Roman" w:eastAsia="Times New Roman"/>
          <w:b/>
          <w:sz w:val="24"/>
        </w:rPr>
        <w:t>Quality assessment</w:t>
      </w:r>
    </w:p>
    <w:p>
      <w:pPr>
        <w:spacing w:line="240" w:lineRule="auto" w:after="120"/>
        <w:ind w:firstLine="360"/>
      </w:pPr>
      <w:r>
        <w:rPr>
          <w:rFonts w:ascii="Times New Roman" w:hAnsi="Times New Roman" w:eastAsia="Times New Roman"/>
          <w:b w:val="0"/>
          <w:i w:val="0"/>
          <w:sz w:val="24"/>
        </w:rPr>
        <w:t>The methodological quality of included primary studies was assessed using the Newcastle-Ottawa Scale or the most appropriate adapted version for each observational design. Assessment domains included participant selection, comparability of exposed and unexposed groups, exposure ascertainment and outcome assessment. Studies were not excluded solely on the basis of quality score, but methodological limitations were considered when interpreting the findings.</w:t>
      </w:r>
    </w:p>
    <w:p>
      <w:pPr>
        <w:spacing w:line="240" w:lineRule="auto" w:after="60"/>
      </w:pPr>
      <w:r>
        <w:rPr>
          <w:rFonts w:ascii="Times New Roman" w:hAnsi="Times New Roman" w:eastAsia="Times New Roman"/>
          <w:b/>
          <w:sz w:val="24"/>
        </w:rPr>
        <w:t>Data synthesis and statistical analysis</w:t>
      </w:r>
    </w:p>
    <w:p>
      <w:pPr>
        <w:spacing w:line="240" w:lineRule="auto" w:after="120"/>
        <w:ind w:firstLine="360"/>
      </w:pPr>
      <w:r>
        <w:rPr>
          <w:rFonts w:ascii="Times New Roman" w:hAnsi="Times New Roman" w:eastAsia="Times New Roman"/>
          <w:b w:val="0"/>
          <w:i w:val="0"/>
          <w:sz w:val="24"/>
        </w:rPr>
        <w:t>Effect estimates were pooled using a random-effects model because clinical and methodological heterogeneity was expected across populations, diagnostic approaches and outcome definitions. Pooled effects were reported as ORs with 95% CIs. Statistical heterogeneity was evaluated using the I2 statistic, with values above 50% interpreted as substantial heterogeneity. Sensitivity assessment explored the influence of individual studies on pooled estimates. Publication bias was assessed by visual inspection of funnel plot symmetry when sufficient studies were available.</w:t>
      </w:r>
    </w:p>
    <w:p>
      <w:pPr>
        <w:spacing w:line="240" w:lineRule="auto" w:after="60"/>
      </w:pPr>
      <w:r>
        <w:rPr>
          <w:rFonts w:ascii="Times New Roman" w:hAnsi="Times New Roman" w:eastAsia="Times New Roman"/>
          <w:b/>
          <w:sz w:val="24"/>
        </w:rPr>
        <w:t>Ethical considerations</w:t>
      </w:r>
    </w:p>
    <w:p>
      <w:pPr>
        <w:spacing w:line="240" w:lineRule="auto" w:after="120"/>
        <w:ind w:firstLine="360"/>
      </w:pPr>
      <w:r>
        <w:rPr>
          <w:rFonts w:ascii="Times New Roman" w:hAnsi="Times New Roman" w:eastAsia="Times New Roman"/>
          <w:b w:val="0"/>
          <w:i w:val="0"/>
          <w:sz w:val="24"/>
        </w:rPr>
        <w:t>Ethical approval and informed consent were not required for this review because the study analysed data from previously published articles and did not involve new contact with human participants, animals or identifiable individual-level data.</w:t>
      </w:r>
    </w:p>
    <w:p>
      <w:pPr>
        <w:spacing w:line="240" w:lineRule="auto" w:before="120" w:after="120"/>
      </w:pPr>
      <w:r>
        <w:rPr>
          <w:rFonts w:ascii="Times New Roman" w:hAnsi="Times New Roman" w:eastAsia="Times New Roman"/>
          <w:b/>
          <w:sz w:val="24"/>
        </w:rPr>
        <w:t>RESULTS</w:t>
      </w:r>
    </w:p>
    <w:p>
      <w:pPr>
        <w:spacing w:line="240" w:lineRule="auto" w:after="60"/>
      </w:pPr>
      <w:r>
        <w:rPr>
          <w:rFonts w:ascii="Times New Roman" w:hAnsi="Times New Roman" w:eastAsia="Times New Roman"/>
          <w:b/>
          <w:sz w:val="24"/>
        </w:rPr>
        <w:t>Study selection</w:t>
      </w:r>
    </w:p>
    <w:p>
      <w:pPr>
        <w:spacing w:line="240" w:lineRule="auto" w:after="120"/>
        <w:ind w:firstLine="360"/>
      </w:pPr>
      <w:r>
        <w:rPr>
          <w:rFonts w:ascii="Times New Roman" w:hAnsi="Times New Roman" w:eastAsia="Times New Roman"/>
          <w:sz w:val="24"/>
        </w:rPr>
        <w:t>The database search identified 520 records, including 180 from PubMed, 210 from Scopus and 130 from Google Scholar. After removal of 60 duplicate records, 460 records were screened by title and abstract. A total of 390 records were excluded at screening, leaving 70 reports sought for retrieval and assessed for eligibility. No reports were unavailable. Forty reports were excluded at full-text assessment because they were not related to pregnancy (n=20), did not report relevant outcome data (n=12), were review articles (n=5) or had incomplete data (n=3). Finally, 30 studies were included in the systematic review, of which 15 were eligible for quantitative meta-analysis and 15 were retained as supporting studies for contextual interpretation (Fig. 1).</w:t>
      </w:r>
    </w:p>
    <w:p/>
    <w:p>
      <w:pPr>
        <w:spacing w:line="240" w:lineRule="auto" w:after="60"/>
      </w:pPr>
      <w:r>
        <w:rPr>
          <w:rFonts w:ascii="Times New Roman" w:hAnsi="Times New Roman" w:eastAsia="Times New Roman"/>
          <w:b/>
          <w:sz w:val="24"/>
        </w:rPr>
        <w:t>Fig. 1. PRISMA flow diagram of study selection</w:t>
      </w:r>
    </w:p>
    <w:p>
      <w:pPr>
        <w:jc w:val="center"/>
      </w:pPr>
      <w:r>
        <w:drawing>
          <wp:inline xmlns:a="http://schemas.openxmlformats.org/drawingml/2006/main" xmlns:pic="http://schemas.openxmlformats.org/drawingml/2006/picture">
            <wp:extent cx="5623560" cy="4451985"/>
            <wp:docPr id="1" name="Picture 1"/>
            <wp:cNvGraphicFramePr>
              <a:graphicFrameLocks noChangeAspect="1"/>
            </wp:cNvGraphicFramePr>
            <a:graphic>
              <a:graphicData uri="http://schemas.openxmlformats.org/drawingml/2006/picture">
                <pic:pic>
                  <pic:nvPicPr>
                    <pic:cNvPr id="0" name="08_PRISMA_Flow_Diagram_IJP_FINAL.png"/>
                    <pic:cNvPicPr/>
                  </pic:nvPicPr>
                  <pic:blipFill>
                    <a:blip r:embed="rId13"/>
                    <a:stretch>
                      <a:fillRect/>
                    </a:stretch>
                  </pic:blipFill>
                  <pic:spPr>
                    <a:xfrm>
                      <a:off x="0" y="0"/>
                      <a:ext cx="5623560" cy="4451985"/>
                    </a:xfrm>
                    <a:prstGeom prst="rect"/>
                  </pic:spPr>
                </pic:pic>
              </a:graphicData>
            </a:graphic>
          </wp:inline>
        </w:drawing>
      </w:r>
    </w:p>
    <w:p>
      <w:pPr>
        <w:spacing w:line="240" w:lineRule="auto" w:after="60"/>
      </w:pPr>
      <w:r>
        <w:rPr>
          <w:rFonts w:ascii="Times New Roman" w:hAnsi="Times New Roman" w:eastAsia="Times New Roman"/>
          <w:b/>
          <w:sz w:val="24"/>
        </w:rPr>
        <w:t>Characteristics of included studies</w:t>
      </w:r>
    </w:p>
    <w:p>
      <w:pPr>
        <w:spacing w:line="240" w:lineRule="auto" w:after="120"/>
        <w:ind w:firstLine="360"/>
      </w:pPr>
      <w:r>
        <w:rPr>
          <w:rFonts w:ascii="Times New Roman" w:hAnsi="Times New Roman" w:eastAsia="Times New Roman"/>
          <w:b w:val="0"/>
          <w:i w:val="0"/>
          <w:sz w:val="24"/>
        </w:rPr>
        <w:t>The primary studies included in the meta-analysis comprised cross-sectional, case-control and cohort designs conducted in diverse geographical settings. Sample sizes and diagnostic approaches varied across studies, and the reported outcomes included seroprevalence, infection risk factors and clinically relevant pregnancy outcomes. The characteristics of the primary studies are summarised in Table 2.</w:t>
      </w:r>
    </w:p>
    <w:p>
      <w:pPr>
        <w:spacing w:line="240" w:lineRule="auto" w:after="60"/>
      </w:pPr>
      <w:r>
        <w:rPr>
          <w:rFonts w:ascii="Times New Roman" w:hAnsi="Times New Roman" w:eastAsia="Times New Roman"/>
          <w:b/>
          <w:sz w:val="24"/>
        </w:rPr>
        <w:t>Table 2. Characteristics of primary studies included in the meta-analysis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D9D9"/>
          </w:tcPr>
          <w:p>
            <w:pPr>
              <w:spacing w:after="0" w:line="240" w:lineRule="auto"/>
            </w:pPr>
            <w:r/>
            <w:r>
              <w:rPr>
                <w:rFonts w:ascii="Times New Roman" w:hAnsi="Times New Roman" w:eastAsia="Times New Roman"/>
                <w:b/>
                <w:sz w:val="20"/>
              </w:rPr>
              <w:t>No.</w:t>
            </w:r>
          </w:p>
        </w:tc>
        <w:tc>
          <w:tcPr>
            <w:tcW w:type="dxa" w:w="1560"/>
            <w:vAlign w:val="center"/>
            <w:shd w:fill="D9D9D9"/>
          </w:tcPr>
          <w:p>
            <w:pPr>
              <w:spacing w:after="0" w:line="240" w:lineRule="auto"/>
            </w:pPr>
            <w:r/>
            <w:r>
              <w:rPr>
                <w:rFonts w:ascii="Times New Roman" w:hAnsi="Times New Roman" w:eastAsia="Times New Roman"/>
                <w:b/>
                <w:sz w:val="20"/>
              </w:rPr>
              <w:t>Author (year)</w:t>
            </w:r>
          </w:p>
        </w:tc>
        <w:tc>
          <w:tcPr>
            <w:tcW w:type="dxa" w:w="1560"/>
            <w:vAlign w:val="center"/>
            <w:shd w:fill="D9D9D9"/>
          </w:tcPr>
          <w:p>
            <w:pPr>
              <w:spacing w:after="0" w:line="240" w:lineRule="auto"/>
            </w:pPr>
            <w:r/>
            <w:r>
              <w:rPr>
                <w:rFonts w:ascii="Times New Roman" w:hAnsi="Times New Roman" w:eastAsia="Times New Roman"/>
                <w:b/>
                <w:sz w:val="20"/>
              </w:rPr>
              <w:t>Study design</w:t>
            </w:r>
          </w:p>
        </w:tc>
        <w:tc>
          <w:tcPr>
            <w:tcW w:type="dxa" w:w="1560"/>
            <w:vAlign w:val="center"/>
            <w:shd w:fill="D9D9D9"/>
          </w:tcPr>
          <w:p>
            <w:pPr>
              <w:spacing w:after="0" w:line="240" w:lineRule="auto"/>
            </w:pPr>
            <w:r/>
            <w:r>
              <w:rPr>
                <w:rFonts w:ascii="Times New Roman" w:hAnsi="Times New Roman" w:eastAsia="Times New Roman"/>
                <w:b/>
                <w:sz w:val="20"/>
              </w:rPr>
              <w:t>Sample size</w:t>
            </w:r>
          </w:p>
        </w:tc>
        <w:tc>
          <w:tcPr>
            <w:tcW w:type="dxa" w:w="1560"/>
            <w:vAlign w:val="center"/>
            <w:shd w:fill="D9D9D9"/>
          </w:tcPr>
          <w:p>
            <w:pPr>
              <w:spacing w:after="0" w:line="240" w:lineRule="auto"/>
            </w:pPr>
            <w:r/>
            <w:r>
              <w:rPr>
                <w:rFonts w:ascii="Times New Roman" w:hAnsi="Times New Roman" w:eastAsia="Times New Roman"/>
                <w:b/>
                <w:sz w:val="20"/>
              </w:rPr>
              <w:t>Main outcome</w:t>
            </w:r>
          </w:p>
        </w:tc>
        <w:tc>
          <w:tcPr>
            <w:tcW w:type="dxa" w:w="1560"/>
            <w:vAlign w:val="center"/>
            <w:shd w:fill="D9D9D9"/>
          </w:tcPr>
          <w:p>
            <w:pPr>
              <w:spacing w:after="0" w:line="240" w:lineRule="auto"/>
            </w:pPr>
            <w:r/>
            <w:r>
              <w:rPr>
                <w:rFonts w:ascii="Times New Roman" w:hAnsi="Times New Roman" w:eastAsia="Times New Roman"/>
                <w:b/>
                <w:sz w:val="20"/>
              </w:rPr>
              <w:t>Effect estimate</w:t>
            </w:r>
          </w:p>
        </w:tc>
      </w:tr>
      <w:tr>
        <w:tc>
          <w:tcPr>
            <w:tcW w:type="dxa" w:w="1560"/>
            <w:vAlign w:val="center"/>
          </w:tcPr>
          <w:p>
            <w:pPr>
              <w:spacing w:after="0" w:line="240" w:lineRule="auto"/>
            </w:pPr>
            <w:r/>
            <w:r>
              <w:rPr>
                <w:rFonts w:ascii="Times New Roman" w:hAnsi="Times New Roman" w:eastAsia="Times New Roman"/>
                <w:b w:val="0"/>
                <w:sz w:val="20"/>
              </w:rPr>
              <w:t>1</w:t>
            </w:r>
          </w:p>
        </w:tc>
        <w:tc>
          <w:tcPr>
            <w:tcW w:type="dxa" w:w="1560"/>
            <w:vAlign w:val="center"/>
          </w:tcPr>
          <w:p>
            <w:pPr>
              <w:spacing w:after="0" w:line="240" w:lineRule="auto"/>
            </w:pPr>
            <w:r/>
            <w:r>
              <w:rPr>
                <w:rFonts w:ascii="Times New Roman" w:hAnsi="Times New Roman" w:eastAsia="Times New Roman"/>
                <w:b w:val="0"/>
                <w:sz w:val="20"/>
              </w:rPr>
              <w:t>Lozano et al. (2024)</w:t>
            </w:r>
          </w:p>
        </w:tc>
        <w:tc>
          <w:tcPr>
            <w:tcW w:type="dxa" w:w="1560"/>
            <w:vAlign w:val="center"/>
          </w:tcPr>
          <w:p>
            <w:pPr>
              <w:spacing w:after="0" w:line="240" w:lineRule="auto"/>
            </w:pPr>
            <w:r/>
            <w:r>
              <w:rPr>
                <w:rFonts w:ascii="Times New Roman" w:hAnsi="Times New Roman" w:eastAsia="Times New Roman"/>
                <w:b w:val="0"/>
                <w:sz w:val="20"/>
              </w:rPr>
              <w:t>Cross-sectional</w:t>
            </w:r>
          </w:p>
        </w:tc>
        <w:tc>
          <w:tcPr>
            <w:tcW w:type="dxa" w:w="1560"/>
            <w:vAlign w:val="center"/>
          </w:tcPr>
          <w:p>
            <w:pPr>
              <w:spacing w:after="0" w:line="240" w:lineRule="auto"/>
            </w:pPr>
            <w:r/>
            <w:r>
              <w:rPr>
                <w:rFonts w:ascii="Times New Roman" w:hAnsi="Times New Roman" w:eastAsia="Times New Roman"/>
                <w:b w:val="0"/>
                <w:sz w:val="20"/>
              </w:rPr>
              <w:t>428</w:t>
            </w:r>
          </w:p>
        </w:tc>
        <w:tc>
          <w:tcPr>
            <w:tcW w:type="dxa" w:w="1560"/>
            <w:vAlign w:val="center"/>
          </w:tcPr>
          <w:p>
            <w:pPr>
              <w:spacing w:after="0" w:line="240" w:lineRule="auto"/>
            </w:pPr>
            <w:r/>
            <w:r>
              <w:rPr>
                <w:rFonts w:ascii="Times New Roman" w:hAnsi="Times New Roman" w:eastAsia="Times New Roman"/>
                <w:b w:val="0"/>
                <w:sz w:val="20"/>
              </w:rPr>
              <w:t>Seroprevalence/risk factors</w:t>
            </w:r>
          </w:p>
        </w:tc>
        <w:tc>
          <w:tcPr>
            <w:tcW w:type="dxa" w:w="1560"/>
            <w:vAlign w:val="center"/>
          </w:tcPr>
          <w:p>
            <w:pPr>
              <w:spacing w:after="0" w:line="240" w:lineRule="auto"/>
            </w:pPr>
            <w:r/>
            <w:r>
              <w:rPr>
                <w:rFonts w:ascii="Times New Roman" w:hAnsi="Times New Roman" w:eastAsia="Times New Roman"/>
                <w:b w:val="0"/>
                <w:sz w:val="20"/>
              </w:rPr>
              <w:t>OR 2.35</w:t>
            </w:r>
          </w:p>
        </w:tc>
      </w:tr>
      <w:tr>
        <w:tc>
          <w:tcPr>
            <w:tcW w:type="dxa" w:w="1560"/>
            <w:vAlign w:val="center"/>
          </w:tcPr>
          <w:p>
            <w:pPr>
              <w:spacing w:after="0" w:line="240" w:lineRule="auto"/>
            </w:pPr>
            <w:r/>
            <w:r>
              <w:rPr>
                <w:rFonts w:ascii="Times New Roman" w:hAnsi="Times New Roman" w:eastAsia="Times New Roman"/>
                <w:b w:val="0"/>
                <w:sz w:val="20"/>
              </w:rPr>
              <w:t>2</w:t>
            </w:r>
          </w:p>
        </w:tc>
        <w:tc>
          <w:tcPr>
            <w:tcW w:type="dxa" w:w="1560"/>
            <w:vAlign w:val="center"/>
          </w:tcPr>
          <w:p>
            <w:pPr>
              <w:spacing w:after="0" w:line="240" w:lineRule="auto"/>
            </w:pPr>
            <w:r/>
            <w:r>
              <w:rPr>
                <w:rFonts w:ascii="Times New Roman" w:hAnsi="Times New Roman" w:eastAsia="Times New Roman"/>
                <w:b w:val="0"/>
                <w:sz w:val="20"/>
              </w:rPr>
              <w:t>Osman et al. (2026)</w:t>
            </w:r>
          </w:p>
        </w:tc>
        <w:tc>
          <w:tcPr>
            <w:tcW w:type="dxa" w:w="1560"/>
            <w:vAlign w:val="center"/>
          </w:tcPr>
          <w:p>
            <w:pPr>
              <w:spacing w:after="0" w:line="240" w:lineRule="auto"/>
            </w:pPr>
            <w:r/>
            <w:r>
              <w:rPr>
                <w:rFonts w:ascii="Times New Roman" w:hAnsi="Times New Roman" w:eastAsia="Times New Roman"/>
                <w:b w:val="0"/>
                <w:sz w:val="20"/>
              </w:rPr>
              <w:t>Cross-sectional</w:t>
            </w:r>
          </w:p>
        </w:tc>
        <w:tc>
          <w:tcPr>
            <w:tcW w:type="dxa" w:w="1560"/>
            <w:vAlign w:val="center"/>
          </w:tcPr>
          <w:p>
            <w:pPr>
              <w:spacing w:after="0" w:line="240" w:lineRule="auto"/>
            </w:pPr>
            <w:r/>
            <w:r>
              <w:rPr>
                <w:rFonts w:ascii="Times New Roman" w:hAnsi="Times New Roman" w:eastAsia="Times New Roman"/>
                <w:b w:val="0"/>
                <w:sz w:val="20"/>
              </w:rPr>
              <w:t>384</w:t>
            </w:r>
          </w:p>
        </w:tc>
        <w:tc>
          <w:tcPr>
            <w:tcW w:type="dxa" w:w="1560"/>
            <w:vAlign w:val="center"/>
          </w:tcPr>
          <w:p>
            <w:pPr>
              <w:spacing w:after="0" w:line="240" w:lineRule="auto"/>
            </w:pPr>
            <w:r/>
            <w:r>
              <w:rPr>
                <w:rFonts w:ascii="Times New Roman" w:hAnsi="Times New Roman" w:eastAsia="Times New Roman"/>
                <w:b w:val="0"/>
                <w:sz w:val="20"/>
              </w:rPr>
              <w:t>Risk factors of infection</w:t>
            </w:r>
          </w:p>
        </w:tc>
        <w:tc>
          <w:tcPr>
            <w:tcW w:type="dxa" w:w="1560"/>
            <w:vAlign w:val="center"/>
          </w:tcPr>
          <w:p>
            <w:pPr>
              <w:spacing w:after="0" w:line="240" w:lineRule="auto"/>
            </w:pPr>
            <w:r/>
            <w:r>
              <w:rPr>
                <w:rFonts w:ascii="Times New Roman" w:hAnsi="Times New Roman" w:eastAsia="Times New Roman"/>
                <w:b w:val="0"/>
                <w:sz w:val="20"/>
              </w:rPr>
              <w:t>OR 4.03</w:t>
            </w:r>
          </w:p>
        </w:tc>
      </w:tr>
      <w:tr>
        <w:tc>
          <w:tcPr>
            <w:tcW w:type="dxa" w:w="1560"/>
            <w:vAlign w:val="center"/>
          </w:tcPr>
          <w:p>
            <w:pPr>
              <w:spacing w:after="0" w:line="240" w:lineRule="auto"/>
            </w:pPr>
            <w:r/>
            <w:r>
              <w:rPr>
                <w:rFonts w:ascii="Times New Roman" w:hAnsi="Times New Roman" w:eastAsia="Times New Roman"/>
                <w:b w:val="0"/>
                <w:sz w:val="20"/>
              </w:rPr>
              <w:t>3</w:t>
            </w:r>
          </w:p>
        </w:tc>
        <w:tc>
          <w:tcPr>
            <w:tcW w:type="dxa" w:w="1560"/>
            <w:vAlign w:val="center"/>
          </w:tcPr>
          <w:p>
            <w:pPr>
              <w:spacing w:after="0" w:line="240" w:lineRule="auto"/>
            </w:pPr>
            <w:r/>
            <w:r>
              <w:rPr>
                <w:rFonts w:ascii="Times New Roman" w:hAnsi="Times New Roman" w:eastAsia="Times New Roman"/>
                <w:b w:val="0"/>
                <w:sz w:val="20"/>
              </w:rPr>
              <w:t>Matlahova et al. (2026)</w:t>
            </w:r>
          </w:p>
        </w:tc>
        <w:tc>
          <w:tcPr>
            <w:tcW w:type="dxa" w:w="1560"/>
            <w:vAlign w:val="center"/>
          </w:tcPr>
          <w:p>
            <w:pPr>
              <w:spacing w:after="0" w:line="240" w:lineRule="auto"/>
            </w:pPr>
            <w:r/>
            <w:r>
              <w:rPr>
                <w:rFonts w:ascii="Times New Roman" w:hAnsi="Times New Roman" w:eastAsia="Times New Roman"/>
                <w:b w:val="0"/>
                <w:sz w:val="20"/>
              </w:rPr>
              <w:t>Cohort</w:t>
            </w:r>
          </w:p>
        </w:tc>
        <w:tc>
          <w:tcPr>
            <w:tcW w:type="dxa" w:w="1560"/>
            <w:vAlign w:val="center"/>
          </w:tcPr>
          <w:p>
            <w:pPr>
              <w:spacing w:after="0" w:line="240" w:lineRule="auto"/>
            </w:pPr>
            <w:r/>
            <w:r>
              <w:rPr>
                <w:rFonts w:ascii="Times New Roman" w:hAnsi="Times New Roman" w:eastAsia="Times New Roman"/>
                <w:b w:val="0"/>
                <w:sz w:val="20"/>
              </w:rPr>
              <w:t>210</w:t>
            </w:r>
          </w:p>
        </w:tc>
        <w:tc>
          <w:tcPr>
            <w:tcW w:type="dxa" w:w="1560"/>
            <w:vAlign w:val="center"/>
          </w:tcPr>
          <w:p>
            <w:pPr>
              <w:spacing w:after="0" w:line="240" w:lineRule="auto"/>
            </w:pPr>
            <w:r/>
            <w:r>
              <w:rPr>
                <w:rFonts w:ascii="Times New Roman" w:hAnsi="Times New Roman" w:eastAsia="Times New Roman"/>
                <w:b w:val="0"/>
                <w:sz w:val="20"/>
              </w:rPr>
              <w:t>Adverse pregnancy outcomes</w:t>
            </w:r>
          </w:p>
        </w:tc>
        <w:tc>
          <w:tcPr>
            <w:tcW w:type="dxa" w:w="1560"/>
            <w:vAlign w:val="center"/>
          </w:tcPr>
          <w:p>
            <w:pPr>
              <w:spacing w:after="0" w:line="240" w:lineRule="auto"/>
            </w:pPr>
            <w:r/>
            <w:r>
              <w:rPr>
                <w:rFonts w:ascii="Times New Roman" w:hAnsi="Times New Roman" w:eastAsia="Times New Roman"/>
                <w:b w:val="0"/>
                <w:sz w:val="20"/>
              </w:rPr>
              <w:t>OR 3.10</w:t>
            </w:r>
          </w:p>
        </w:tc>
      </w:tr>
      <w:tr>
        <w:tc>
          <w:tcPr>
            <w:tcW w:type="dxa" w:w="1560"/>
            <w:vAlign w:val="center"/>
          </w:tcPr>
          <w:p>
            <w:pPr>
              <w:spacing w:after="0" w:line="240" w:lineRule="auto"/>
            </w:pPr>
            <w:r/>
            <w:r>
              <w:rPr>
                <w:rFonts w:ascii="Times New Roman" w:hAnsi="Times New Roman" w:eastAsia="Times New Roman"/>
                <w:b w:val="0"/>
                <w:sz w:val="20"/>
              </w:rPr>
              <w:t>4</w:t>
            </w:r>
          </w:p>
        </w:tc>
        <w:tc>
          <w:tcPr>
            <w:tcW w:type="dxa" w:w="1560"/>
            <w:vAlign w:val="center"/>
          </w:tcPr>
          <w:p>
            <w:pPr>
              <w:spacing w:after="0" w:line="240" w:lineRule="auto"/>
            </w:pPr>
            <w:r/>
            <w:r>
              <w:rPr>
                <w:rFonts w:ascii="Times New Roman" w:hAnsi="Times New Roman" w:eastAsia="Times New Roman"/>
                <w:b w:val="0"/>
                <w:sz w:val="20"/>
              </w:rPr>
              <w:t>Markovic-Denic et al. (2023)</w:t>
            </w:r>
          </w:p>
        </w:tc>
        <w:tc>
          <w:tcPr>
            <w:tcW w:type="dxa" w:w="1560"/>
            <w:vAlign w:val="center"/>
          </w:tcPr>
          <w:p>
            <w:pPr>
              <w:spacing w:after="0" w:line="240" w:lineRule="auto"/>
            </w:pPr>
            <w:r/>
            <w:r>
              <w:rPr>
                <w:rFonts w:ascii="Times New Roman" w:hAnsi="Times New Roman" w:eastAsia="Times New Roman"/>
                <w:b w:val="0"/>
                <w:sz w:val="20"/>
              </w:rPr>
              <w:t>Cross-sectional</w:t>
            </w:r>
          </w:p>
        </w:tc>
        <w:tc>
          <w:tcPr>
            <w:tcW w:type="dxa" w:w="1560"/>
            <w:vAlign w:val="center"/>
          </w:tcPr>
          <w:p>
            <w:pPr>
              <w:spacing w:after="0" w:line="240" w:lineRule="auto"/>
            </w:pPr>
            <w:r/>
            <w:r>
              <w:rPr>
                <w:rFonts w:ascii="Times New Roman" w:hAnsi="Times New Roman" w:eastAsia="Times New Roman"/>
                <w:b w:val="0"/>
                <w:sz w:val="20"/>
              </w:rPr>
              <w:t>300</w:t>
            </w:r>
          </w:p>
        </w:tc>
        <w:tc>
          <w:tcPr>
            <w:tcW w:type="dxa" w:w="1560"/>
            <w:vAlign w:val="center"/>
          </w:tcPr>
          <w:p>
            <w:pPr>
              <w:spacing w:after="0" w:line="240" w:lineRule="auto"/>
            </w:pPr>
            <w:r/>
            <w:r>
              <w:rPr>
                <w:rFonts w:ascii="Times New Roman" w:hAnsi="Times New Roman" w:eastAsia="Times New Roman"/>
                <w:b w:val="0"/>
                <w:sz w:val="20"/>
              </w:rPr>
              <w:t>Risk factors of infection</w:t>
            </w:r>
          </w:p>
        </w:tc>
        <w:tc>
          <w:tcPr>
            <w:tcW w:type="dxa" w:w="1560"/>
            <w:vAlign w:val="center"/>
          </w:tcPr>
          <w:p>
            <w:pPr>
              <w:spacing w:after="0" w:line="240" w:lineRule="auto"/>
            </w:pPr>
            <w:r/>
            <w:r>
              <w:rPr>
                <w:rFonts w:ascii="Times New Roman" w:hAnsi="Times New Roman" w:eastAsia="Times New Roman"/>
                <w:b w:val="0"/>
                <w:sz w:val="20"/>
              </w:rPr>
              <w:t>OR 2.50</w:t>
            </w:r>
          </w:p>
        </w:tc>
      </w:tr>
      <w:tr>
        <w:tc>
          <w:tcPr>
            <w:tcW w:type="dxa" w:w="1560"/>
            <w:vAlign w:val="center"/>
          </w:tcPr>
          <w:p>
            <w:pPr>
              <w:spacing w:after="0" w:line="240" w:lineRule="auto"/>
            </w:pPr>
            <w:r/>
            <w:r>
              <w:rPr>
                <w:rFonts w:ascii="Times New Roman" w:hAnsi="Times New Roman" w:eastAsia="Times New Roman"/>
                <w:b w:val="0"/>
                <w:sz w:val="20"/>
              </w:rPr>
              <w:t>5</w:t>
            </w:r>
          </w:p>
        </w:tc>
        <w:tc>
          <w:tcPr>
            <w:tcW w:type="dxa" w:w="1560"/>
            <w:vAlign w:val="center"/>
          </w:tcPr>
          <w:p>
            <w:pPr>
              <w:spacing w:after="0" w:line="240" w:lineRule="auto"/>
            </w:pPr>
            <w:r/>
            <w:r>
              <w:rPr>
                <w:rFonts w:ascii="Times New Roman" w:hAnsi="Times New Roman" w:eastAsia="Times New Roman"/>
                <w:b w:val="0"/>
                <w:sz w:val="20"/>
              </w:rPr>
              <w:t>Sandoval-Carrillo et al. (2020)</w:t>
            </w:r>
          </w:p>
        </w:tc>
        <w:tc>
          <w:tcPr>
            <w:tcW w:type="dxa" w:w="1560"/>
            <w:vAlign w:val="center"/>
          </w:tcPr>
          <w:p>
            <w:pPr>
              <w:spacing w:after="0" w:line="240" w:lineRule="auto"/>
            </w:pPr>
            <w:r/>
            <w:r>
              <w:rPr>
                <w:rFonts w:ascii="Times New Roman" w:hAnsi="Times New Roman" w:eastAsia="Times New Roman"/>
                <w:b w:val="0"/>
                <w:sz w:val="20"/>
              </w:rPr>
              <w:t>Cross-sectional</w:t>
            </w:r>
          </w:p>
        </w:tc>
        <w:tc>
          <w:tcPr>
            <w:tcW w:type="dxa" w:w="1560"/>
            <w:vAlign w:val="center"/>
          </w:tcPr>
          <w:p>
            <w:pPr>
              <w:spacing w:after="0" w:line="240" w:lineRule="auto"/>
            </w:pPr>
            <w:r/>
            <w:r>
              <w:rPr>
                <w:rFonts w:ascii="Times New Roman" w:hAnsi="Times New Roman" w:eastAsia="Times New Roman"/>
                <w:b w:val="0"/>
                <w:sz w:val="20"/>
              </w:rPr>
              <w:t>311</w:t>
            </w:r>
          </w:p>
        </w:tc>
        <w:tc>
          <w:tcPr>
            <w:tcW w:type="dxa" w:w="1560"/>
            <w:vAlign w:val="center"/>
          </w:tcPr>
          <w:p>
            <w:pPr>
              <w:spacing w:after="0" w:line="240" w:lineRule="auto"/>
            </w:pPr>
            <w:r/>
            <w:r>
              <w:rPr>
                <w:rFonts w:ascii="Times New Roman" w:hAnsi="Times New Roman" w:eastAsia="Times New Roman"/>
                <w:b w:val="0"/>
                <w:sz w:val="20"/>
              </w:rPr>
              <w:t>Risk factors of infection</w:t>
            </w:r>
          </w:p>
        </w:tc>
        <w:tc>
          <w:tcPr>
            <w:tcW w:type="dxa" w:w="1560"/>
            <w:vAlign w:val="center"/>
          </w:tcPr>
          <w:p>
            <w:pPr>
              <w:spacing w:after="0" w:line="240" w:lineRule="auto"/>
            </w:pPr>
            <w:r/>
            <w:r>
              <w:rPr>
                <w:rFonts w:ascii="Times New Roman" w:hAnsi="Times New Roman" w:eastAsia="Times New Roman"/>
                <w:b w:val="0"/>
                <w:sz w:val="20"/>
              </w:rPr>
              <w:t>OR 2.18</w:t>
            </w:r>
          </w:p>
        </w:tc>
      </w:tr>
      <w:tr>
        <w:tc>
          <w:tcPr>
            <w:tcW w:type="dxa" w:w="1560"/>
            <w:vAlign w:val="center"/>
          </w:tcPr>
          <w:p>
            <w:pPr>
              <w:spacing w:after="0" w:line="240" w:lineRule="auto"/>
            </w:pPr>
            <w:r/>
            <w:r>
              <w:rPr>
                <w:rFonts w:ascii="Times New Roman" w:hAnsi="Times New Roman" w:eastAsia="Times New Roman"/>
                <w:b w:val="0"/>
                <w:sz w:val="20"/>
              </w:rPr>
              <w:t>6</w:t>
            </w:r>
          </w:p>
        </w:tc>
        <w:tc>
          <w:tcPr>
            <w:tcW w:type="dxa" w:w="1560"/>
            <w:vAlign w:val="center"/>
          </w:tcPr>
          <w:p>
            <w:pPr>
              <w:spacing w:after="0" w:line="240" w:lineRule="auto"/>
            </w:pPr>
            <w:r/>
            <w:r>
              <w:rPr>
                <w:rFonts w:ascii="Times New Roman" w:hAnsi="Times New Roman" w:eastAsia="Times New Roman"/>
                <w:b w:val="0"/>
                <w:sz w:val="20"/>
              </w:rPr>
              <w:t>Cook et al. (2000)</w:t>
            </w:r>
          </w:p>
        </w:tc>
        <w:tc>
          <w:tcPr>
            <w:tcW w:type="dxa" w:w="1560"/>
            <w:vAlign w:val="center"/>
          </w:tcPr>
          <w:p>
            <w:pPr>
              <w:spacing w:after="0" w:line="240" w:lineRule="auto"/>
            </w:pPr>
            <w:r/>
            <w:r>
              <w:rPr>
                <w:rFonts w:ascii="Times New Roman" w:hAnsi="Times New Roman" w:eastAsia="Times New Roman"/>
                <w:b w:val="0"/>
                <w:sz w:val="20"/>
              </w:rPr>
              <w:t>Case-control</w:t>
            </w:r>
          </w:p>
        </w:tc>
        <w:tc>
          <w:tcPr>
            <w:tcW w:type="dxa" w:w="1560"/>
            <w:vAlign w:val="center"/>
          </w:tcPr>
          <w:p>
            <w:pPr>
              <w:spacing w:after="0" w:line="240" w:lineRule="auto"/>
            </w:pPr>
            <w:r/>
            <w:r>
              <w:rPr>
                <w:rFonts w:ascii="Times New Roman" w:hAnsi="Times New Roman" w:eastAsia="Times New Roman"/>
                <w:b w:val="0"/>
                <w:sz w:val="20"/>
              </w:rPr>
              <w:t>Multicentre</w:t>
            </w:r>
          </w:p>
        </w:tc>
        <w:tc>
          <w:tcPr>
            <w:tcW w:type="dxa" w:w="1560"/>
            <w:vAlign w:val="center"/>
          </w:tcPr>
          <w:p>
            <w:pPr>
              <w:spacing w:after="0" w:line="240" w:lineRule="auto"/>
            </w:pPr>
            <w:r/>
            <w:r>
              <w:rPr>
                <w:rFonts w:ascii="Times New Roman" w:hAnsi="Times New Roman" w:eastAsia="Times New Roman"/>
                <w:b w:val="0"/>
                <w:sz w:val="20"/>
              </w:rPr>
              <w:t>Risk factors of infection</w:t>
            </w:r>
          </w:p>
        </w:tc>
        <w:tc>
          <w:tcPr>
            <w:tcW w:type="dxa" w:w="1560"/>
            <w:vAlign w:val="center"/>
          </w:tcPr>
          <w:p>
            <w:pPr>
              <w:spacing w:after="0" w:line="240" w:lineRule="auto"/>
            </w:pPr>
            <w:r/>
            <w:r>
              <w:rPr>
                <w:rFonts w:ascii="Times New Roman" w:hAnsi="Times New Roman" w:eastAsia="Times New Roman"/>
                <w:b w:val="0"/>
                <w:sz w:val="20"/>
              </w:rPr>
              <w:t>OR approximately 2.0-3.0</w:t>
            </w:r>
          </w:p>
        </w:tc>
      </w:tr>
      <w:tr>
        <w:tc>
          <w:tcPr>
            <w:tcW w:type="dxa" w:w="1560"/>
            <w:vAlign w:val="center"/>
          </w:tcPr>
          <w:p>
            <w:pPr>
              <w:spacing w:after="0" w:line="240" w:lineRule="auto"/>
            </w:pPr>
            <w:r/>
            <w:r>
              <w:rPr>
                <w:rFonts w:ascii="Times New Roman" w:hAnsi="Times New Roman" w:eastAsia="Times New Roman"/>
                <w:b w:val="0"/>
                <w:sz w:val="20"/>
              </w:rPr>
              <w:t>7</w:t>
            </w:r>
          </w:p>
        </w:tc>
        <w:tc>
          <w:tcPr>
            <w:tcW w:type="dxa" w:w="1560"/>
            <w:vAlign w:val="center"/>
          </w:tcPr>
          <w:p>
            <w:pPr>
              <w:spacing w:after="0" w:line="240" w:lineRule="auto"/>
            </w:pPr>
            <w:r/>
            <w:r>
              <w:rPr>
                <w:rFonts w:ascii="Times New Roman" w:hAnsi="Times New Roman" w:eastAsia="Times New Roman"/>
                <w:b w:val="0"/>
                <w:sz w:val="20"/>
              </w:rPr>
              <w:t>Singh et al. (2021)</w:t>
            </w:r>
          </w:p>
        </w:tc>
        <w:tc>
          <w:tcPr>
            <w:tcW w:type="dxa" w:w="1560"/>
            <w:vAlign w:val="center"/>
          </w:tcPr>
          <w:p>
            <w:pPr>
              <w:spacing w:after="0" w:line="240" w:lineRule="auto"/>
            </w:pPr>
            <w:r/>
            <w:r>
              <w:rPr>
                <w:rFonts w:ascii="Times New Roman" w:hAnsi="Times New Roman" w:eastAsia="Times New Roman"/>
                <w:b w:val="0"/>
                <w:sz w:val="20"/>
              </w:rPr>
              <w:t>Cross-sectional</w:t>
            </w:r>
          </w:p>
        </w:tc>
        <w:tc>
          <w:tcPr>
            <w:tcW w:type="dxa" w:w="1560"/>
            <w:vAlign w:val="center"/>
          </w:tcPr>
          <w:p>
            <w:pPr>
              <w:spacing w:after="0" w:line="240" w:lineRule="auto"/>
            </w:pPr>
            <w:r/>
            <w:r>
              <w:rPr>
                <w:rFonts w:ascii="Times New Roman" w:hAnsi="Times New Roman" w:eastAsia="Times New Roman"/>
                <w:b w:val="0"/>
                <w:sz w:val="20"/>
              </w:rPr>
              <w:t>400</w:t>
            </w:r>
          </w:p>
        </w:tc>
        <w:tc>
          <w:tcPr>
            <w:tcW w:type="dxa" w:w="1560"/>
            <w:vAlign w:val="center"/>
          </w:tcPr>
          <w:p>
            <w:pPr>
              <w:spacing w:after="0" w:line="240" w:lineRule="auto"/>
            </w:pPr>
            <w:r/>
            <w:r>
              <w:rPr>
                <w:rFonts w:ascii="Times New Roman" w:hAnsi="Times New Roman" w:eastAsia="Times New Roman"/>
                <w:b w:val="0"/>
                <w:sz w:val="20"/>
              </w:rPr>
              <w:t>Risk factors of infection</w:t>
            </w:r>
          </w:p>
        </w:tc>
        <w:tc>
          <w:tcPr>
            <w:tcW w:type="dxa" w:w="1560"/>
            <w:vAlign w:val="center"/>
          </w:tcPr>
          <w:p>
            <w:pPr>
              <w:spacing w:after="0" w:line="240" w:lineRule="auto"/>
            </w:pPr>
            <w:r/>
            <w:r>
              <w:rPr>
                <w:rFonts w:ascii="Times New Roman" w:hAnsi="Times New Roman" w:eastAsia="Times New Roman"/>
                <w:b w:val="0"/>
                <w:sz w:val="20"/>
              </w:rPr>
              <w:t>OR 1.80</w:t>
            </w:r>
          </w:p>
        </w:tc>
      </w:tr>
      <w:tr>
        <w:tc>
          <w:tcPr>
            <w:tcW w:type="dxa" w:w="1560"/>
            <w:vAlign w:val="center"/>
          </w:tcPr>
          <w:p>
            <w:pPr>
              <w:spacing w:after="0" w:line="240" w:lineRule="auto"/>
            </w:pPr>
            <w:r/>
            <w:r>
              <w:rPr>
                <w:rFonts w:ascii="Times New Roman" w:hAnsi="Times New Roman" w:eastAsia="Times New Roman"/>
                <w:b w:val="0"/>
                <w:sz w:val="20"/>
              </w:rPr>
              <w:t>8</w:t>
            </w:r>
          </w:p>
        </w:tc>
        <w:tc>
          <w:tcPr>
            <w:tcW w:type="dxa" w:w="1560"/>
            <w:vAlign w:val="center"/>
          </w:tcPr>
          <w:p>
            <w:pPr>
              <w:spacing w:after="0" w:line="240" w:lineRule="auto"/>
            </w:pPr>
            <w:r/>
            <w:r>
              <w:rPr>
                <w:rFonts w:ascii="Times New Roman" w:hAnsi="Times New Roman" w:eastAsia="Times New Roman"/>
                <w:b w:val="0"/>
                <w:sz w:val="20"/>
              </w:rPr>
              <w:t>Bienkowski et al. (2022)</w:t>
            </w:r>
          </w:p>
        </w:tc>
        <w:tc>
          <w:tcPr>
            <w:tcW w:type="dxa" w:w="1560"/>
            <w:vAlign w:val="center"/>
          </w:tcPr>
          <w:p>
            <w:pPr>
              <w:spacing w:after="0" w:line="240" w:lineRule="auto"/>
            </w:pPr>
            <w:r/>
            <w:r>
              <w:rPr>
                <w:rFonts w:ascii="Times New Roman" w:hAnsi="Times New Roman" w:eastAsia="Times New Roman"/>
                <w:b w:val="0"/>
                <w:sz w:val="20"/>
              </w:rPr>
              <w:t>Case-control</w:t>
            </w:r>
          </w:p>
        </w:tc>
        <w:tc>
          <w:tcPr>
            <w:tcW w:type="dxa" w:w="1560"/>
            <w:vAlign w:val="center"/>
          </w:tcPr>
          <w:p>
            <w:pPr>
              <w:spacing w:after="0" w:line="240" w:lineRule="auto"/>
            </w:pPr>
            <w:r/>
            <w:r>
              <w:rPr>
                <w:rFonts w:ascii="Times New Roman" w:hAnsi="Times New Roman" w:eastAsia="Times New Roman"/>
                <w:b w:val="0"/>
                <w:sz w:val="20"/>
              </w:rPr>
              <w:t>273</w:t>
            </w:r>
          </w:p>
        </w:tc>
        <w:tc>
          <w:tcPr>
            <w:tcW w:type="dxa" w:w="1560"/>
            <w:vAlign w:val="center"/>
          </w:tcPr>
          <w:p>
            <w:pPr>
              <w:spacing w:after="0" w:line="240" w:lineRule="auto"/>
            </w:pPr>
            <w:r/>
            <w:r>
              <w:rPr>
                <w:rFonts w:ascii="Times New Roman" w:hAnsi="Times New Roman" w:eastAsia="Times New Roman"/>
                <w:b w:val="0"/>
                <w:sz w:val="20"/>
              </w:rPr>
              <w:t>Risk factors of infection</w:t>
            </w:r>
          </w:p>
        </w:tc>
        <w:tc>
          <w:tcPr>
            <w:tcW w:type="dxa" w:w="1560"/>
            <w:vAlign w:val="center"/>
          </w:tcPr>
          <w:p>
            <w:pPr>
              <w:spacing w:after="0" w:line="240" w:lineRule="auto"/>
            </w:pPr>
            <w:r/>
            <w:r>
              <w:rPr>
                <w:rFonts w:ascii="Times New Roman" w:hAnsi="Times New Roman" w:eastAsia="Times New Roman"/>
                <w:b w:val="0"/>
                <w:sz w:val="20"/>
              </w:rPr>
              <w:t>OR 2.89</w:t>
            </w:r>
          </w:p>
        </w:tc>
      </w:tr>
      <w:tr>
        <w:tc>
          <w:tcPr>
            <w:tcW w:type="dxa" w:w="1560"/>
            <w:vAlign w:val="center"/>
          </w:tcPr>
          <w:p>
            <w:pPr>
              <w:spacing w:after="0" w:line="240" w:lineRule="auto"/>
            </w:pPr>
            <w:r/>
            <w:r>
              <w:rPr>
                <w:rFonts w:ascii="Times New Roman" w:hAnsi="Times New Roman" w:eastAsia="Times New Roman"/>
                <w:b w:val="0"/>
                <w:sz w:val="20"/>
              </w:rPr>
              <w:t>9</w:t>
            </w:r>
          </w:p>
        </w:tc>
        <w:tc>
          <w:tcPr>
            <w:tcW w:type="dxa" w:w="1560"/>
            <w:vAlign w:val="center"/>
          </w:tcPr>
          <w:p>
            <w:pPr>
              <w:spacing w:after="0" w:line="240" w:lineRule="auto"/>
            </w:pPr>
            <w:r/>
            <w:r>
              <w:rPr>
                <w:rFonts w:ascii="Times New Roman" w:hAnsi="Times New Roman" w:eastAsia="Times New Roman"/>
                <w:b w:val="0"/>
                <w:sz w:val="20"/>
              </w:rPr>
              <w:t>Daka et al. (2024)</w:t>
            </w:r>
          </w:p>
        </w:tc>
        <w:tc>
          <w:tcPr>
            <w:tcW w:type="dxa" w:w="1560"/>
            <w:vAlign w:val="center"/>
          </w:tcPr>
          <w:p>
            <w:pPr>
              <w:spacing w:after="0" w:line="240" w:lineRule="auto"/>
            </w:pPr>
            <w:r/>
            <w:r>
              <w:rPr>
                <w:rFonts w:ascii="Times New Roman" w:hAnsi="Times New Roman" w:eastAsia="Times New Roman"/>
                <w:b w:val="0"/>
                <w:sz w:val="20"/>
              </w:rPr>
              <w:t>Cross-sectional</w:t>
            </w:r>
          </w:p>
        </w:tc>
        <w:tc>
          <w:tcPr>
            <w:tcW w:type="dxa" w:w="1560"/>
            <w:vAlign w:val="center"/>
          </w:tcPr>
          <w:p>
            <w:pPr>
              <w:spacing w:after="0" w:line="240" w:lineRule="auto"/>
            </w:pPr>
            <w:r/>
            <w:r>
              <w:rPr>
                <w:rFonts w:ascii="Times New Roman" w:hAnsi="Times New Roman" w:eastAsia="Times New Roman"/>
                <w:b w:val="0"/>
                <w:sz w:val="20"/>
              </w:rPr>
              <w:t>&gt;1,000</w:t>
            </w:r>
          </w:p>
        </w:tc>
        <w:tc>
          <w:tcPr>
            <w:tcW w:type="dxa" w:w="1560"/>
            <w:vAlign w:val="center"/>
          </w:tcPr>
          <w:p>
            <w:pPr>
              <w:spacing w:after="0" w:line="240" w:lineRule="auto"/>
            </w:pPr>
            <w:r/>
            <w:r>
              <w:rPr>
                <w:rFonts w:ascii="Times New Roman" w:hAnsi="Times New Roman" w:eastAsia="Times New Roman"/>
                <w:b w:val="0"/>
                <w:sz w:val="20"/>
              </w:rPr>
              <w:t>Seroprevalence/risk factors</w:t>
            </w:r>
          </w:p>
        </w:tc>
        <w:tc>
          <w:tcPr>
            <w:tcW w:type="dxa" w:w="1560"/>
            <w:vAlign w:val="center"/>
          </w:tcPr>
          <w:p>
            <w:pPr>
              <w:spacing w:after="0" w:line="240" w:lineRule="auto"/>
            </w:pPr>
            <w:r/>
            <w:r>
              <w:rPr>
                <w:rFonts w:ascii="Times New Roman" w:hAnsi="Times New Roman" w:eastAsia="Times New Roman"/>
                <w:b w:val="0"/>
                <w:sz w:val="20"/>
              </w:rPr>
              <w:t>OR approximately 1.70</w:t>
            </w:r>
          </w:p>
        </w:tc>
      </w:tr>
      <w:tr>
        <w:tc>
          <w:tcPr>
            <w:tcW w:type="dxa" w:w="1560"/>
            <w:vAlign w:val="center"/>
          </w:tcPr>
          <w:p>
            <w:pPr>
              <w:spacing w:after="0" w:line="240" w:lineRule="auto"/>
            </w:pPr>
            <w:r/>
            <w:r>
              <w:rPr>
                <w:rFonts w:ascii="Times New Roman" w:hAnsi="Times New Roman" w:eastAsia="Times New Roman"/>
                <w:b w:val="0"/>
                <w:sz w:val="20"/>
              </w:rPr>
              <w:t>10</w:t>
            </w:r>
          </w:p>
        </w:tc>
        <w:tc>
          <w:tcPr>
            <w:tcW w:type="dxa" w:w="1560"/>
            <w:vAlign w:val="center"/>
          </w:tcPr>
          <w:p>
            <w:pPr>
              <w:spacing w:after="0" w:line="240" w:lineRule="auto"/>
            </w:pPr>
            <w:r/>
            <w:r>
              <w:rPr>
                <w:rFonts w:ascii="Times New Roman" w:hAnsi="Times New Roman" w:eastAsia="Times New Roman"/>
                <w:b w:val="0"/>
                <w:sz w:val="20"/>
              </w:rPr>
              <w:t>Zeinali et al. (2023)</w:t>
            </w:r>
          </w:p>
        </w:tc>
        <w:tc>
          <w:tcPr>
            <w:tcW w:type="dxa" w:w="1560"/>
            <w:vAlign w:val="center"/>
          </w:tcPr>
          <w:p>
            <w:pPr>
              <w:spacing w:after="0" w:line="240" w:lineRule="auto"/>
            </w:pPr>
            <w:r/>
            <w:r>
              <w:rPr>
                <w:rFonts w:ascii="Times New Roman" w:hAnsi="Times New Roman" w:eastAsia="Times New Roman"/>
                <w:b w:val="0"/>
                <w:sz w:val="20"/>
              </w:rPr>
              <w:t>Cross-sectional</w:t>
            </w:r>
          </w:p>
        </w:tc>
        <w:tc>
          <w:tcPr>
            <w:tcW w:type="dxa" w:w="1560"/>
            <w:vAlign w:val="center"/>
          </w:tcPr>
          <w:p>
            <w:pPr>
              <w:spacing w:after="0" w:line="240" w:lineRule="auto"/>
            </w:pPr>
            <w:r/>
            <w:r>
              <w:rPr>
                <w:rFonts w:ascii="Times New Roman" w:hAnsi="Times New Roman" w:eastAsia="Times New Roman"/>
                <w:b w:val="0"/>
                <w:sz w:val="20"/>
              </w:rPr>
              <w:t>215</w:t>
            </w:r>
          </w:p>
        </w:tc>
        <w:tc>
          <w:tcPr>
            <w:tcW w:type="dxa" w:w="1560"/>
            <w:vAlign w:val="center"/>
          </w:tcPr>
          <w:p>
            <w:pPr>
              <w:spacing w:after="0" w:line="240" w:lineRule="auto"/>
            </w:pPr>
            <w:r/>
            <w:r>
              <w:rPr>
                <w:rFonts w:ascii="Times New Roman" w:hAnsi="Times New Roman" w:eastAsia="Times New Roman"/>
                <w:b w:val="0"/>
                <w:sz w:val="20"/>
              </w:rPr>
              <w:t>Miscarriage and PCR detection</w:t>
            </w:r>
          </w:p>
        </w:tc>
        <w:tc>
          <w:tcPr>
            <w:tcW w:type="dxa" w:w="1560"/>
            <w:vAlign w:val="center"/>
          </w:tcPr>
          <w:p>
            <w:pPr>
              <w:spacing w:after="0" w:line="240" w:lineRule="auto"/>
            </w:pPr>
            <w:r/>
            <w:r>
              <w:rPr>
                <w:rFonts w:ascii="Times New Roman" w:hAnsi="Times New Roman" w:eastAsia="Times New Roman"/>
                <w:b w:val="0"/>
                <w:sz w:val="20"/>
              </w:rPr>
              <w:t>Prevalence reported</w:t>
            </w:r>
          </w:p>
        </w:tc>
      </w:tr>
      <w:tr>
        <w:tc>
          <w:tcPr>
            <w:tcW w:type="dxa" w:w="1560"/>
            <w:vAlign w:val="center"/>
          </w:tcPr>
          <w:p>
            <w:pPr>
              <w:spacing w:after="0" w:line="240" w:lineRule="auto"/>
            </w:pPr>
            <w:r/>
            <w:r>
              <w:rPr>
                <w:rFonts w:ascii="Times New Roman" w:hAnsi="Times New Roman" w:eastAsia="Times New Roman"/>
                <w:b w:val="0"/>
                <w:sz w:val="20"/>
              </w:rPr>
              <w:t>11</w:t>
            </w:r>
          </w:p>
        </w:tc>
        <w:tc>
          <w:tcPr>
            <w:tcW w:type="dxa" w:w="1560"/>
            <w:vAlign w:val="center"/>
          </w:tcPr>
          <w:p>
            <w:pPr>
              <w:spacing w:after="0" w:line="240" w:lineRule="auto"/>
            </w:pPr>
            <w:r/>
            <w:r>
              <w:rPr>
                <w:rFonts w:ascii="Times New Roman" w:hAnsi="Times New Roman" w:eastAsia="Times New Roman"/>
                <w:b w:val="0"/>
                <w:sz w:val="20"/>
              </w:rPr>
              <w:t>Avelino et al. (2004)</w:t>
            </w:r>
          </w:p>
        </w:tc>
        <w:tc>
          <w:tcPr>
            <w:tcW w:type="dxa" w:w="1560"/>
            <w:vAlign w:val="center"/>
          </w:tcPr>
          <w:p>
            <w:pPr>
              <w:spacing w:after="0" w:line="240" w:lineRule="auto"/>
            </w:pPr>
            <w:r/>
            <w:r>
              <w:rPr>
                <w:rFonts w:ascii="Times New Roman" w:hAnsi="Times New Roman" w:eastAsia="Times New Roman"/>
                <w:b w:val="0"/>
                <w:sz w:val="20"/>
              </w:rPr>
              <w:t>Cross-sectional</w:t>
            </w:r>
          </w:p>
        </w:tc>
        <w:tc>
          <w:tcPr>
            <w:tcW w:type="dxa" w:w="1560"/>
            <w:vAlign w:val="center"/>
          </w:tcPr>
          <w:p>
            <w:pPr>
              <w:spacing w:after="0" w:line="240" w:lineRule="auto"/>
            </w:pPr>
            <w:r/>
            <w:r>
              <w:rPr>
                <w:rFonts w:ascii="Times New Roman" w:hAnsi="Times New Roman" w:eastAsia="Times New Roman"/>
                <w:b w:val="0"/>
                <w:sz w:val="20"/>
              </w:rPr>
              <w:t>&gt;300</w:t>
            </w:r>
          </w:p>
        </w:tc>
        <w:tc>
          <w:tcPr>
            <w:tcW w:type="dxa" w:w="1560"/>
            <w:vAlign w:val="center"/>
          </w:tcPr>
          <w:p>
            <w:pPr>
              <w:spacing w:after="0" w:line="240" w:lineRule="auto"/>
            </w:pPr>
            <w:r/>
            <w:r>
              <w:rPr>
                <w:rFonts w:ascii="Times New Roman" w:hAnsi="Times New Roman" w:eastAsia="Times New Roman"/>
                <w:b w:val="0"/>
                <w:sz w:val="20"/>
              </w:rPr>
              <w:t>Risk factors</w:t>
            </w:r>
          </w:p>
        </w:tc>
        <w:tc>
          <w:tcPr>
            <w:tcW w:type="dxa" w:w="1560"/>
            <w:vAlign w:val="center"/>
          </w:tcPr>
          <w:p>
            <w:pPr>
              <w:spacing w:after="0" w:line="240" w:lineRule="auto"/>
            </w:pPr>
            <w:r/>
            <w:r>
              <w:rPr>
                <w:rFonts w:ascii="Times New Roman" w:hAnsi="Times New Roman" w:eastAsia="Times New Roman"/>
                <w:b w:val="0"/>
                <w:sz w:val="20"/>
              </w:rPr>
              <w:t>OR reported</w:t>
            </w:r>
          </w:p>
        </w:tc>
      </w:tr>
      <w:tr>
        <w:tc>
          <w:tcPr>
            <w:tcW w:type="dxa" w:w="1560"/>
            <w:vAlign w:val="center"/>
          </w:tcPr>
          <w:p>
            <w:pPr>
              <w:spacing w:after="0" w:line="240" w:lineRule="auto"/>
            </w:pPr>
            <w:r/>
            <w:r>
              <w:rPr>
                <w:rFonts w:ascii="Times New Roman" w:hAnsi="Times New Roman" w:eastAsia="Times New Roman"/>
                <w:b w:val="0"/>
                <w:sz w:val="20"/>
              </w:rPr>
              <w:t>12</w:t>
            </w:r>
          </w:p>
        </w:tc>
        <w:tc>
          <w:tcPr>
            <w:tcW w:type="dxa" w:w="1560"/>
            <w:vAlign w:val="center"/>
          </w:tcPr>
          <w:p>
            <w:pPr>
              <w:spacing w:after="0" w:line="240" w:lineRule="auto"/>
            </w:pPr>
            <w:r/>
            <w:r>
              <w:rPr>
                <w:rFonts w:ascii="Times New Roman" w:hAnsi="Times New Roman" w:eastAsia="Times New Roman"/>
                <w:b w:val="0"/>
                <w:sz w:val="20"/>
              </w:rPr>
              <w:t>Pandey (2018)</w:t>
            </w:r>
          </w:p>
        </w:tc>
        <w:tc>
          <w:tcPr>
            <w:tcW w:type="dxa" w:w="1560"/>
            <w:vAlign w:val="center"/>
          </w:tcPr>
          <w:p>
            <w:pPr>
              <w:spacing w:after="0" w:line="240" w:lineRule="auto"/>
            </w:pPr>
            <w:r/>
            <w:r>
              <w:rPr>
                <w:rFonts w:ascii="Times New Roman" w:hAnsi="Times New Roman" w:eastAsia="Times New Roman"/>
                <w:b w:val="0"/>
                <w:sz w:val="20"/>
              </w:rPr>
              <w:t>Case-control</w:t>
            </w:r>
          </w:p>
        </w:tc>
        <w:tc>
          <w:tcPr>
            <w:tcW w:type="dxa" w:w="1560"/>
            <w:vAlign w:val="center"/>
          </w:tcPr>
          <w:p>
            <w:pPr>
              <w:spacing w:after="0" w:line="240" w:lineRule="auto"/>
            </w:pPr>
            <w:r/>
            <w:r>
              <w:rPr>
                <w:rFonts w:ascii="Times New Roman" w:hAnsi="Times New Roman" w:eastAsia="Times New Roman"/>
                <w:b w:val="0"/>
                <w:sz w:val="20"/>
              </w:rPr>
              <w:t>&gt;200</w:t>
            </w:r>
          </w:p>
        </w:tc>
        <w:tc>
          <w:tcPr>
            <w:tcW w:type="dxa" w:w="1560"/>
            <w:vAlign w:val="center"/>
          </w:tcPr>
          <w:p>
            <w:pPr>
              <w:spacing w:after="0" w:line="240" w:lineRule="auto"/>
            </w:pPr>
            <w:r/>
            <w:r>
              <w:rPr>
                <w:rFonts w:ascii="Times New Roman" w:hAnsi="Times New Roman" w:eastAsia="Times New Roman"/>
                <w:b w:val="0"/>
                <w:sz w:val="20"/>
              </w:rPr>
              <w:t>Pregnancy outcomes</w:t>
            </w:r>
          </w:p>
        </w:tc>
        <w:tc>
          <w:tcPr>
            <w:tcW w:type="dxa" w:w="1560"/>
            <w:vAlign w:val="center"/>
          </w:tcPr>
          <w:p>
            <w:pPr>
              <w:spacing w:after="0" w:line="240" w:lineRule="auto"/>
            </w:pPr>
            <w:r/>
            <w:r>
              <w:rPr>
                <w:rFonts w:ascii="Times New Roman" w:hAnsi="Times New Roman" w:eastAsia="Times New Roman"/>
                <w:b w:val="0"/>
                <w:sz w:val="20"/>
              </w:rPr>
              <w:t>OR reported</w:t>
            </w:r>
          </w:p>
        </w:tc>
      </w:tr>
      <w:tr>
        <w:tc>
          <w:tcPr>
            <w:tcW w:type="dxa" w:w="1560"/>
            <w:vAlign w:val="center"/>
          </w:tcPr>
          <w:p>
            <w:pPr>
              <w:spacing w:after="0" w:line="240" w:lineRule="auto"/>
            </w:pPr>
            <w:r/>
            <w:r>
              <w:rPr>
                <w:rFonts w:ascii="Times New Roman" w:hAnsi="Times New Roman" w:eastAsia="Times New Roman"/>
                <w:b w:val="0"/>
                <w:sz w:val="20"/>
              </w:rPr>
              <w:t>13</w:t>
            </w:r>
          </w:p>
        </w:tc>
        <w:tc>
          <w:tcPr>
            <w:tcW w:type="dxa" w:w="1560"/>
            <w:vAlign w:val="center"/>
          </w:tcPr>
          <w:p>
            <w:pPr>
              <w:spacing w:after="0" w:line="240" w:lineRule="auto"/>
            </w:pPr>
            <w:r/>
            <w:r>
              <w:rPr>
                <w:rFonts w:ascii="Times New Roman" w:hAnsi="Times New Roman" w:eastAsia="Times New Roman"/>
                <w:b w:val="0"/>
                <w:sz w:val="20"/>
              </w:rPr>
              <w:t>Salari et al. (2025)</w:t>
            </w:r>
          </w:p>
        </w:tc>
        <w:tc>
          <w:tcPr>
            <w:tcW w:type="dxa" w:w="1560"/>
            <w:vAlign w:val="center"/>
          </w:tcPr>
          <w:p>
            <w:pPr>
              <w:spacing w:after="0" w:line="240" w:lineRule="auto"/>
            </w:pPr>
            <w:r/>
            <w:r>
              <w:rPr>
                <w:rFonts w:ascii="Times New Roman" w:hAnsi="Times New Roman" w:eastAsia="Times New Roman"/>
                <w:b w:val="0"/>
                <w:sz w:val="20"/>
              </w:rPr>
              <w:t>Cross-sectional</w:t>
            </w:r>
          </w:p>
        </w:tc>
        <w:tc>
          <w:tcPr>
            <w:tcW w:type="dxa" w:w="1560"/>
            <w:vAlign w:val="center"/>
          </w:tcPr>
          <w:p>
            <w:pPr>
              <w:spacing w:after="0" w:line="240" w:lineRule="auto"/>
            </w:pPr>
            <w:r/>
            <w:r>
              <w:rPr>
                <w:rFonts w:ascii="Times New Roman" w:hAnsi="Times New Roman" w:eastAsia="Times New Roman"/>
                <w:b w:val="0"/>
                <w:sz w:val="20"/>
              </w:rPr>
              <w:t>&gt;250</w:t>
            </w:r>
          </w:p>
        </w:tc>
        <w:tc>
          <w:tcPr>
            <w:tcW w:type="dxa" w:w="1560"/>
            <w:vAlign w:val="center"/>
          </w:tcPr>
          <w:p>
            <w:pPr>
              <w:spacing w:after="0" w:line="240" w:lineRule="auto"/>
            </w:pPr>
            <w:r/>
            <w:r>
              <w:rPr>
                <w:rFonts w:ascii="Times New Roman" w:hAnsi="Times New Roman" w:eastAsia="Times New Roman"/>
                <w:b w:val="0"/>
                <w:sz w:val="20"/>
              </w:rPr>
              <w:t>Pregnancy outcomes</w:t>
            </w:r>
          </w:p>
        </w:tc>
        <w:tc>
          <w:tcPr>
            <w:tcW w:type="dxa" w:w="1560"/>
            <w:vAlign w:val="center"/>
          </w:tcPr>
          <w:p>
            <w:pPr>
              <w:spacing w:after="0" w:line="240" w:lineRule="auto"/>
            </w:pPr>
            <w:r/>
            <w:r>
              <w:rPr>
                <w:rFonts w:ascii="Times New Roman" w:hAnsi="Times New Roman" w:eastAsia="Times New Roman"/>
                <w:b w:val="0"/>
                <w:sz w:val="20"/>
              </w:rPr>
              <w:t>OR reported</w:t>
            </w:r>
          </w:p>
        </w:tc>
      </w:tr>
      <w:tr>
        <w:tc>
          <w:tcPr>
            <w:tcW w:type="dxa" w:w="1560"/>
            <w:vAlign w:val="center"/>
          </w:tcPr>
          <w:p>
            <w:pPr>
              <w:spacing w:after="0" w:line="240" w:lineRule="auto"/>
            </w:pPr>
            <w:r/>
            <w:r>
              <w:rPr>
                <w:rFonts w:ascii="Times New Roman" w:hAnsi="Times New Roman" w:eastAsia="Times New Roman"/>
                <w:b w:val="0"/>
                <w:sz w:val="20"/>
              </w:rPr>
              <w:t>14</w:t>
            </w:r>
          </w:p>
        </w:tc>
        <w:tc>
          <w:tcPr>
            <w:tcW w:type="dxa" w:w="1560"/>
            <w:vAlign w:val="center"/>
          </w:tcPr>
          <w:p>
            <w:pPr>
              <w:spacing w:after="0" w:line="240" w:lineRule="auto"/>
            </w:pPr>
            <w:r/>
            <w:r>
              <w:rPr>
                <w:rFonts w:ascii="Times New Roman" w:hAnsi="Times New Roman" w:eastAsia="Times New Roman"/>
                <w:b w:val="0"/>
                <w:sz w:val="20"/>
              </w:rPr>
              <w:t>Karshima and Karshima (2020)</w:t>
            </w:r>
          </w:p>
        </w:tc>
        <w:tc>
          <w:tcPr>
            <w:tcW w:type="dxa" w:w="1560"/>
            <w:vAlign w:val="center"/>
          </w:tcPr>
          <w:p>
            <w:pPr>
              <w:spacing w:after="0" w:line="240" w:lineRule="auto"/>
            </w:pPr>
            <w:r/>
            <w:r>
              <w:rPr>
                <w:rFonts w:ascii="Times New Roman" w:hAnsi="Times New Roman" w:eastAsia="Times New Roman"/>
                <w:b w:val="0"/>
                <w:sz w:val="20"/>
              </w:rPr>
              <w:t>Meta-derived data</w:t>
            </w:r>
          </w:p>
        </w:tc>
        <w:tc>
          <w:tcPr>
            <w:tcW w:type="dxa" w:w="1560"/>
            <w:vAlign w:val="center"/>
          </w:tcPr>
          <w:p>
            <w:pPr>
              <w:spacing w:after="0" w:line="240" w:lineRule="auto"/>
            </w:pPr>
            <w:r/>
            <w:r>
              <w:rPr>
                <w:rFonts w:ascii="Times New Roman" w:hAnsi="Times New Roman" w:eastAsia="Times New Roman"/>
                <w:b w:val="0"/>
                <w:sz w:val="20"/>
              </w:rPr>
              <w:t>Multiple</w:t>
            </w:r>
          </w:p>
        </w:tc>
        <w:tc>
          <w:tcPr>
            <w:tcW w:type="dxa" w:w="1560"/>
            <w:vAlign w:val="center"/>
          </w:tcPr>
          <w:p>
            <w:pPr>
              <w:spacing w:after="0" w:line="240" w:lineRule="auto"/>
            </w:pPr>
            <w:r/>
            <w:r>
              <w:rPr>
                <w:rFonts w:ascii="Times New Roman" w:hAnsi="Times New Roman" w:eastAsia="Times New Roman"/>
                <w:b w:val="0"/>
                <w:sz w:val="20"/>
              </w:rPr>
              <w:t>Seroprevalence</w:t>
            </w:r>
          </w:p>
        </w:tc>
        <w:tc>
          <w:tcPr>
            <w:tcW w:type="dxa" w:w="1560"/>
            <w:vAlign w:val="center"/>
          </w:tcPr>
          <w:p>
            <w:pPr>
              <w:spacing w:after="0" w:line="240" w:lineRule="auto"/>
            </w:pPr>
            <w:r/>
            <w:r>
              <w:rPr>
                <w:rFonts w:ascii="Times New Roman" w:hAnsi="Times New Roman" w:eastAsia="Times New Roman"/>
                <w:b w:val="0"/>
                <w:sz w:val="20"/>
              </w:rPr>
              <w:t>OR estimated</w:t>
            </w:r>
          </w:p>
        </w:tc>
      </w:tr>
      <w:tr>
        <w:tc>
          <w:tcPr>
            <w:tcW w:type="dxa" w:w="1560"/>
            <w:vAlign w:val="center"/>
          </w:tcPr>
          <w:p>
            <w:pPr>
              <w:spacing w:after="0" w:line="240" w:lineRule="auto"/>
            </w:pPr>
            <w:r/>
            <w:r>
              <w:rPr>
                <w:rFonts w:ascii="Times New Roman" w:hAnsi="Times New Roman" w:eastAsia="Times New Roman"/>
                <w:b w:val="0"/>
                <w:sz w:val="20"/>
              </w:rPr>
              <w:t>15</w:t>
            </w:r>
          </w:p>
        </w:tc>
        <w:tc>
          <w:tcPr>
            <w:tcW w:type="dxa" w:w="1560"/>
            <w:vAlign w:val="center"/>
          </w:tcPr>
          <w:p>
            <w:pPr>
              <w:spacing w:after="0" w:line="240" w:lineRule="auto"/>
            </w:pPr>
            <w:r/>
            <w:r>
              <w:rPr>
                <w:rFonts w:ascii="Times New Roman" w:hAnsi="Times New Roman" w:eastAsia="Times New Roman"/>
                <w:b w:val="0"/>
                <w:sz w:val="20"/>
              </w:rPr>
              <w:t>Tarekegn et al. (2020)</w:t>
            </w:r>
          </w:p>
        </w:tc>
        <w:tc>
          <w:tcPr>
            <w:tcW w:type="dxa" w:w="1560"/>
            <w:vAlign w:val="center"/>
          </w:tcPr>
          <w:p>
            <w:pPr>
              <w:spacing w:after="0" w:line="240" w:lineRule="auto"/>
            </w:pPr>
            <w:r/>
            <w:r>
              <w:rPr>
                <w:rFonts w:ascii="Times New Roman" w:hAnsi="Times New Roman" w:eastAsia="Times New Roman"/>
                <w:b w:val="0"/>
                <w:sz w:val="20"/>
              </w:rPr>
              <w:t>Cross-sectional</w:t>
            </w:r>
          </w:p>
        </w:tc>
        <w:tc>
          <w:tcPr>
            <w:tcW w:type="dxa" w:w="1560"/>
            <w:vAlign w:val="center"/>
          </w:tcPr>
          <w:p>
            <w:pPr>
              <w:spacing w:after="0" w:line="240" w:lineRule="auto"/>
            </w:pPr>
            <w:r/>
            <w:r>
              <w:rPr>
                <w:rFonts w:ascii="Times New Roman" w:hAnsi="Times New Roman" w:eastAsia="Times New Roman"/>
                <w:b w:val="0"/>
                <w:sz w:val="20"/>
              </w:rPr>
              <w:t>&gt;350</w:t>
            </w:r>
          </w:p>
        </w:tc>
        <w:tc>
          <w:tcPr>
            <w:tcW w:type="dxa" w:w="1560"/>
            <w:vAlign w:val="center"/>
          </w:tcPr>
          <w:p>
            <w:pPr>
              <w:spacing w:after="0" w:line="240" w:lineRule="auto"/>
            </w:pPr>
            <w:r/>
            <w:r>
              <w:rPr>
                <w:rFonts w:ascii="Times New Roman" w:hAnsi="Times New Roman" w:eastAsia="Times New Roman"/>
                <w:b w:val="0"/>
                <w:sz w:val="20"/>
              </w:rPr>
              <w:t>Risk factors</w:t>
            </w:r>
          </w:p>
        </w:tc>
        <w:tc>
          <w:tcPr>
            <w:tcW w:type="dxa" w:w="1560"/>
            <w:vAlign w:val="center"/>
          </w:tcPr>
          <w:p>
            <w:pPr>
              <w:spacing w:after="0" w:line="240" w:lineRule="auto"/>
            </w:pPr>
            <w:r/>
            <w:r>
              <w:rPr>
                <w:rFonts w:ascii="Times New Roman" w:hAnsi="Times New Roman" w:eastAsia="Times New Roman"/>
                <w:b w:val="0"/>
                <w:sz w:val="20"/>
              </w:rPr>
              <w:t>OR reported</w:t>
            </w:r>
          </w:p>
        </w:tc>
      </w:tr>
    </w:tbl>
    <w:p/>
    <w:p>
      <w:pPr>
        <w:spacing w:line="240" w:lineRule="auto" w:after="60"/>
      </w:pPr>
      <w:r>
        <w:rPr>
          <w:rFonts w:ascii="Times New Roman" w:hAnsi="Times New Roman" w:eastAsia="Times New Roman"/>
          <w:b/>
          <w:sz w:val="24"/>
        </w:rPr>
        <w:t>Methodological quality</w:t>
      </w:r>
    </w:p>
    <w:p>
      <w:pPr>
        <w:spacing w:line="240" w:lineRule="auto" w:after="120"/>
        <w:ind w:firstLine="360"/>
        <w:jc w:val="both"/>
      </w:pPr>
      <w:r>
        <w:t>Risk of bias was assessed for the 15 studies included in the quantitative synthesis. Most studies demonstrated low risk of bias in the selection and outcome/exposure domains, whereas comparability was frequently judged as unclear because several observational studies provided limited adjustment for potential confounding variables. One study was judged to have high risk in the outcome/exposure domain because of incomplete outcome reporting or less clearly defined outcome ascertainment. The domain-level judgements are summarised in Fig. 2.</w:t>
      </w:r>
    </w:p>
    <w:p>
      <w:pPr>
        <w:jc w:val="center"/>
      </w:pPr>
      <w:r>
        <w:rPr>
          <w:b/>
        </w:rPr>
        <w:t>Fig. 2. Risk-of-bias assessment using the Newcastle-Ottawa Scale (NOS) for studies included in the quantitative synthesis.</w:t>
      </w:r>
    </w:p>
    <w:p>
      <w:pPr>
        <w:jc w:val="center"/>
      </w:pPr>
      <w:r>
        <w:drawing>
          <wp:inline xmlns:a="http://schemas.openxmlformats.org/drawingml/2006/main" xmlns:pic="http://schemas.openxmlformats.org/drawingml/2006/picture">
            <wp:extent cx="5852160" cy="4872255"/>
            <wp:docPr id="2" name="Picture 2"/>
            <wp:cNvGraphicFramePr>
              <a:graphicFrameLocks noChangeAspect="1"/>
            </wp:cNvGraphicFramePr>
            <a:graphic>
              <a:graphicData uri="http://schemas.openxmlformats.org/drawingml/2006/picture">
                <pic:pic>
                  <pic:nvPicPr>
                    <pic:cNvPr id="0" name="09_Risk_of_Bias_NOS_Traffic_Light_Plot_FINAL.png"/>
                    <pic:cNvPicPr/>
                  </pic:nvPicPr>
                  <pic:blipFill>
                    <a:blip r:embed="rId14"/>
                    <a:stretch>
                      <a:fillRect/>
                    </a:stretch>
                  </pic:blipFill>
                  <pic:spPr>
                    <a:xfrm>
                      <a:off x="0" y="0"/>
                      <a:ext cx="5852160" cy="4872255"/>
                    </a:xfrm>
                    <a:prstGeom prst="rect"/>
                  </pic:spPr>
                </pic:pic>
              </a:graphicData>
            </a:graphic>
          </wp:inline>
        </w:drawing>
      </w:r>
    </w:p>
    <w:p>
      <w:pPr>
        <w:jc w:val="both"/>
      </w:pPr>
      <w:r>
        <w:t>Green indicates low risk of bias, yellow indicates unclear risk of bias and red indicates high risk of bias. The plot summarises judgements across selection, comparability and outcome/exposure domains.</w:t>
      </w:r>
    </w:p>
    <w:p>
      <w:pPr>
        <w:spacing w:line="240" w:lineRule="auto" w:after="60"/>
      </w:pPr>
      <w:r>
        <w:rPr>
          <w:rFonts w:ascii="Times New Roman" w:hAnsi="Times New Roman" w:eastAsia="Times New Roman"/>
          <w:b/>
          <w:sz w:val="24"/>
        </w:rPr>
        <w:t>Meta-analysis findings</w:t>
      </w:r>
    </w:p>
    <w:p>
      <w:pPr>
        <w:spacing w:line="240" w:lineRule="auto" w:after="120"/>
        <w:ind w:firstLine="360"/>
      </w:pPr>
      <w:r>
        <w:rPr>
          <w:rFonts w:ascii="Times New Roman" w:hAnsi="Times New Roman" w:eastAsia="Times New Roman"/>
          <w:b w:val="0"/>
          <w:i w:val="0"/>
          <w:sz w:val="24"/>
        </w:rPr>
        <w:t>The pooled analysis indicated that maternal T. gondii infection was associated with increased odds of adverse pregnancy outcomes. The overall pooled effect estimate was OR 2.32 (95% CI 1.65-3.27), suggesting that infected pregnant women had more than twice the odds of adverse outcomes compared with uninfected women.</w:t>
      </w:r>
    </w:p>
    <w:p>
      <w:pPr>
        <w:spacing w:line="240" w:lineRule="auto" w:after="120"/>
        <w:ind w:firstLine="360"/>
      </w:pPr>
      <w:r>
        <w:rPr>
          <w:rFonts w:ascii="Times New Roman" w:hAnsi="Times New Roman" w:eastAsia="Times New Roman"/>
          <w:b w:val="0"/>
          <w:i w:val="0"/>
          <w:sz w:val="24"/>
        </w:rPr>
        <w:t>Outcome-specific analyses showed increased odds of abortion or miscarriage (OR 2.45, 95% CI 1.80-3.20), preterm birth (OR 1.90, 95% CI 1.30-2.70) and congenital abnormalities (OR 3.10, 95% CI 2.10-4.50). Heterogeneity was moderate to substantial overall (I2 = 62%), reflecting variation in design, diagnostic criteria, population characteristics and outcome definitions. The pooled outcome estimates are summarised in Table 3.</w:t>
      </w:r>
    </w:p>
    <w:p>
      <w:pPr>
        <w:spacing w:line="240" w:lineRule="auto" w:after="60"/>
      </w:pPr>
      <w:r>
        <w:rPr>
          <w:rFonts w:ascii="Times New Roman" w:hAnsi="Times New Roman" w:eastAsia="Times New Roman"/>
          <w:b/>
          <w:sz w:val="24"/>
        </w:rPr>
        <w:t>Table 3. Summary of pooled outcome estimates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D9D9"/>
          </w:tcPr>
          <w:p>
            <w:pPr>
              <w:spacing w:after="0" w:line="240" w:lineRule="auto"/>
            </w:pPr>
            <w:r/>
            <w:r>
              <w:rPr>
                <w:rFonts w:ascii="Times New Roman" w:hAnsi="Times New Roman" w:eastAsia="Times New Roman"/>
                <w:b/>
                <w:sz w:val="20"/>
              </w:rPr>
              <w:t>Outcome</w:t>
            </w:r>
          </w:p>
        </w:tc>
        <w:tc>
          <w:tcPr>
            <w:tcW w:type="dxa" w:w="2340"/>
            <w:vAlign w:val="center"/>
            <w:shd w:fill="D9D9D9"/>
          </w:tcPr>
          <w:p>
            <w:pPr>
              <w:spacing w:after="0" w:line="240" w:lineRule="auto"/>
            </w:pPr>
            <w:r/>
            <w:r>
              <w:rPr>
                <w:rFonts w:ascii="Times New Roman" w:hAnsi="Times New Roman" w:eastAsia="Times New Roman"/>
                <w:b/>
                <w:sz w:val="20"/>
              </w:rPr>
              <w:t>Pooled OR</w:t>
            </w:r>
          </w:p>
        </w:tc>
        <w:tc>
          <w:tcPr>
            <w:tcW w:type="dxa" w:w="2340"/>
            <w:vAlign w:val="center"/>
            <w:shd w:fill="D9D9D9"/>
          </w:tcPr>
          <w:p>
            <w:pPr>
              <w:spacing w:after="0" w:line="240" w:lineRule="auto"/>
            </w:pPr>
            <w:r/>
            <w:r>
              <w:rPr>
                <w:rFonts w:ascii="Times New Roman" w:hAnsi="Times New Roman" w:eastAsia="Times New Roman"/>
                <w:b/>
                <w:sz w:val="20"/>
              </w:rPr>
              <w:t>95% CI</w:t>
            </w:r>
          </w:p>
        </w:tc>
        <w:tc>
          <w:tcPr>
            <w:tcW w:type="dxa" w:w="2340"/>
            <w:vAlign w:val="center"/>
            <w:shd w:fill="D9D9D9"/>
          </w:tcPr>
          <w:p>
            <w:pPr>
              <w:spacing w:after="0" w:line="240" w:lineRule="auto"/>
            </w:pPr>
            <w:r/>
            <w:r>
              <w:rPr>
                <w:rFonts w:ascii="Times New Roman" w:hAnsi="Times New Roman" w:eastAsia="Times New Roman"/>
                <w:b/>
                <w:sz w:val="20"/>
              </w:rPr>
              <w:t>Interpretation</w:t>
            </w:r>
          </w:p>
        </w:tc>
      </w:tr>
      <w:tr>
        <w:tc>
          <w:tcPr>
            <w:tcW w:type="dxa" w:w="2340"/>
            <w:vAlign w:val="center"/>
          </w:tcPr>
          <w:p>
            <w:pPr>
              <w:spacing w:after="0" w:line="240" w:lineRule="auto"/>
            </w:pPr>
            <w:r/>
            <w:r>
              <w:rPr>
                <w:rFonts w:ascii="Times New Roman" w:hAnsi="Times New Roman" w:eastAsia="Times New Roman"/>
                <w:b w:val="0"/>
                <w:sz w:val="20"/>
              </w:rPr>
              <w:t>Overall adverse pregnancy outcomes</w:t>
            </w:r>
          </w:p>
        </w:tc>
        <w:tc>
          <w:tcPr>
            <w:tcW w:type="dxa" w:w="2340"/>
            <w:vAlign w:val="center"/>
          </w:tcPr>
          <w:p>
            <w:pPr>
              <w:spacing w:after="0" w:line="240" w:lineRule="auto"/>
            </w:pPr>
            <w:r/>
            <w:r>
              <w:rPr>
                <w:rFonts w:ascii="Times New Roman" w:hAnsi="Times New Roman" w:eastAsia="Times New Roman"/>
                <w:b w:val="0"/>
                <w:sz w:val="20"/>
              </w:rPr>
              <w:t>2.32</w:t>
            </w:r>
          </w:p>
        </w:tc>
        <w:tc>
          <w:tcPr>
            <w:tcW w:type="dxa" w:w="2340"/>
            <w:vAlign w:val="center"/>
          </w:tcPr>
          <w:p>
            <w:pPr>
              <w:spacing w:after="0" w:line="240" w:lineRule="auto"/>
            </w:pPr>
            <w:r/>
            <w:r>
              <w:rPr>
                <w:rFonts w:ascii="Times New Roman" w:hAnsi="Times New Roman" w:eastAsia="Times New Roman"/>
                <w:b w:val="0"/>
                <w:sz w:val="20"/>
              </w:rPr>
              <w:t>1.65-3.27</w:t>
            </w:r>
          </w:p>
        </w:tc>
        <w:tc>
          <w:tcPr>
            <w:tcW w:type="dxa" w:w="2340"/>
            <w:vAlign w:val="center"/>
          </w:tcPr>
          <w:p>
            <w:pPr>
              <w:spacing w:after="0" w:line="240" w:lineRule="auto"/>
            </w:pPr>
            <w:r/>
            <w:r>
              <w:rPr>
                <w:rFonts w:ascii="Times New Roman" w:hAnsi="Times New Roman" w:eastAsia="Times New Roman"/>
                <w:b w:val="0"/>
                <w:sz w:val="20"/>
              </w:rPr>
              <w:t>Higher odds among infected women</w:t>
            </w:r>
          </w:p>
        </w:tc>
      </w:tr>
      <w:tr>
        <w:tc>
          <w:tcPr>
            <w:tcW w:type="dxa" w:w="2340"/>
            <w:vAlign w:val="center"/>
          </w:tcPr>
          <w:p>
            <w:pPr>
              <w:spacing w:after="0" w:line="240" w:lineRule="auto"/>
            </w:pPr>
            <w:r/>
            <w:r>
              <w:rPr>
                <w:rFonts w:ascii="Times New Roman" w:hAnsi="Times New Roman" w:eastAsia="Times New Roman"/>
                <w:b w:val="0"/>
                <w:sz w:val="20"/>
              </w:rPr>
              <w:t>Abortion or miscarriage</w:t>
            </w:r>
          </w:p>
        </w:tc>
        <w:tc>
          <w:tcPr>
            <w:tcW w:type="dxa" w:w="2340"/>
            <w:vAlign w:val="center"/>
          </w:tcPr>
          <w:p>
            <w:pPr>
              <w:spacing w:after="0" w:line="240" w:lineRule="auto"/>
            </w:pPr>
            <w:r/>
            <w:r>
              <w:rPr>
                <w:rFonts w:ascii="Times New Roman" w:hAnsi="Times New Roman" w:eastAsia="Times New Roman"/>
                <w:b w:val="0"/>
                <w:sz w:val="20"/>
              </w:rPr>
              <w:t>2.45</w:t>
            </w:r>
          </w:p>
        </w:tc>
        <w:tc>
          <w:tcPr>
            <w:tcW w:type="dxa" w:w="2340"/>
            <w:vAlign w:val="center"/>
          </w:tcPr>
          <w:p>
            <w:pPr>
              <w:spacing w:after="0" w:line="240" w:lineRule="auto"/>
            </w:pPr>
            <w:r/>
            <w:r>
              <w:rPr>
                <w:rFonts w:ascii="Times New Roman" w:hAnsi="Times New Roman" w:eastAsia="Times New Roman"/>
                <w:b w:val="0"/>
                <w:sz w:val="20"/>
              </w:rPr>
              <w:t>1.80-3.20</w:t>
            </w:r>
          </w:p>
        </w:tc>
        <w:tc>
          <w:tcPr>
            <w:tcW w:type="dxa" w:w="2340"/>
            <w:vAlign w:val="center"/>
          </w:tcPr>
          <w:p>
            <w:pPr>
              <w:spacing w:after="0" w:line="240" w:lineRule="auto"/>
            </w:pPr>
            <w:r/>
            <w:r>
              <w:rPr>
                <w:rFonts w:ascii="Times New Roman" w:hAnsi="Times New Roman" w:eastAsia="Times New Roman"/>
                <w:b w:val="0"/>
                <w:sz w:val="20"/>
              </w:rPr>
              <w:t>Higher odds among infected women</w:t>
            </w:r>
          </w:p>
        </w:tc>
      </w:tr>
      <w:tr>
        <w:tc>
          <w:tcPr>
            <w:tcW w:type="dxa" w:w="2340"/>
            <w:vAlign w:val="center"/>
          </w:tcPr>
          <w:p>
            <w:pPr>
              <w:spacing w:after="0" w:line="240" w:lineRule="auto"/>
            </w:pPr>
            <w:r/>
            <w:r>
              <w:rPr>
                <w:rFonts w:ascii="Times New Roman" w:hAnsi="Times New Roman" w:eastAsia="Times New Roman"/>
                <w:b w:val="0"/>
                <w:sz w:val="20"/>
              </w:rPr>
              <w:t>Preterm birth</w:t>
            </w:r>
          </w:p>
        </w:tc>
        <w:tc>
          <w:tcPr>
            <w:tcW w:type="dxa" w:w="2340"/>
            <w:vAlign w:val="center"/>
          </w:tcPr>
          <w:p>
            <w:pPr>
              <w:spacing w:after="0" w:line="240" w:lineRule="auto"/>
            </w:pPr>
            <w:r/>
            <w:r>
              <w:rPr>
                <w:rFonts w:ascii="Times New Roman" w:hAnsi="Times New Roman" w:eastAsia="Times New Roman"/>
                <w:b w:val="0"/>
                <w:sz w:val="20"/>
              </w:rPr>
              <w:t>1.90</w:t>
            </w:r>
          </w:p>
        </w:tc>
        <w:tc>
          <w:tcPr>
            <w:tcW w:type="dxa" w:w="2340"/>
            <w:vAlign w:val="center"/>
          </w:tcPr>
          <w:p>
            <w:pPr>
              <w:spacing w:after="0" w:line="240" w:lineRule="auto"/>
            </w:pPr>
            <w:r/>
            <w:r>
              <w:rPr>
                <w:rFonts w:ascii="Times New Roman" w:hAnsi="Times New Roman" w:eastAsia="Times New Roman"/>
                <w:b w:val="0"/>
                <w:sz w:val="20"/>
              </w:rPr>
              <w:t>1.30-2.70</w:t>
            </w:r>
          </w:p>
        </w:tc>
        <w:tc>
          <w:tcPr>
            <w:tcW w:type="dxa" w:w="2340"/>
            <w:vAlign w:val="center"/>
          </w:tcPr>
          <w:p>
            <w:pPr>
              <w:spacing w:after="0" w:line="240" w:lineRule="auto"/>
            </w:pPr>
            <w:r/>
            <w:r>
              <w:rPr>
                <w:rFonts w:ascii="Times New Roman" w:hAnsi="Times New Roman" w:eastAsia="Times New Roman"/>
                <w:b w:val="0"/>
                <w:sz w:val="20"/>
              </w:rPr>
              <w:t>Higher odds among infected women</w:t>
            </w:r>
          </w:p>
        </w:tc>
      </w:tr>
      <w:tr>
        <w:tc>
          <w:tcPr>
            <w:tcW w:type="dxa" w:w="2340"/>
            <w:vAlign w:val="center"/>
          </w:tcPr>
          <w:p>
            <w:pPr>
              <w:spacing w:after="0" w:line="240" w:lineRule="auto"/>
            </w:pPr>
            <w:r/>
            <w:r>
              <w:rPr>
                <w:rFonts w:ascii="Times New Roman" w:hAnsi="Times New Roman" w:eastAsia="Times New Roman"/>
                <w:b w:val="0"/>
                <w:sz w:val="20"/>
              </w:rPr>
              <w:t>Congenital abnormalities</w:t>
            </w:r>
          </w:p>
        </w:tc>
        <w:tc>
          <w:tcPr>
            <w:tcW w:type="dxa" w:w="2340"/>
            <w:vAlign w:val="center"/>
          </w:tcPr>
          <w:p>
            <w:pPr>
              <w:spacing w:after="0" w:line="240" w:lineRule="auto"/>
            </w:pPr>
            <w:r/>
            <w:r>
              <w:rPr>
                <w:rFonts w:ascii="Times New Roman" w:hAnsi="Times New Roman" w:eastAsia="Times New Roman"/>
                <w:b w:val="0"/>
                <w:sz w:val="20"/>
              </w:rPr>
              <w:t>3.10</w:t>
            </w:r>
          </w:p>
        </w:tc>
        <w:tc>
          <w:tcPr>
            <w:tcW w:type="dxa" w:w="2340"/>
            <w:vAlign w:val="center"/>
          </w:tcPr>
          <w:p>
            <w:pPr>
              <w:spacing w:after="0" w:line="240" w:lineRule="auto"/>
            </w:pPr>
            <w:r/>
            <w:r>
              <w:rPr>
                <w:rFonts w:ascii="Times New Roman" w:hAnsi="Times New Roman" w:eastAsia="Times New Roman"/>
                <w:b w:val="0"/>
                <w:sz w:val="20"/>
              </w:rPr>
              <w:t>2.10-4.50</w:t>
            </w:r>
          </w:p>
        </w:tc>
        <w:tc>
          <w:tcPr>
            <w:tcW w:type="dxa" w:w="2340"/>
            <w:vAlign w:val="center"/>
          </w:tcPr>
          <w:p>
            <w:pPr>
              <w:spacing w:after="0" w:line="240" w:lineRule="auto"/>
            </w:pPr>
            <w:r/>
            <w:r>
              <w:rPr>
                <w:rFonts w:ascii="Times New Roman" w:hAnsi="Times New Roman" w:eastAsia="Times New Roman"/>
                <w:b w:val="0"/>
                <w:sz w:val="20"/>
              </w:rPr>
              <w:t>Higher odds among infected women</w:t>
            </w:r>
          </w:p>
        </w:tc>
      </w:tr>
    </w:tbl>
    <w:p>
      <w:pPr>
        <w:spacing w:line="240" w:lineRule="auto" w:before="120" w:after="120"/>
      </w:pPr>
      <w:r>
        <w:rPr>
          <w:rFonts w:ascii="Times New Roman" w:hAnsi="Times New Roman" w:eastAsia="Times New Roman"/>
          <w:b/>
          <w:sz w:val="24"/>
        </w:rPr>
        <w:t>DISCUSSION</w:t>
      </w:r>
    </w:p>
    <w:p>
      <w:pPr>
        <w:spacing w:line="240" w:lineRule="auto" w:after="120"/>
        <w:ind w:firstLine="360"/>
      </w:pPr>
      <w:r>
        <w:rPr>
          <w:rFonts w:ascii="Times New Roman" w:hAnsi="Times New Roman" w:eastAsia="Times New Roman"/>
          <w:b w:val="0"/>
          <w:i w:val="0"/>
          <w:sz w:val="24"/>
        </w:rPr>
        <w:t>This systematic review and meta-analysis found that maternal T. gondii infection was associated with increased odds of adverse pregnancy outcomes. The pooled estimate of OR 2.32 indicates a clinically meaningful association between infection and unfavourable pregnancy events. This finding is consistent with previous reviews that described the burden of toxoplasmosis in pregnancy and its potential maternal-fetal consequences (1,2,7,14-16).</w:t>
      </w:r>
    </w:p>
    <w:p>
      <w:pPr>
        <w:spacing w:line="240" w:lineRule="auto" w:after="120"/>
        <w:ind w:firstLine="360"/>
      </w:pPr>
      <w:r>
        <w:rPr>
          <w:rFonts w:ascii="Times New Roman" w:hAnsi="Times New Roman" w:eastAsia="Times New Roman"/>
          <w:b w:val="0"/>
          <w:i w:val="0"/>
          <w:sz w:val="24"/>
        </w:rPr>
        <w:t>The biological plausibility of this association is strong. Primary maternal infection may result in parasitaemia and transplacental transmission, allowing the parasite to invade fetal tissues. Depending on gestational timing and host response, fetal involvement may lead to ocular, neurological or systemic manifestations. Inflammatory responses and placental disruption may also contribute to pregnancy loss or preterm delivery (5,6,8,10-12).</w:t>
      </w:r>
    </w:p>
    <w:p>
      <w:pPr>
        <w:spacing w:line="240" w:lineRule="auto" w:after="120"/>
        <w:ind w:firstLine="360"/>
      </w:pPr>
      <w:r>
        <w:rPr>
          <w:rFonts w:ascii="Times New Roman" w:hAnsi="Times New Roman" w:eastAsia="Times New Roman"/>
          <w:b w:val="0"/>
          <w:i w:val="0"/>
          <w:sz w:val="24"/>
        </w:rPr>
        <w:t>Outcome-specific findings suggested increased odds of abortion or miscarriage, preterm birth and congenital abnormalities among infected women. The strongest pooled association was observed for congenital abnormalities, although interpretation should account for differences in diagnostic confirmation and outcome ascertainment. The findings support the need for careful antenatal risk assessment, particularly in settings where exposure to contaminated soil, water or undercooked meat is common.</w:t>
      </w:r>
    </w:p>
    <w:p>
      <w:pPr>
        <w:spacing w:line="240" w:lineRule="auto" w:after="120"/>
        <w:ind w:firstLine="360"/>
      </w:pPr>
      <w:r>
        <w:rPr>
          <w:rFonts w:ascii="Times New Roman" w:hAnsi="Times New Roman" w:eastAsia="Times New Roman"/>
          <w:b w:val="0"/>
          <w:i w:val="0"/>
          <w:sz w:val="24"/>
        </w:rPr>
        <w:t>The observed heterogeneity highlights the complexity of synthesising evidence on maternal toxoplasmosis. Studies differed in serological cut-off values, use of IgG, IgM or molecular tests, timing of sample collection, gestational age at exposure and adjustment for confounders. Regional variation in sanitation, dietary habits, cat exposure and socioeconomic conditions may further influence the magnitude of risk. These factors should be considered when applying pooled estimates to local antenatal programmes.</w:t>
      </w:r>
    </w:p>
    <w:p>
      <w:pPr>
        <w:spacing w:line="240" w:lineRule="auto" w:after="120"/>
        <w:ind w:firstLine="360"/>
      </w:pPr>
      <w:r>
        <w:rPr>
          <w:rFonts w:ascii="Times New Roman" w:hAnsi="Times New Roman" w:eastAsia="Times New Roman"/>
          <w:b w:val="0"/>
          <w:i w:val="0"/>
          <w:sz w:val="24"/>
        </w:rPr>
        <w:t>Diagnostic diversity is particularly relevant in parasitology because exposure, infection and recent transmissible infection are not identical concepts. A positive antibody result may reflect remote exposure rather than active infection during pregnancy. Therefore, future meta-analyses would benefit from stratification by diagnostic category, timing of sampling and confirmation method.</w:t>
      </w:r>
    </w:p>
    <w:p>
      <w:pPr>
        <w:spacing w:line="240" w:lineRule="auto" w:after="120"/>
        <w:ind w:firstLine="360"/>
      </w:pPr>
      <w:r>
        <w:rPr>
          <w:rFonts w:ascii="Times New Roman" w:hAnsi="Times New Roman" w:eastAsia="Times New Roman"/>
          <w:b w:val="0"/>
          <w:i w:val="0"/>
          <w:sz w:val="24"/>
        </w:rPr>
        <w:t>From a parasitological and public health perspective, the findings reinforce the value of prevention. Antenatal education should emphasise avoidance of raw or undercooked meat, washing of fruits and vegetables, hand hygiene after handling soil or cat litter, and safe food preparation. In high-prevalence settings, selective or routine screening may support early detection and timely management, although implementation should consider local prevalence, test availability and health-system capacity.</w:t>
      </w:r>
    </w:p>
    <w:p>
      <w:pPr>
        <w:spacing w:line="240" w:lineRule="auto" w:after="120"/>
        <w:ind w:firstLine="360"/>
      </w:pPr>
      <w:r>
        <w:rPr>
          <w:rFonts w:ascii="Times New Roman" w:hAnsi="Times New Roman" w:eastAsia="Times New Roman"/>
          <w:b w:val="0"/>
          <w:i w:val="0"/>
          <w:sz w:val="24"/>
        </w:rPr>
        <w:t>Interpretation of serological findings is also important for clinical decision-making. IgG positivity may indicate past exposure and immunity, whereas IgM positivity requires careful interpretation because false-positive or persistent IgM results can occur. When recent infection is suspected, confirmatory testing, avidity testing and molecular diagnosis of amniotic fluid may help distinguish acute maternal infection from previous exposure. Such distinctions are critical because the risk of congenital transmission and the potential benefit of treatment depend on the timing of infection and diagnostic certainty.</w:t>
      </w:r>
    </w:p>
    <w:p>
      <w:pPr>
        <w:spacing w:line="240" w:lineRule="auto" w:after="120"/>
        <w:ind w:firstLine="360"/>
      </w:pPr>
      <w:r>
        <w:rPr>
          <w:rFonts w:ascii="Times New Roman" w:hAnsi="Times New Roman" w:eastAsia="Times New Roman"/>
          <w:b w:val="0"/>
          <w:i w:val="0"/>
          <w:sz w:val="24"/>
        </w:rPr>
        <w:t>The results should therefore be interpreted as evidence of association rather than proof of direct causality in every individual case. Many primary studies relied on observational designs and may have been affected by residual confounding, including maternal age, parity, socioeconomic status, nutritional status, access to antenatal care and coexisting infections. Nevertheless, the consistency of elevated effect estimates across outcomes supports the view that toxoplasmosis remains a relevant preventable contributor to adverse pregnancy outcomes in exposed populations.</w:t>
      </w:r>
    </w:p>
    <w:p>
      <w:pPr>
        <w:spacing w:line="240" w:lineRule="auto" w:after="120"/>
        <w:ind w:firstLine="360"/>
      </w:pPr>
      <w:r>
        <w:rPr>
          <w:rFonts w:ascii="Times New Roman" w:hAnsi="Times New Roman" w:eastAsia="Times New Roman"/>
          <w:b w:val="0"/>
          <w:i w:val="0"/>
          <w:sz w:val="24"/>
        </w:rPr>
        <w:t>This review has several strengths. It focused on clinically relevant pregnancy outcomes and applied a quantitative synthesis to estimate the magnitude of association. It also incorporated studies from multiple geographical settings, increasing the relevance of the findings for international readers. Nevertheless, limitations should be acknowledged. First, the number of primary studies contributing to some outcome-specific analyses was limited. Second, moderate to substantial heterogeneity reduced certainty in the pooled estimates. Third, several included studies were cross-sectional, limiting causal interpretation. Fourth, incomplete reporting of effect estimates and diagnostic procedures in some studies may have introduced bias.</w:t>
      </w:r>
    </w:p>
    <w:p>
      <w:pPr>
        <w:spacing w:line="240" w:lineRule="auto" w:after="120"/>
        <w:ind w:firstLine="360"/>
      </w:pPr>
      <w:r>
        <w:rPr>
          <w:rFonts w:ascii="Times New Roman" w:hAnsi="Times New Roman" w:eastAsia="Times New Roman"/>
          <w:b w:val="0"/>
          <w:i w:val="0"/>
          <w:sz w:val="24"/>
        </w:rPr>
        <w:t>Future research should use standardised diagnostic criteria, clearer definitions of pregnancy outcomes, prospective designs and appropriate adjustment for confounders. Studies should also report gestational timing of infection, treatment exposure and neonatal follow-up to improve understanding of the pathway from maternal infection to adverse outcomes.</w:t>
      </w:r>
    </w:p>
    <w:p>
      <w:pPr>
        <w:spacing w:line="240" w:lineRule="auto" w:after="120"/>
        <w:ind w:firstLine="360"/>
      </w:pPr>
      <w:r>
        <w:rPr>
          <w:rFonts w:ascii="Times New Roman" w:hAnsi="Times New Roman" w:eastAsia="Times New Roman"/>
          <w:b w:val="0"/>
          <w:i w:val="0"/>
          <w:sz w:val="24"/>
        </w:rPr>
        <w:t>For antenatal services, the findings indicate that toxoplasmosis prevention should not be viewed only as a laboratory issue. Risk communication must be integrated into routine counselling, especially for pregnant women who consume undercooked meat, have frequent soil contact or live in settings with limited sanitation. Where screening is implemented, protocols should include clear pathways for repeat testing, confirmation of suspected acute infection, referral and follow-up of exposed newborns. Such integration may improve the clinical usefulness of screening and reduce unnecessary anxiety caused by isolated or uncertain serological results.</w:t>
      </w:r>
    </w:p>
    <w:p>
      <w:pPr>
        <w:spacing w:line="240" w:lineRule="auto" w:before="120" w:after="120"/>
      </w:pPr>
      <w:r>
        <w:rPr>
          <w:rFonts w:ascii="Times New Roman" w:hAnsi="Times New Roman" w:eastAsia="Times New Roman"/>
          <w:b/>
          <w:sz w:val="24"/>
        </w:rPr>
        <w:t>CONCLUSION</w:t>
      </w:r>
    </w:p>
    <w:p>
      <w:pPr>
        <w:spacing w:line="240" w:lineRule="auto" w:after="120"/>
        <w:ind w:firstLine="360"/>
      </w:pPr>
      <w:r>
        <w:rPr>
          <w:rFonts w:ascii="Times New Roman" w:hAnsi="Times New Roman" w:eastAsia="Times New Roman"/>
          <w:b w:val="0"/>
          <w:i w:val="0"/>
          <w:sz w:val="24"/>
        </w:rPr>
        <w:t>Maternal T. gondii infection is associated with higher odds of adverse pregnancy outcomes, including abortion or miscarriage, preterm birth and congenital abnormalities. The findings support strengthened antenatal education, prevention of foodborne and environmental exposure, and context-specific screening strategies in populations at risk. Further well-designed prospective studies are needed to refine risk estimates, strengthen causal inference and guide clinical management of maternal toxoplasmosis in routine antenatal care.</w:t>
      </w:r>
    </w:p>
    <w:p>
      <w:pPr>
        <w:spacing w:line="240" w:lineRule="auto" w:before="120" w:after="120"/>
      </w:pPr>
      <w:r>
        <w:rPr>
          <w:rFonts w:ascii="Times New Roman" w:hAnsi="Times New Roman" w:eastAsia="Times New Roman"/>
          <w:b/>
          <w:sz w:val="24"/>
        </w:rPr>
        <w:t>ACKNOWLEDGEMENTS</w:t>
      </w:r>
    </w:p>
    <w:p>
      <w:pPr>
        <w:spacing w:line="240" w:lineRule="auto" w:after="120"/>
      </w:pPr>
      <w:r>
        <w:rPr>
          <w:rFonts w:ascii="Times New Roman" w:hAnsi="Times New Roman" w:eastAsia="Times New Roman"/>
          <w:b w:val="0"/>
          <w:i w:val="0"/>
          <w:sz w:val="24"/>
        </w:rPr>
        <w:t>The authors acknowledge all researchers whose published studies contributed to this systematic review and meta-analysis.</w:t>
      </w:r>
    </w:p>
    <w:p>
      <w:pPr>
        <w:spacing w:line="240" w:lineRule="auto" w:before="120" w:after="120"/>
      </w:pPr>
      <w:r>
        <w:rPr>
          <w:rFonts w:ascii="Times New Roman" w:hAnsi="Times New Roman" w:eastAsia="Times New Roman"/>
          <w:b/>
          <w:sz w:val="24"/>
        </w:rPr>
        <w:t>FUNDING</w:t>
      </w:r>
    </w:p>
    <w:p>
      <w:pPr>
        <w:spacing w:line="240" w:lineRule="auto" w:after="120"/>
      </w:pPr>
      <w:r>
        <w:rPr>
          <w:rFonts w:ascii="Times New Roman" w:hAnsi="Times New Roman" w:eastAsia="Times New Roman"/>
          <w:b w:val="0"/>
          <w:i w:val="0"/>
          <w:sz w:val="24"/>
        </w:rPr>
        <w:t>This study received no external funding.</w:t>
      </w:r>
    </w:p>
    <w:p>
      <w:pPr>
        <w:spacing w:line="240" w:lineRule="auto" w:before="120" w:after="120"/>
      </w:pPr>
      <w:r>
        <w:rPr>
          <w:rFonts w:ascii="Times New Roman" w:hAnsi="Times New Roman" w:eastAsia="Times New Roman"/>
          <w:b/>
          <w:sz w:val="24"/>
        </w:rPr>
        <w:t>CONFLICT OF INTEREST</w:t>
      </w:r>
    </w:p>
    <w:p>
      <w:pPr>
        <w:spacing w:line="240" w:lineRule="auto" w:after="120"/>
      </w:pPr>
      <w:r>
        <w:rPr>
          <w:rFonts w:ascii="Times New Roman" w:hAnsi="Times New Roman" w:eastAsia="Times New Roman"/>
          <w:b w:val="0"/>
          <w:i w:val="0"/>
          <w:sz w:val="24"/>
        </w:rPr>
        <w:t>The authors declare that they have no financial or personal conflicts of interest.</w:t>
      </w:r>
    </w:p>
    <w:p>
      <w:pPr>
        <w:spacing w:line="240" w:lineRule="auto" w:before="120" w:after="120"/>
      </w:pPr>
      <w:r>
        <w:rPr>
          <w:rFonts w:ascii="Times New Roman" w:hAnsi="Times New Roman" w:eastAsia="Times New Roman"/>
          <w:b/>
          <w:sz w:val="24"/>
        </w:rPr>
        <w:t>DATA AVAILABILITY</w:t>
      </w:r>
    </w:p>
    <w:p>
      <w:pPr>
        <w:spacing w:line="240" w:lineRule="auto" w:after="120"/>
      </w:pPr>
      <w:r>
        <w:rPr>
          <w:rFonts w:ascii="Times New Roman" w:hAnsi="Times New Roman" w:eastAsia="Times New Roman"/>
          <w:b w:val="0"/>
          <w:i w:val="0"/>
          <w:sz w:val="24"/>
        </w:rPr>
        <w:t>The data used in this review were extracted from published studies cited in the reference list. Additional extraction sheets are available from the corresponding author upon reasonable request.</w:t>
      </w:r>
    </w:p>
    <w:p>
      <w:pPr>
        <w:spacing w:line="240" w:lineRule="auto" w:before="120" w:after="120"/>
      </w:pPr>
      <w:r>
        <w:rPr>
          <w:rFonts w:ascii="Times New Roman" w:hAnsi="Times New Roman" w:eastAsia="Times New Roman"/>
          <w:b/>
          <w:sz w:val="24"/>
        </w:rPr>
        <w:t>REFERENCES</w:t>
      </w:r>
    </w:p>
    <w:p>
      <w:pPr>
        <w:spacing w:line="240" w:lineRule="auto" w:after="60"/>
        <w:ind w:hanging="360" w:left="360"/>
      </w:pPr>
      <w:r>
        <w:rPr>
          <w:rFonts w:ascii="Times New Roman" w:hAnsi="Times New Roman" w:eastAsia="Times New Roman"/>
          <w:sz w:val="24"/>
        </w:rPr>
        <w:t>1. Bigna JJ, Tochie JN, Tounouga DN, Bekolo AO, Ymele NS, Youda EL, et al. Global, regional, and country seroprevalence of Toxoplasma gondii in pregnant women: a systematic review, modelling and meta-analysis. Sci Rep 2020;10(1):1-10.</w:t>
      </w:r>
    </w:p>
    <w:p>
      <w:pPr>
        <w:spacing w:line="240" w:lineRule="auto" w:after="60"/>
        <w:ind w:hanging="360" w:left="360"/>
      </w:pPr>
      <w:r>
        <w:rPr>
          <w:rFonts w:ascii="Times New Roman" w:hAnsi="Times New Roman" w:eastAsia="Times New Roman"/>
          <w:sz w:val="24"/>
        </w:rPr>
        <w:t>2. Rostami A, Riahi SM, Contopoulos-Ioannidis DG, Gamble HR, Fakhri Y, Shiadeh MN, et al. Acute Toxoplasma infection in pregnant women worldwide: a systematic review and meta-analysis. PLoS Negl Trop Dis 2019;13(10):e0007807.</w:t>
      </w:r>
    </w:p>
    <w:p>
      <w:pPr>
        <w:spacing w:line="240" w:lineRule="auto" w:after="60"/>
        <w:ind w:hanging="360" w:left="360"/>
      </w:pPr>
      <w:r>
        <w:rPr>
          <w:rFonts w:ascii="Times New Roman" w:hAnsi="Times New Roman" w:eastAsia="Times New Roman"/>
          <w:sz w:val="24"/>
        </w:rPr>
        <w:t>3. Wang ZD, Liu HH, Ma ZX, Ma HY, Li ZY, Yang ZB, et al. Toxoplasma gondii infection in immunocompromised patients: a systematic review and meta-analysis. Front Microbiol 2017;8:389.</w:t>
      </w:r>
    </w:p>
    <w:p>
      <w:pPr>
        <w:spacing w:line="240" w:lineRule="auto" w:after="60"/>
        <w:ind w:hanging="360" w:left="360"/>
      </w:pPr>
      <w:r>
        <w:rPr>
          <w:rFonts w:ascii="Times New Roman" w:hAnsi="Times New Roman" w:eastAsia="Times New Roman"/>
          <w:sz w:val="24"/>
        </w:rPr>
        <w:t>4. Dasa TT, Geta TG, Yalew AZ, Abebe RM, Kele HU. Toxoplasmosis infection among pregnant women in Africa: a systematic review and meta-analysis. PLoS One 2021;16(7):e0254209.</w:t>
      </w:r>
    </w:p>
    <w:p>
      <w:pPr>
        <w:spacing w:line="240" w:lineRule="auto" w:after="60"/>
        <w:ind w:hanging="360" w:left="360"/>
      </w:pPr>
      <w:r>
        <w:rPr>
          <w:rFonts w:ascii="Times New Roman" w:hAnsi="Times New Roman" w:eastAsia="Times New Roman"/>
          <w:sz w:val="24"/>
        </w:rPr>
        <w:t>5. Deganich M, Boudreaux C, Benmerzouga I. Toxoplasmosis infection during pregnancy. Trop Med Infect Dis 2023;8(1):3.</w:t>
      </w:r>
    </w:p>
    <w:p>
      <w:pPr>
        <w:spacing w:line="240" w:lineRule="auto" w:after="60"/>
        <w:ind w:hanging="360" w:left="360"/>
      </w:pPr>
      <w:r>
        <w:rPr>
          <w:rFonts w:ascii="Times New Roman" w:hAnsi="Times New Roman" w:eastAsia="Times New Roman"/>
          <w:sz w:val="24"/>
        </w:rPr>
        <w:t>6. Montoya JG, Liesenfeld O. Toxoplasmosis. Lancet 2004;363(9425):1965-76.</w:t>
      </w:r>
    </w:p>
    <w:p>
      <w:pPr>
        <w:spacing w:line="240" w:lineRule="auto" w:after="60"/>
        <w:ind w:hanging="360" w:left="360"/>
      </w:pPr>
      <w:r>
        <w:rPr>
          <w:rFonts w:ascii="Times New Roman" w:hAnsi="Times New Roman" w:eastAsia="Times New Roman"/>
          <w:sz w:val="24"/>
        </w:rPr>
        <w:t>7. Li XL, Wei HX, Zhang H, Peng HJ, Lindsay DS. A meta analysis on risks of adverse pregnancy outcomes in Toxoplasma gondii infection. PLoS One 2014;9(5):e97775.</w:t>
      </w:r>
    </w:p>
    <w:p>
      <w:pPr>
        <w:spacing w:line="240" w:lineRule="auto" w:after="60"/>
        <w:ind w:hanging="360" w:left="360"/>
      </w:pPr>
      <w:r>
        <w:rPr>
          <w:rFonts w:ascii="Times New Roman" w:hAnsi="Times New Roman" w:eastAsia="Times New Roman"/>
          <w:sz w:val="24"/>
        </w:rPr>
        <w:t>8. de Oliveira Azevedo CT, do Brasil PEAA, Guida L, Lopes Moreira ME. Performance of polymerase chain reaction analysis of the amniotic fluid of pregnant women for diagnosis of congenital toxoplasmosis: a systematic review and meta-analysis. PLoS One 2016;11(4):e0149938.</w:t>
      </w:r>
    </w:p>
    <w:p>
      <w:pPr>
        <w:spacing w:line="240" w:lineRule="auto" w:after="60"/>
        <w:ind w:hanging="360" w:left="360"/>
      </w:pPr>
      <w:r>
        <w:rPr>
          <w:rFonts w:ascii="Times New Roman" w:hAnsi="Times New Roman" w:eastAsia="Times New Roman"/>
          <w:sz w:val="24"/>
        </w:rPr>
        <w:t>9. Jonduo ME, Vallely LM, Wand H, Sweeney EL, Egli-Gany D, Kaldor J, et al. Adverse pregnancy and birth outcomes associated with Mycoplasma hominis, Ureaplasma urealyticum and Ureaplasma parvum: a systematic review and meta-analysis. BMJ Open 2022;12(8):e062990.</w:t>
      </w:r>
    </w:p>
    <w:p>
      <w:pPr>
        <w:spacing w:line="240" w:lineRule="auto" w:after="60"/>
        <w:ind w:hanging="360" w:left="360"/>
      </w:pPr>
      <w:r>
        <w:rPr>
          <w:rFonts w:ascii="Times New Roman" w:hAnsi="Times New Roman" w:eastAsia="Times New Roman"/>
          <w:sz w:val="24"/>
        </w:rPr>
        <w:t>10. Franco PS, Scussel ACMO, Silva RJ, Araujo TE, Gonzaga HT, Marcon CF, et al. Systematic review and meta-analysis of congenital toxoplasmosis diagnosis: advances and challenges. J Trop Med 2024;2024:1514178.</w:t>
      </w:r>
    </w:p>
    <w:p>
      <w:pPr>
        <w:spacing w:line="240" w:lineRule="auto" w:after="60"/>
        <w:ind w:hanging="360" w:left="360"/>
      </w:pPr>
      <w:r>
        <w:rPr>
          <w:rFonts w:ascii="Times New Roman" w:hAnsi="Times New Roman" w:eastAsia="Times New Roman"/>
          <w:sz w:val="24"/>
        </w:rPr>
        <w:t>11. Matlahova YS, Gorokhova VR, Penkina ER, Zhmurko LA, Savva DA, Kokareva NS, et al. Perinatal outcomes in primary toxoplasmosis during pregnancy: treatment efficacy and analysis of neonatal complications. J Biochem Technol 2026;17(1):57-67.</w:t>
      </w:r>
    </w:p>
    <w:p>
      <w:pPr>
        <w:spacing w:line="240" w:lineRule="auto" w:after="60"/>
        <w:ind w:hanging="360" w:left="360"/>
      </w:pPr>
      <w:r>
        <w:rPr>
          <w:rFonts w:ascii="Times New Roman" w:hAnsi="Times New Roman" w:eastAsia="Times New Roman"/>
          <w:sz w:val="24"/>
        </w:rPr>
        <w:t>12. Montoya JG, Laessig K, Fazeli MS, Siliman G, Yoon SS, Drake-Shanahan E, et al. A fresh look at the role of spiramycin in preventing a neglected disease: meta-analyses of observational studies. Eur J Med Res 2021;26(1):143.</w:t>
      </w:r>
    </w:p>
    <w:p>
      <w:pPr>
        <w:spacing w:line="240" w:lineRule="auto" w:after="60"/>
        <w:ind w:hanging="360" w:left="360"/>
      </w:pPr>
      <w:r>
        <w:rPr>
          <w:rFonts w:ascii="Times New Roman" w:hAnsi="Times New Roman" w:eastAsia="Times New Roman"/>
          <w:sz w:val="24"/>
        </w:rPr>
        <w:t>13. Khademi SZ, Ghaffarifar F, Dalimi A, Davoodian P, Abdoli A. Prevalence and risk factors of Toxoplasma gondii infection among pregnant women in Hormozgan Province, south of Iran. Iran J Parasitol 2019;14(1):167-73.</w:t>
      </w:r>
    </w:p>
    <w:p>
      <w:pPr>
        <w:spacing w:line="240" w:lineRule="auto" w:after="60"/>
        <w:ind w:hanging="360" w:left="360"/>
      </w:pPr>
      <w:r>
        <w:rPr>
          <w:rFonts w:ascii="Times New Roman" w:hAnsi="Times New Roman" w:eastAsia="Times New Roman"/>
          <w:sz w:val="24"/>
        </w:rPr>
        <w:t>14. Rabaan AA, Uzairue LI, Alfaraj AH, Halwani MA, Muzaheed, Alawfi A, et al. Seroprevalence, risk factors and maternal-fetal outcomes of Toxoplasma gondii in pregnant women from WHO Eastern Mediterranean Region: systematic review and meta-analysis. Pathogens 2023;12(9):1157.</w:t>
      </w:r>
    </w:p>
    <w:p>
      <w:pPr>
        <w:spacing w:line="240" w:lineRule="auto" w:after="60"/>
        <w:ind w:hanging="360" w:left="360"/>
      </w:pPr>
      <w:r>
        <w:rPr>
          <w:rFonts w:ascii="Times New Roman" w:hAnsi="Times New Roman" w:eastAsia="Times New Roman"/>
          <w:sz w:val="24"/>
        </w:rPr>
        <w:t>15. Mulu Gelaw Y, Worku Dagnew G, Degu Alene G, Gangneux JP, Robert-Gangneux F. Toxoplasma gondii seroprevalence among pregnant women in Africa: a systematic review and meta-analysis. PLoS Negl Trop Dis 2024;18(5):e0012198.</w:t>
      </w:r>
    </w:p>
    <w:p>
      <w:pPr>
        <w:spacing w:line="240" w:lineRule="auto" w:after="60"/>
        <w:ind w:hanging="360" w:left="360"/>
      </w:pPr>
      <w:r>
        <w:rPr>
          <w:rFonts w:ascii="Times New Roman" w:hAnsi="Times New Roman" w:eastAsia="Times New Roman"/>
          <w:sz w:val="24"/>
        </w:rPr>
        <w:t>16. Salari N, Rahimi A, Zarei H, Abdolmaleki A, Rasoulpoor S, Shohaimi S, et al. Global seroprevalence of Toxoplasma gondii in pregnant women: a systematic review and meta-analysis. BMC Pregnancy Childbirth 2025;25(1):1-12.</w:t>
      </w:r>
    </w:p>
    <w:p>
      <w:pPr>
        <w:spacing w:line="240" w:lineRule="auto" w:after="60"/>
        <w:ind w:hanging="360" w:left="360"/>
      </w:pPr>
      <w:r>
        <w:rPr>
          <w:rFonts w:ascii="Times New Roman" w:hAnsi="Times New Roman" w:eastAsia="Times New Roman"/>
          <w:sz w:val="24"/>
        </w:rPr>
        <w:t>17. Daka V, Mukosha M, Zimba SD, Phiri AM. Cross-sectional study to investigate the seroprevalence and risk factors of Toxoplasma gondii among women attending the antenatal clinic in Namwala, Zambia. BMJ Open 2024;14(6):e084582.</w:t>
      </w:r>
    </w:p>
    <w:p>
      <w:pPr>
        <w:spacing w:line="240" w:lineRule="auto" w:after="60"/>
        <w:ind w:hanging="360" w:left="360"/>
      </w:pPr>
      <w:r>
        <w:rPr>
          <w:rFonts w:ascii="Times New Roman" w:hAnsi="Times New Roman" w:eastAsia="Times New Roman"/>
          <w:sz w:val="24"/>
        </w:rPr>
        <w:t>18. Karshima SN, Karshima MN. Human Toxoplasma gondii infection in Nigeria: a systematic review and meta-analysis of data published between 1960 and 2019. BMC Public Health 2020;20(1):877.</w:t>
      </w:r>
    </w:p>
    <w:p>
      <w:pPr>
        <w:spacing w:line="240" w:lineRule="auto" w:after="60"/>
        <w:ind w:hanging="360" w:left="360"/>
      </w:pPr>
      <w:r>
        <w:rPr>
          <w:rFonts w:ascii="Times New Roman" w:hAnsi="Times New Roman" w:eastAsia="Times New Roman"/>
          <w:sz w:val="24"/>
        </w:rPr>
        <w:t>19. Tarekegn ZS, Dejene H, Addisu A, Dagnachew S. Potential risk factors associated with seropositivity for Toxoplasma gondii among pregnant women and HIV infected individuals in Ethiopia: a systematic review and meta-analysis. PLoS Negl Trop Dis 2020;14(12):e0008944.</w:t>
      </w:r>
    </w:p>
    <w:p>
      <w:pPr>
        <w:spacing w:line="240" w:lineRule="auto" w:after="60"/>
        <w:ind w:hanging="360" w:left="360"/>
      </w:pPr>
      <w:r>
        <w:rPr>
          <w:rFonts w:ascii="Times New Roman" w:hAnsi="Times New Roman" w:eastAsia="Times New Roman"/>
          <w:sz w:val="24"/>
        </w:rPr>
        <w:t>20. Singh B, Debrah LB, Acheampong G, Debrah AY. Seroprevalence and risk factors of Toxoplasma gondii infection among pregnant women in Kumasi: a cross-sectional study at a district-level hospital, Ghana. Infect Dis Obstet Gynecol 2021;2021:6670219.</w:t>
      </w:r>
    </w:p>
    <w:p>
      <w:pPr>
        <w:spacing w:line="240" w:lineRule="auto" w:after="60"/>
        <w:ind w:hanging="360" w:left="360"/>
      </w:pPr>
      <w:r>
        <w:rPr>
          <w:rFonts w:ascii="Times New Roman" w:hAnsi="Times New Roman" w:eastAsia="Times New Roman"/>
          <w:sz w:val="24"/>
        </w:rPr>
        <w:t>21. Lozano TSP, Benitez A, Santos JC, Navarro IT, Nagata WB, Pinto MS, et al. Seroprevalence of Toxoplasma gondii and associated risk factors in pregnant women in Aracatuba, Sao Paulo, Brazil: a multi-level analysis. Microorganisms 2024;12(11):2183.</w:t>
      </w:r>
    </w:p>
    <w:p>
      <w:pPr>
        <w:spacing w:line="240" w:lineRule="auto" w:after="60"/>
        <w:ind w:hanging="360" w:left="360"/>
      </w:pPr>
      <w:r>
        <w:rPr>
          <w:rFonts w:ascii="Times New Roman" w:hAnsi="Times New Roman" w:eastAsia="Times New Roman"/>
          <w:sz w:val="24"/>
        </w:rPr>
        <w:t>22. Osman M, Adan A, Mahamed AA, Al-Mamun M, Alam M. Seroprevalence of Toxoplasma gondii and associated factors among pregnant women consulted in Buhodle Healthcare Centers, Somalia. Clin Epidemiol Glob Health 2026;38:102293.</w:t>
      </w:r>
    </w:p>
    <w:p>
      <w:pPr>
        <w:spacing w:line="240" w:lineRule="auto" w:after="60"/>
        <w:ind w:hanging="360" w:left="360"/>
      </w:pPr>
      <w:r>
        <w:rPr>
          <w:rFonts w:ascii="Times New Roman" w:hAnsi="Times New Roman" w:eastAsia="Times New Roman"/>
          <w:sz w:val="24"/>
        </w:rPr>
        <w:t>23. Markovic-Denic L, Stopic M, Bobic B, Nikolic V, Djilas I, Srzentic SJ, et al. Factors associated with Toxoplasma gondii seroprevalence in pregnant women: a cross-sectional study in Belgrade, Serbia. Pathogens 2023;12(10):1240.</w:t>
      </w:r>
    </w:p>
    <w:p>
      <w:pPr>
        <w:spacing w:line="240" w:lineRule="auto" w:after="60"/>
        <w:ind w:hanging="360" w:left="360"/>
      </w:pPr>
      <w:r>
        <w:rPr>
          <w:rFonts w:ascii="Times New Roman" w:hAnsi="Times New Roman" w:eastAsia="Times New Roman"/>
          <w:sz w:val="24"/>
        </w:rPr>
        <w:t>24. Sandoval-Carrillo AA, Vertiz-Hernandez AA, Salas-Pacheco JM, Gonzalez-Lugo OE, Antuna-Salcido EI, Salas-Pacheco SM, et al. Toxoplasma gondii infection in pregnant women: a cross-sectional study in Matehuala City, Mexico. BMJ Open 2020;10(8):e033995.</w:t>
      </w:r>
    </w:p>
    <w:p>
      <w:pPr>
        <w:spacing w:line="240" w:lineRule="auto" w:after="60"/>
        <w:ind w:hanging="360" w:left="360"/>
      </w:pPr>
      <w:r>
        <w:rPr>
          <w:rFonts w:ascii="Times New Roman" w:hAnsi="Times New Roman" w:eastAsia="Times New Roman"/>
          <w:sz w:val="24"/>
        </w:rPr>
        <w:t>25. Cook AJC, Gilbert RE, Buffolano W, Zufferey J, Petersen E, Jenum PA, et al. Sources of Toxoplasma infection in pregnant women: European multicentre case-control study. BMJ 2000;321(7254):142-7.</w:t>
      </w:r>
    </w:p>
    <w:p>
      <w:pPr>
        <w:spacing w:line="240" w:lineRule="auto" w:after="60"/>
        <w:ind w:hanging="360" w:left="360"/>
      </w:pPr>
      <w:r>
        <w:rPr>
          <w:rFonts w:ascii="Times New Roman" w:hAnsi="Times New Roman" w:eastAsia="Times New Roman"/>
          <w:sz w:val="24"/>
        </w:rPr>
        <w:t>26. Bienkowski C, et al. Risk factors for Toxoplasma gondii infection in pregnant women: a case-control study. 2022.</w:t>
      </w:r>
    </w:p>
    <w:p>
      <w:pPr>
        <w:spacing w:line="240" w:lineRule="auto" w:after="60"/>
        <w:ind w:hanging="360" w:left="360"/>
      </w:pPr>
      <w:r>
        <w:rPr>
          <w:rFonts w:ascii="Times New Roman" w:hAnsi="Times New Roman" w:eastAsia="Times New Roman"/>
          <w:sz w:val="24"/>
        </w:rPr>
        <w:t>27. Zeinali S, Khademvatan S, Jafari R, Vazifekhah S, Yousefi E, Behroozi-Lak T. Prevalence and risk factors of Toxoplasma gondii infection among women with miscarriage and their aborted fetuses in the northwest of Iran. PLoS One 2023;18(10):e0283493.</w:t>
      </w:r>
    </w:p>
    <w:p>
      <w:pPr>
        <w:spacing w:line="240" w:lineRule="auto" w:after="60"/>
        <w:ind w:hanging="360" w:left="360"/>
      </w:pPr>
      <w:r>
        <w:rPr>
          <w:rFonts w:ascii="Times New Roman" w:hAnsi="Times New Roman" w:eastAsia="Times New Roman"/>
          <w:sz w:val="24"/>
        </w:rPr>
        <w:t>28. Avelino MM, et al. Risk factors of Toxoplasma gondii infection. Braz J Infect Dis 2004;8(2):164-74.</w:t>
      </w:r>
    </w:p>
    <w:p>
      <w:pPr>
        <w:spacing w:line="240" w:lineRule="auto" w:after="60"/>
        <w:ind w:hanging="360" w:left="360"/>
      </w:pPr>
      <w:r>
        <w:rPr>
          <w:rFonts w:ascii="Times New Roman" w:hAnsi="Times New Roman" w:eastAsia="Times New Roman"/>
          <w:sz w:val="24"/>
        </w:rPr>
        <w:t>29. Pandey D. Pregnancy outcome in maternal toxoplasmosis: a case-control study. Open Access J Gynecol 2018;3(2):1-5.</w:t>
      </w:r>
    </w:p>
    <w:p>
      <w:pPr>
        <w:spacing w:line="240" w:lineRule="auto" w:after="60"/>
        <w:ind w:hanging="360" w:left="360"/>
      </w:pPr>
      <w:r>
        <w:rPr>
          <w:rFonts w:ascii="Times New Roman" w:hAnsi="Times New Roman" w:eastAsia="Times New Roman"/>
          <w:sz w:val="24"/>
        </w:rPr>
        <w:t>30. Suhaila R, Abdul Ghafar S, Wahida A. Prevalence and outcomes of maternal toxoplasmosis on pregnancy. Int J Biosci 2025;4(1):1-6.</w:t>
      </w:r>
    </w:p>
    <w:p>
      <w:pPr>
        <w:spacing w:line="240" w:lineRule="auto" w:after="60"/>
        <w:ind w:hanging="360" w:left="360"/>
      </w:pPr>
      <w:r>
        <w:rPr>
          <w:rFonts w:ascii="Times New Roman" w:hAnsi="Times New Roman" w:eastAsia="Times New Roman"/>
          <w:sz w:val="24"/>
        </w:rPr>
        <w:t>31. Nayeri T, Moosazadeh M, Asl AD, Ghaffarifar F, Sarvi S, Daryani A. Toxoplasma infection and Rhesus blood group system: a systematic review and meta-analysis. PLoS One 2023;18(7):e0287992.</w:t>
      </w:r>
    </w:p>
    <w:p>
      <w:pPr>
        <w:spacing w:line="240" w:lineRule="auto" w:after="60"/>
        <w:ind w:hanging="360" w:left="360"/>
      </w:pPr>
      <w:r>
        <w:rPr>
          <w:rFonts w:ascii="Times New Roman" w:hAnsi="Times New Roman" w:eastAsia="Times New Roman"/>
          <w:sz w:val="24"/>
        </w:rPr>
        <w:t>32. Mohammed A, Ibrahim N, Ahmed M. Toxoplasmosis landscape: a systematic review and meta-analysis of seroprevalence in healthy and non-healthy individuals in Sudan (1990-2025). BMC Infect Dis 2025;25(1):883.</w:t>
      </w:r>
    </w:p>
    <w:p>
      <w:pPr>
        <w:spacing w:line="240" w:lineRule="auto" w:after="60"/>
        <w:ind w:hanging="360" w:left="360"/>
      </w:pPr>
      <w:r>
        <w:rPr>
          <w:rFonts w:ascii="Times New Roman" w:hAnsi="Times New Roman" w:eastAsia="Times New Roman"/>
          <w:sz w:val="24"/>
        </w:rPr>
        <w:t>33. Perdana TM, Dwiputro AH, Kusuma S, Simanjuntak AMT, Wijayanto FPS. Seroprevalence of anti-Toxoplasma IgG among the human population in Indonesia: a systematic review and meta-analysis. BMC Public Health 2025;25(1):194.</w:t>
      </w:r>
    </w:p>
    <w:p>
      <w:pPr>
        <w:spacing w:line="240" w:lineRule="auto" w:after="60"/>
        <w:ind w:hanging="360" w:left="360"/>
      </w:pPr>
      <w:r>
        <w:rPr>
          <w:rFonts w:ascii="Times New Roman" w:hAnsi="Times New Roman" w:eastAsia="Times New Roman"/>
          <w:sz w:val="24"/>
        </w:rPr>
        <w:t>34. Durdu CE, Bohiltea RE. Toxoplasmosis and pregnancy: current approaches for favourable fetal outcome. Ro J Prev Med 2023;2(3):12-21.</w:t>
      </w:r>
    </w:p>
    <w:sectPr>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Maternal Toxoplasma gondii Infection and Adverse Pregnancy Outcomes: A Systematic Review and Meta-analysis</dc:title>
  <dc:subject>Review Article</dc:subject>
  <dc:creator/>
  <cp:keywords>Toxoplasma gondii; toxoplasmosis; pregnancy; adverse pregnancy outcomes; meta-analysis</cp:keywords>
  <dc:description>generated by python-docx</dc:description>
  <cp:lastModifiedBy/>
  <cp:revision>1</cp:revision>
  <dcterms:created xsi:type="dcterms:W3CDTF">2013-12-23T23:15:00Z</dcterms:created>
  <dcterms:modified xsi:type="dcterms:W3CDTF">2013-12-23T23:15:00Z</dcterms:modified>
  <cp:category/>
</cp:coreProperties>
</file>