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Fig. 1. PRISMA flow diagram of study selection</w:t>
      </w:r>
    </w:p>
    <w:p>
      <w:pPr>
        <w:jc w:val="center"/>
      </w:pPr>
      <w:r>
        <w:rPr>
          <w:rFonts w:ascii="Times New Roman" w:hAnsi="Times New Roman"/>
          <w:sz w:val="24"/>
        </w:rPr>
        <w:drawing>
          <wp:inline xmlns:a="http://schemas.openxmlformats.org/drawingml/2006/main" xmlns:pic="http://schemas.openxmlformats.org/drawingml/2006/picture">
            <wp:extent cx="6400800" cy="5067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ISMA_Flow_Diagram_IJP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6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>Database search identified 520 records. After duplicate removal and eligibility screening, 30 studies were included in the review and 15 studies were included in the meta-analysis.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