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Title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Title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Comparative effectiveness of ultrasonic-activated irrigants for smear layer removal in endodontics: A systematic review and meta-analysis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Running title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Ultrasonic irrigation and smear layer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Scientific field of dental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Endodontics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Article 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Review Article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Authors and affiliations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Nur Asmah, DDS, Sp.KG1*; Sari Dewiyani2; Meiny Faudah Amin3; Widya Lestari4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1 Universitas Muslim Indonesia, Makassar, Indonesia. SINTA ID: 6842007; Scopus ID: 57218488162; ORCID: 0009-0007-6837-7567. Email: nur.asmah@umi.ac.id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2 Department of Conservative Dentistry, Universitas Prof. Dr. Moestopo (Beragama), Jakarta, Indonesia. Scopus ID: 57189268085; ORCID: 0000-0002-9367-7146; Google Scholar ID: N3n3HTAAAAAJ. Email: s.dewiyani@dsn.moestopo.ac.id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3 Faculty of Dentistry, Universitas Trisakti, Jakarta, Indonesia. ORCID: 0000-0002-2572-0931. Email: meiny.faudah@trisakti.ac.id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4 Kulliyyah of Dentistry, International Islamic University Malaysia, Jalan Ahmad Shah, Kuantan, Malaysia 25200. ORCID: 0000-0002-7477-2228. </w:t>
      </w:r>
      <w:r w:rsidDel="00000000" w:rsidR="00000000" w:rsidRPr="00000000">
        <w:rPr>
          <w:sz w:val="22"/>
          <w:szCs w:val="22"/>
          <w:rtl w:val="0"/>
        </w:rPr>
        <w:t xml:space="preserve">Email: drwidya@iium.edu.my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Corresponding author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Nur Asmah, DDS, Sp.KG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Universitas Muslim Indonesia, Makassar, Indonesia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Email: nur.asmah@umi.ac.id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Author contributions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Nur Asmah: Conceptualization, Methodology, Investigation, Data curation, Writing - original draft, Writing - review and editing.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Sari Dewiyani: Conceptualization, Supervision, Methodology, Formal analysis, Writing - review and editing.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Meiny Faudah Amin: Methodology, Validation, Data curation, Writing - review and editing.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Widya Lestari: Validation, Methodology, Writing - review and editing, and final approval of the manuscript.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120" w:befor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Declarations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Conflicts of interest: none.</w:t>
        <w:br w:type="textWrapping"/>
        <w:t xml:space="preserve">Funding: This research received no specific grant from any funding agency in the public, commercial, or not-for-profit sectors.</w:t>
        <w:br w:type="textWrapping"/>
        <w:t xml:space="preserve">Ethics approval and consent to participate: Not applicable. This systematic review and meta-analysis used previously published data.</w:t>
        <w:br w:type="textWrapping"/>
        <w:t xml:space="preserve">Data availability: Data extraction and risk-of-bias assessment are provided as supplementary files.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i w:val="1"/>
      <w:i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Times New Roman" w:cs="Times New Roman" w:eastAsia="Times New Roman" w:hAnsi="Times New Roman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