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099B" w14:textId="77777777" w:rsidR="00EB66BC" w:rsidRPr="00EB66BC" w:rsidRDefault="00EB66BC" w:rsidP="00EB66BC">
      <w:pPr>
        <w:spacing w:after="0" w:line="240" w:lineRule="auto"/>
        <w:rPr>
          <w:rFonts w:ascii="Calibri" w:eastAsia="Times New Roman" w:hAnsi="Calibri" w:cs="Calibri"/>
          <w:color w:val="000000"/>
          <w:sz w:val="32"/>
          <w:szCs w:val="32"/>
        </w:rPr>
      </w:pPr>
      <w:r w:rsidRPr="00EB66BC">
        <w:rPr>
          <w:rFonts w:ascii="Times New Roman" w:eastAsia="Times New Roman" w:hAnsi="Times New Roman" w:cs="Times New Roman"/>
          <w:b/>
          <w:bCs/>
          <w:color w:val="000000"/>
          <w:sz w:val="32"/>
          <w:szCs w:val="32"/>
        </w:rPr>
        <w:t>Exposure to Cigarette Smoke, Adequacy Level of Protein and Iodine as Risk Factors for </w:t>
      </w:r>
      <w:r w:rsidR="002235E5">
        <w:rPr>
          <w:rFonts w:ascii="Times New Roman" w:eastAsia="Times New Roman" w:hAnsi="Times New Roman" w:cs="Times New Roman"/>
          <w:b/>
          <w:bCs/>
          <w:i/>
          <w:iCs/>
          <w:color w:val="000000"/>
          <w:sz w:val="32"/>
          <w:szCs w:val="32"/>
        </w:rPr>
        <w:t>Stunting</w:t>
      </w:r>
      <w:r w:rsidR="002235E5" w:rsidRPr="00EB66BC">
        <w:rPr>
          <w:rFonts w:ascii="Times New Roman" w:eastAsia="Times New Roman" w:hAnsi="Times New Roman" w:cs="Times New Roman"/>
          <w:b/>
          <w:bCs/>
          <w:color w:val="000000"/>
          <w:sz w:val="32"/>
          <w:szCs w:val="32"/>
        </w:rPr>
        <w:t xml:space="preserve"> </w:t>
      </w:r>
      <w:r w:rsidRPr="00EB66BC">
        <w:rPr>
          <w:rFonts w:ascii="Times New Roman" w:eastAsia="Times New Roman" w:hAnsi="Times New Roman" w:cs="Times New Roman"/>
          <w:b/>
          <w:bCs/>
          <w:color w:val="000000"/>
          <w:sz w:val="32"/>
          <w:szCs w:val="32"/>
        </w:rPr>
        <w:t xml:space="preserve">in </w:t>
      </w:r>
      <w:proofErr w:type="gramStart"/>
      <w:r w:rsidR="002235E5">
        <w:rPr>
          <w:rFonts w:ascii="Times New Roman" w:eastAsia="Times New Roman" w:hAnsi="Times New Roman" w:cs="Times New Roman"/>
          <w:b/>
          <w:bCs/>
          <w:color w:val="000000"/>
          <w:sz w:val="32"/>
          <w:szCs w:val="32"/>
        </w:rPr>
        <w:t>2-4 Year Old</w:t>
      </w:r>
      <w:proofErr w:type="gramEnd"/>
      <w:r w:rsidR="002235E5">
        <w:rPr>
          <w:rFonts w:ascii="Times New Roman" w:eastAsia="Times New Roman" w:hAnsi="Times New Roman" w:cs="Times New Roman"/>
          <w:b/>
          <w:bCs/>
          <w:color w:val="000000"/>
          <w:sz w:val="32"/>
          <w:szCs w:val="32"/>
        </w:rPr>
        <w:t xml:space="preserve"> </w:t>
      </w:r>
      <w:r w:rsidR="00D4302E">
        <w:rPr>
          <w:rFonts w:ascii="Times New Roman" w:eastAsia="Times New Roman" w:hAnsi="Times New Roman" w:cs="Times New Roman"/>
          <w:b/>
          <w:bCs/>
          <w:color w:val="000000"/>
          <w:sz w:val="32"/>
          <w:szCs w:val="32"/>
          <w:lang w:val="id-ID"/>
        </w:rPr>
        <w:t>Toddlers</w:t>
      </w:r>
      <w:r w:rsidRPr="00EB66BC">
        <w:rPr>
          <w:rFonts w:ascii="Times New Roman" w:eastAsia="Times New Roman" w:hAnsi="Times New Roman" w:cs="Times New Roman"/>
          <w:b/>
          <w:bCs/>
          <w:color w:val="000000"/>
          <w:sz w:val="32"/>
          <w:szCs w:val="32"/>
        </w:rPr>
        <w:t xml:space="preserve"> </w:t>
      </w:r>
    </w:p>
    <w:p w14:paraId="2F8680F0" w14:textId="77777777" w:rsidR="00EB66BC" w:rsidRPr="00EB66BC" w:rsidRDefault="00EB66BC" w:rsidP="00EB66BC">
      <w:pPr>
        <w:shd w:val="clear" w:color="auto" w:fill="F8F9FA"/>
        <w:spacing w:after="0" w:line="240" w:lineRule="auto"/>
        <w:jc w:val="center"/>
        <w:rPr>
          <w:rFonts w:ascii="Calibri" w:eastAsia="Times New Roman" w:hAnsi="Calibri" w:cs="Calibri"/>
          <w:color w:val="000000"/>
          <w:sz w:val="24"/>
          <w:szCs w:val="24"/>
        </w:rPr>
      </w:pPr>
      <w:r w:rsidRPr="00EB66BC">
        <w:rPr>
          <w:rFonts w:ascii="Times New Roman" w:eastAsia="Times New Roman" w:hAnsi="Times New Roman" w:cs="Times New Roman"/>
          <w:b/>
          <w:bCs/>
          <w:color w:val="202124"/>
          <w:sz w:val="24"/>
          <w:szCs w:val="24"/>
        </w:rPr>
        <w:t> </w:t>
      </w:r>
    </w:p>
    <w:p w14:paraId="560D33F4" w14:textId="77777777" w:rsidR="00EB66BC" w:rsidRPr="00EB66BC" w:rsidRDefault="00EB66BC" w:rsidP="00EB66BC">
      <w:pPr>
        <w:shd w:val="clear" w:color="auto" w:fill="F8F9FA"/>
        <w:spacing w:after="0" w:line="300" w:lineRule="atLeast"/>
        <w:rPr>
          <w:rFonts w:ascii="Calibri" w:eastAsia="Times New Roman" w:hAnsi="Calibri" w:cs="Calibri"/>
          <w:color w:val="000000"/>
          <w:sz w:val="20"/>
          <w:szCs w:val="20"/>
        </w:rPr>
      </w:pPr>
      <w:r w:rsidRPr="00EB66BC">
        <w:rPr>
          <w:rFonts w:ascii="Times New Roman" w:eastAsia="Times New Roman" w:hAnsi="Times New Roman" w:cs="Times New Roman"/>
          <w:b/>
          <w:bCs/>
          <w:color w:val="202124"/>
          <w:sz w:val="20"/>
          <w:szCs w:val="20"/>
        </w:rPr>
        <w:t xml:space="preserve">Tysa </w:t>
      </w:r>
      <w:proofErr w:type="spellStart"/>
      <w:r w:rsidRPr="00EB66BC">
        <w:rPr>
          <w:rFonts w:ascii="Times New Roman" w:eastAsia="Times New Roman" w:hAnsi="Times New Roman" w:cs="Times New Roman"/>
          <w:b/>
          <w:bCs/>
          <w:color w:val="202124"/>
          <w:sz w:val="20"/>
          <w:szCs w:val="20"/>
        </w:rPr>
        <w:t>Runingsari</w:t>
      </w:r>
      <w:proofErr w:type="spellEnd"/>
      <w:r w:rsidRPr="00EB66BC">
        <w:rPr>
          <w:rFonts w:ascii="Times New Roman" w:eastAsia="Times New Roman" w:hAnsi="Times New Roman" w:cs="Times New Roman"/>
          <w:b/>
          <w:bCs/>
          <w:color w:val="202124"/>
          <w:sz w:val="20"/>
          <w:szCs w:val="20"/>
        </w:rPr>
        <w:t> </w:t>
      </w:r>
      <w:r w:rsidRPr="00EB66BC">
        <w:rPr>
          <w:rFonts w:ascii="Times New Roman" w:eastAsia="Times New Roman" w:hAnsi="Times New Roman" w:cs="Times New Roman"/>
          <w:b/>
          <w:bCs/>
          <w:color w:val="202124"/>
          <w:sz w:val="20"/>
          <w:szCs w:val="20"/>
          <w:vertAlign w:val="superscript"/>
        </w:rPr>
        <w:t>1 </w:t>
      </w:r>
      <w:proofErr w:type="gramStart"/>
      <w:r w:rsidRPr="00EB66BC">
        <w:rPr>
          <w:rFonts w:ascii="Times New Roman" w:eastAsia="Times New Roman" w:hAnsi="Times New Roman" w:cs="Times New Roman"/>
          <w:b/>
          <w:bCs/>
          <w:color w:val="000000"/>
          <w:sz w:val="20"/>
          <w:szCs w:val="20"/>
          <w:vertAlign w:val="superscript"/>
        </w:rPr>
        <w:t>* </w:t>
      </w:r>
      <w:r w:rsidRPr="00EB66BC">
        <w:rPr>
          <w:rFonts w:ascii="Times New Roman" w:eastAsia="Times New Roman" w:hAnsi="Times New Roman" w:cs="Times New Roman"/>
          <w:b/>
          <w:bCs/>
          <w:color w:val="202124"/>
          <w:sz w:val="20"/>
          <w:szCs w:val="20"/>
        </w:rPr>
        <w:t>,</w:t>
      </w:r>
      <w:proofErr w:type="gramEnd"/>
      <w:r w:rsidRPr="00EB66BC">
        <w:rPr>
          <w:rFonts w:ascii="Times New Roman" w:eastAsia="Times New Roman" w:hAnsi="Times New Roman" w:cs="Times New Roman"/>
          <w:b/>
          <w:bCs/>
          <w:color w:val="202124"/>
          <w:sz w:val="20"/>
          <w:szCs w:val="20"/>
        </w:rPr>
        <w:t xml:space="preserve"> Ani </w:t>
      </w:r>
      <w:proofErr w:type="spellStart"/>
      <w:r w:rsidRPr="00EB66BC">
        <w:rPr>
          <w:rFonts w:ascii="Times New Roman" w:eastAsia="Times New Roman" w:hAnsi="Times New Roman" w:cs="Times New Roman"/>
          <w:b/>
          <w:bCs/>
          <w:color w:val="202124"/>
          <w:sz w:val="20"/>
          <w:szCs w:val="20"/>
        </w:rPr>
        <w:t>Margawati</w:t>
      </w:r>
      <w:proofErr w:type="spellEnd"/>
      <w:r w:rsidRPr="00EB66BC">
        <w:rPr>
          <w:rFonts w:ascii="Times New Roman" w:eastAsia="Times New Roman" w:hAnsi="Times New Roman" w:cs="Times New Roman"/>
          <w:b/>
          <w:bCs/>
          <w:color w:val="202124"/>
          <w:sz w:val="20"/>
          <w:szCs w:val="20"/>
        </w:rPr>
        <w:t> </w:t>
      </w:r>
      <w:proofErr w:type="gramStart"/>
      <w:r w:rsidRPr="00EB66BC">
        <w:rPr>
          <w:rFonts w:ascii="Times New Roman" w:eastAsia="Times New Roman" w:hAnsi="Times New Roman" w:cs="Times New Roman"/>
          <w:b/>
          <w:bCs/>
          <w:color w:val="202124"/>
          <w:sz w:val="20"/>
          <w:szCs w:val="20"/>
          <w:vertAlign w:val="superscript"/>
        </w:rPr>
        <w:t>1 </w:t>
      </w:r>
      <w:r w:rsidRPr="00EB66BC">
        <w:rPr>
          <w:rFonts w:ascii="Times New Roman" w:eastAsia="Times New Roman" w:hAnsi="Times New Roman" w:cs="Times New Roman"/>
          <w:b/>
          <w:bCs/>
          <w:color w:val="202124"/>
          <w:sz w:val="20"/>
          <w:szCs w:val="20"/>
        </w:rPr>
        <w:t>,</w:t>
      </w:r>
      <w:proofErr w:type="gramEnd"/>
      <w:r w:rsidRPr="00EB66BC">
        <w:rPr>
          <w:rFonts w:ascii="Times New Roman" w:eastAsia="Times New Roman" w:hAnsi="Times New Roman" w:cs="Times New Roman"/>
          <w:b/>
          <w:bCs/>
          <w:color w:val="202124"/>
          <w:sz w:val="20"/>
          <w:szCs w:val="20"/>
        </w:rPr>
        <w:t xml:space="preserve"> </w:t>
      </w:r>
      <w:proofErr w:type="spellStart"/>
      <w:r w:rsidRPr="00EB66BC">
        <w:rPr>
          <w:rFonts w:ascii="Times New Roman" w:eastAsia="Times New Roman" w:hAnsi="Times New Roman" w:cs="Times New Roman"/>
          <w:b/>
          <w:bCs/>
          <w:color w:val="202124"/>
          <w:sz w:val="20"/>
          <w:szCs w:val="20"/>
        </w:rPr>
        <w:t>Suhartono</w:t>
      </w:r>
      <w:proofErr w:type="spellEnd"/>
      <w:r w:rsidRPr="00EB66BC">
        <w:rPr>
          <w:rFonts w:ascii="Times New Roman" w:eastAsia="Times New Roman" w:hAnsi="Times New Roman" w:cs="Times New Roman"/>
          <w:b/>
          <w:bCs/>
          <w:color w:val="202124"/>
          <w:sz w:val="20"/>
          <w:szCs w:val="20"/>
        </w:rPr>
        <w:t> </w:t>
      </w:r>
      <w:proofErr w:type="gramStart"/>
      <w:r w:rsidRPr="00EB66BC">
        <w:rPr>
          <w:rFonts w:ascii="Times New Roman" w:eastAsia="Times New Roman" w:hAnsi="Times New Roman" w:cs="Times New Roman"/>
          <w:b/>
          <w:bCs/>
          <w:color w:val="202124"/>
          <w:sz w:val="20"/>
          <w:szCs w:val="20"/>
          <w:vertAlign w:val="superscript"/>
        </w:rPr>
        <w:t>2 </w:t>
      </w:r>
      <w:r w:rsidRPr="00EB66BC">
        <w:rPr>
          <w:rFonts w:ascii="Times New Roman" w:eastAsia="Times New Roman" w:hAnsi="Times New Roman" w:cs="Times New Roman"/>
          <w:b/>
          <w:bCs/>
          <w:color w:val="202124"/>
          <w:sz w:val="20"/>
          <w:szCs w:val="20"/>
        </w:rPr>
        <w:t>,</w:t>
      </w:r>
      <w:proofErr w:type="gramEnd"/>
      <w:r w:rsidRPr="00EB66BC">
        <w:rPr>
          <w:rFonts w:ascii="Times New Roman" w:eastAsia="Times New Roman" w:hAnsi="Times New Roman" w:cs="Times New Roman"/>
          <w:b/>
          <w:bCs/>
          <w:color w:val="202124"/>
          <w:sz w:val="20"/>
          <w:szCs w:val="20"/>
        </w:rPr>
        <w:t> </w:t>
      </w:r>
      <w:r w:rsidRPr="00EB66BC">
        <w:rPr>
          <w:rFonts w:ascii="Times New Roman" w:eastAsia="Times New Roman" w:hAnsi="Times New Roman" w:cs="Times New Roman"/>
          <w:b/>
          <w:bCs/>
          <w:color w:val="000000"/>
          <w:sz w:val="20"/>
          <w:szCs w:val="20"/>
        </w:rPr>
        <w:t>Mohammad Zen Rahfiludin </w:t>
      </w:r>
      <w:proofErr w:type="gramStart"/>
      <w:r w:rsidRPr="00EB66BC">
        <w:rPr>
          <w:rFonts w:ascii="Times New Roman" w:eastAsia="Times New Roman" w:hAnsi="Times New Roman" w:cs="Times New Roman"/>
          <w:b/>
          <w:bCs/>
          <w:color w:val="000000"/>
          <w:sz w:val="20"/>
          <w:szCs w:val="20"/>
          <w:vertAlign w:val="superscript"/>
        </w:rPr>
        <w:t>2 </w:t>
      </w:r>
      <w:r w:rsidRPr="00EB66BC">
        <w:rPr>
          <w:rFonts w:ascii="Times New Roman" w:eastAsia="Times New Roman" w:hAnsi="Times New Roman" w:cs="Times New Roman"/>
          <w:b/>
          <w:bCs/>
          <w:color w:val="000000"/>
          <w:sz w:val="20"/>
          <w:szCs w:val="20"/>
        </w:rPr>
        <w:t>,</w:t>
      </w:r>
      <w:proofErr w:type="gramEnd"/>
      <w:r w:rsidRPr="00EB66BC">
        <w:rPr>
          <w:rFonts w:ascii="Times New Roman" w:eastAsia="Times New Roman" w:hAnsi="Times New Roman" w:cs="Times New Roman"/>
          <w:b/>
          <w:bCs/>
          <w:color w:val="000000"/>
          <w:sz w:val="20"/>
          <w:szCs w:val="20"/>
        </w:rPr>
        <w:t> </w:t>
      </w:r>
      <w:r w:rsidRPr="00EB66BC">
        <w:rPr>
          <w:rFonts w:ascii="Times New Roman" w:eastAsia="Times New Roman" w:hAnsi="Times New Roman" w:cs="Times New Roman"/>
          <w:b/>
          <w:bCs/>
          <w:color w:val="202124"/>
          <w:sz w:val="20"/>
          <w:szCs w:val="20"/>
        </w:rPr>
        <w:t xml:space="preserve">Ali </w:t>
      </w:r>
      <w:proofErr w:type="spellStart"/>
      <w:r w:rsidRPr="00EB66BC">
        <w:rPr>
          <w:rFonts w:ascii="Times New Roman" w:eastAsia="Times New Roman" w:hAnsi="Times New Roman" w:cs="Times New Roman"/>
          <w:b/>
          <w:bCs/>
          <w:color w:val="202124"/>
          <w:sz w:val="20"/>
          <w:szCs w:val="20"/>
        </w:rPr>
        <w:t>Rosidi</w:t>
      </w:r>
      <w:proofErr w:type="spellEnd"/>
      <w:r w:rsidRPr="00EB66BC">
        <w:rPr>
          <w:rFonts w:ascii="Times New Roman" w:eastAsia="Times New Roman" w:hAnsi="Times New Roman" w:cs="Times New Roman"/>
          <w:b/>
          <w:bCs/>
          <w:color w:val="202124"/>
          <w:sz w:val="20"/>
          <w:szCs w:val="20"/>
        </w:rPr>
        <w:t> </w:t>
      </w:r>
      <w:r w:rsidRPr="00EB66BC">
        <w:rPr>
          <w:rFonts w:ascii="Times New Roman" w:eastAsia="Times New Roman" w:hAnsi="Times New Roman" w:cs="Times New Roman"/>
          <w:b/>
          <w:bCs/>
          <w:color w:val="202124"/>
          <w:sz w:val="20"/>
          <w:szCs w:val="20"/>
          <w:vertAlign w:val="superscript"/>
        </w:rPr>
        <w:t>3</w:t>
      </w:r>
    </w:p>
    <w:p w14:paraId="538EFD64" w14:textId="77777777" w:rsidR="00A80BE2" w:rsidRPr="003949C1" w:rsidRDefault="00A80BE2" w:rsidP="00A80BE2">
      <w:pPr>
        <w:spacing w:after="0" w:line="240" w:lineRule="auto"/>
        <w:rPr>
          <w:rFonts w:ascii="Times New Roman" w:hAnsi="Times New Roman" w:cs="Times New Roman"/>
          <w:sz w:val="20"/>
          <w:szCs w:val="20"/>
        </w:rPr>
      </w:pPr>
      <w:r w:rsidRPr="003949C1">
        <w:rPr>
          <w:rFonts w:ascii="Times New Roman" w:hAnsi="Times New Roman" w:cs="Times New Roman"/>
          <w:b/>
          <w:sz w:val="20"/>
          <w:szCs w:val="20"/>
          <w:vertAlign w:val="superscript"/>
        </w:rPr>
        <w:t>1</w:t>
      </w:r>
      <w:r w:rsidRPr="003949C1">
        <w:rPr>
          <w:rFonts w:ascii="Times New Roman" w:hAnsi="Times New Roman" w:cs="Times New Roman"/>
          <w:sz w:val="20"/>
          <w:szCs w:val="20"/>
          <w:vertAlign w:val="superscript"/>
        </w:rPr>
        <w:t xml:space="preserve"> </w:t>
      </w:r>
      <w:proofErr w:type="spellStart"/>
      <w:r w:rsidRPr="003949C1">
        <w:rPr>
          <w:rFonts w:ascii="Times New Roman" w:hAnsi="Times New Roman" w:cs="Times New Roman"/>
          <w:sz w:val="20"/>
          <w:szCs w:val="20"/>
        </w:rPr>
        <w:t>Departemen</w:t>
      </w:r>
      <w:proofErr w:type="spellEnd"/>
      <w:r w:rsidRPr="003949C1">
        <w:rPr>
          <w:rFonts w:ascii="Times New Roman" w:hAnsi="Times New Roman" w:cs="Times New Roman"/>
          <w:sz w:val="20"/>
          <w:szCs w:val="20"/>
        </w:rPr>
        <w:t xml:space="preserve"> </w:t>
      </w:r>
      <w:proofErr w:type="spellStart"/>
      <w:r w:rsidRPr="003949C1">
        <w:rPr>
          <w:rFonts w:ascii="Times New Roman" w:hAnsi="Times New Roman" w:cs="Times New Roman"/>
          <w:sz w:val="20"/>
          <w:szCs w:val="20"/>
        </w:rPr>
        <w:t>Ilmu</w:t>
      </w:r>
      <w:proofErr w:type="spellEnd"/>
      <w:r w:rsidRPr="003949C1">
        <w:rPr>
          <w:rFonts w:ascii="Times New Roman" w:hAnsi="Times New Roman" w:cs="Times New Roman"/>
          <w:sz w:val="20"/>
          <w:szCs w:val="20"/>
        </w:rPr>
        <w:t xml:space="preserve"> Gizi, </w:t>
      </w:r>
      <w:proofErr w:type="spellStart"/>
      <w:r w:rsidRPr="003949C1">
        <w:rPr>
          <w:rFonts w:ascii="Times New Roman" w:hAnsi="Times New Roman" w:cs="Times New Roman"/>
          <w:sz w:val="20"/>
          <w:szCs w:val="20"/>
        </w:rPr>
        <w:t>Fakultas</w:t>
      </w:r>
      <w:proofErr w:type="spellEnd"/>
      <w:r w:rsidRPr="003949C1">
        <w:rPr>
          <w:rFonts w:ascii="Times New Roman" w:hAnsi="Times New Roman" w:cs="Times New Roman"/>
          <w:sz w:val="20"/>
          <w:szCs w:val="20"/>
        </w:rPr>
        <w:t xml:space="preserve"> </w:t>
      </w:r>
      <w:proofErr w:type="spellStart"/>
      <w:r w:rsidRPr="003949C1">
        <w:rPr>
          <w:rFonts w:ascii="Times New Roman" w:hAnsi="Times New Roman" w:cs="Times New Roman"/>
          <w:sz w:val="20"/>
          <w:szCs w:val="20"/>
        </w:rPr>
        <w:t>Kedokteran</w:t>
      </w:r>
      <w:proofErr w:type="spellEnd"/>
      <w:r w:rsidRPr="003949C1">
        <w:rPr>
          <w:rFonts w:ascii="Times New Roman" w:hAnsi="Times New Roman" w:cs="Times New Roman"/>
          <w:sz w:val="20"/>
          <w:szCs w:val="20"/>
        </w:rPr>
        <w:t xml:space="preserve">, Universitas </w:t>
      </w:r>
      <w:proofErr w:type="spellStart"/>
      <w:r w:rsidRPr="003949C1">
        <w:rPr>
          <w:rFonts w:ascii="Times New Roman" w:hAnsi="Times New Roman" w:cs="Times New Roman"/>
          <w:sz w:val="20"/>
          <w:szCs w:val="20"/>
        </w:rPr>
        <w:t>Diponegoro</w:t>
      </w:r>
      <w:proofErr w:type="spellEnd"/>
    </w:p>
    <w:p w14:paraId="2F9BD8CB" w14:textId="77777777" w:rsidR="00A80BE2" w:rsidRPr="003949C1" w:rsidRDefault="00A80BE2" w:rsidP="00A80BE2">
      <w:pPr>
        <w:spacing w:after="0" w:line="240" w:lineRule="auto"/>
        <w:rPr>
          <w:rFonts w:ascii="Times New Roman" w:hAnsi="Times New Roman" w:cs="Times New Roman"/>
          <w:sz w:val="20"/>
          <w:szCs w:val="20"/>
        </w:rPr>
      </w:pPr>
      <w:r w:rsidRPr="003949C1">
        <w:rPr>
          <w:rFonts w:ascii="Times New Roman" w:hAnsi="Times New Roman" w:cs="Times New Roman"/>
          <w:sz w:val="20"/>
          <w:szCs w:val="20"/>
        </w:rPr>
        <w:t xml:space="preserve">Jl. Prof. </w:t>
      </w:r>
      <w:proofErr w:type="spellStart"/>
      <w:r w:rsidRPr="003949C1">
        <w:rPr>
          <w:rFonts w:ascii="Times New Roman" w:hAnsi="Times New Roman" w:cs="Times New Roman"/>
          <w:sz w:val="20"/>
          <w:szCs w:val="20"/>
        </w:rPr>
        <w:t>Sudarto</w:t>
      </w:r>
      <w:proofErr w:type="spellEnd"/>
      <w:r w:rsidRPr="003949C1">
        <w:rPr>
          <w:rFonts w:ascii="Times New Roman" w:hAnsi="Times New Roman" w:cs="Times New Roman"/>
          <w:sz w:val="20"/>
          <w:szCs w:val="20"/>
        </w:rPr>
        <w:t xml:space="preserve"> SH, </w:t>
      </w:r>
      <w:proofErr w:type="spellStart"/>
      <w:r w:rsidRPr="003949C1">
        <w:rPr>
          <w:rFonts w:ascii="Times New Roman" w:hAnsi="Times New Roman" w:cs="Times New Roman"/>
          <w:sz w:val="20"/>
          <w:szCs w:val="20"/>
        </w:rPr>
        <w:t>Tembalang</w:t>
      </w:r>
      <w:proofErr w:type="spellEnd"/>
      <w:r w:rsidRPr="003949C1">
        <w:rPr>
          <w:rFonts w:ascii="Times New Roman" w:hAnsi="Times New Roman" w:cs="Times New Roman"/>
          <w:sz w:val="20"/>
          <w:szCs w:val="20"/>
        </w:rPr>
        <w:t>, Semarang, Jawa Tengah 50275, Indonesia</w:t>
      </w:r>
    </w:p>
    <w:p w14:paraId="08D8BA11" w14:textId="77777777" w:rsidR="00A80BE2" w:rsidRPr="004474DD" w:rsidRDefault="00A80BE2" w:rsidP="00A80BE2">
      <w:pPr>
        <w:spacing w:after="0" w:line="360" w:lineRule="auto"/>
        <w:rPr>
          <w:rFonts w:ascii="Times New Roman" w:hAnsi="Times New Roman" w:cs="Times New Roman"/>
          <w:sz w:val="20"/>
          <w:szCs w:val="20"/>
        </w:rPr>
      </w:pPr>
      <w:r w:rsidRPr="004474DD">
        <w:rPr>
          <w:rFonts w:ascii="Times New Roman" w:hAnsi="Times New Roman" w:cs="Times New Roman"/>
          <w:b/>
          <w:bCs/>
          <w:sz w:val="20"/>
          <w:szCs w:val="20"/>
          <w:vertAlign w:val="superscript"/>
          <w:lang w:val="id-ID"/>
        </w:rPr>
        <w:t>*</w:t>
      </w:r>
      <w:proofErr w:type="spellStart"/>
      <w:r w:rsidRPr="004474DD">
        <w:rPr>
          <w:rFonts w:ascii="Times New Roman" w:hAnsi="Times New Roman" w:cs="Times New Roman"/>
          <w:b/>
          <w:bCs/>
          <w:sz w:val="20"/>
          <w:szCs w:val="20"/>
        </w:rPr>
        <w:t>Korespondensi</w:t>
      </w:r>
      <w:proofErr w:type="spellEnd"/>
      <w:r w:rsidRPr="004474DD">
        <w:rPr>
          <w:rFonts w:ascii="Times New Roman" w:hAnsi="Times New Roman" w:cs="Times New Roman"/>
          <w:sz w:val="20"/>
          <w:szCs w:val="20"/>
        </w:rPr>
        <w:t xml:space="preserve"> : E-mail: tysaruningsari06@gmail.com, Telp/HP. 082322506465</w:t>
      </w:r>
    </w:p>
    <w:p w14:paraId="7D66DB3D" w14:textId="77777777" w:rsidR="00A80BE2" w:rsidRPr="003949C1" w:rsidRDefault="00A80BE2" w:rsidP="00A80BE2">
      <w:pPr>
        <w:spacing w:after="0" w:line="240" w:lineRule="auto"/>
        <w:rPr>
          <w:rFonts w:ascii="Times New Roman" w:hAnsi="Times New Roman" w:cs="Times New Roman"/>
          <w:sz w:val="20"/>
          <w:szCs w:val="20"/>
        </w:rPr>
      </w:pPr>
      <w:r w:rsidRPr="009438BB">
        <w:rPr>
          <w:rFonts w:ascii="Times New Roman" w:hAnsi="Times New Roman" w:cs="Times New Roman"/>
          <w:sz w:val="20"/>
          <w:szCs w:val="20"/>
          <w:vertAlign w:val="superscript"/>
        </w:rPr>
        <w:t>2</w:t>
      </w:r>
      <w:r w:rsidRPr="003949C1">
        <w:rPr>
          <w:rFonts w:ascii="Times New Roman" w:hAnsi="Times New Roman" w:cs="Times New Roman"/>
          <w:sz w:val="20"/>
          <w:szCs w:val="20"/>
        </w:rPr>
        <w:t xml:space="preserve">Departemen </w:t>
      </w:r>
      <w:proofErr w:type="spellStart"/>
      <w:r w:rsidRPr="003949C1">
        <w:rPr>
          <w:rFonts w:ascii="Times New Roman" w:hAnsi="Times New Roman" w:cs="Times New Roman"/>
          <w:sz w:val="20"/>
          <w:szCs w:val="20"/>
        </w:rPr>
        <w:t>Keseharan</w:t>
      </w:r>
      <w:proofErr w:type="spellEnd"/>
      <w:r w:rsidRPr="003949C1">
        <w:rPr>
          <w:rFonts w:ascii="Times New Roman" w:hAnsi="Times New Roman" w:cs="Times New Roman"/>
          <w:sz w:val="20"/>
          <w:szCs w:val="20"/>
        </w:rPr>
        <w:t xml:space="preserve"> Masyarakat, </w:t>
      </w:r>
      <w:proofErr w:type="spellStart"/>
      <w:r w:rsidRPr="003949C1">
        <w:rPr>
          <w:rFonts w:ascii="Times New Roman" w:hAnsi="Times New Roman" w:cs="Times New Roman"/>
          <w:sz w:val="20"/>
          <w:szCs w:val="20"/>
        </w:rPr>
        <w:t>Fakultas</w:t>
      </w:r>
      <w:proofErr w:type="spellEnd"/>
      <w:r w:rsidRPr="003949C1">
        <w:rPr>
          <w:rFonts w:ascii="Times New Roman" w:hAnsi="Times New Roman" w:cs="Times New Roman"/>
          <w:sz w:val="20"/>
          <w:szCs w:val="20"/>
        </w:rPr>
        <w:t xml:space="preserve"> Kesehatan Masyarakat, Universitas </w:t>
      </w:r>
      <w:proofErr w:type="spellStart"/>
      <w:r w:rsidRPr="003949C1">
        <w:rPr>
          <w:rFonts w:ascii="Times New Roman" w:hAnsi="Times New Roman" w:cs="Times New Roman"/>
          <w:sz w:val="20"/>
          <w:szCs w:val="20"/>
        </w:rPr>
        <w:t>Diponegoro</w:t>
      </w:r>
      <w:proofErr w:type="spellEnd"/>
    </w:p>
    <w:p w14:paraId="6DF5B4C9" w14:textId="77777777" w:rsidR="00A80BE2" w:rsidRDefault="00A80BE2" w:rsidP="00A80BE2">
      <w:pPr>
        <w:spacing w:after="0" w:line="240" w:lineRule="auto"/>
        <w:rPr>
          <w:rFonts w:ascii="Times New Roman" w:hAnsi="Times New Roman" w:cs="Times New Roman"/>
          <w:sz w:val="20"/>
          <w:szCs w:val="20"/>
        </w:rPr>
      </w:pPr>
      <w:r w:rsidRPr="003949C1">
        <w:rPr>
          <w:rFonts w:ascii="Times New Roman" w:hAnsi="Times New Roman" w:cs="Times New Roman"/>
          <w:sz w:val="20"/>
          <w:szCs w:val="20"/>
        </w:rPr>
        <w:t xml:space="preserve">Jl. Prof. </w:t>
      </w:r>
      <w:proofErr w:type="spellStart"/>
      <w:r w:rsidRPr="003949C1">
        <w:rPr>
          <w:rFonts w:ascii="Times New Roman" w:hAnsi="Times New Roman" w:cs="Times New Roman"/>
          <w:sz w:val="20"/>
          <w:szCs w:val="20"/>
        </w:rPr>
        <w:t>Sudarto</w:t>
      </w:r>
      <w:proofErr w:type="spellEnd"/>
      <w:r w:rsidRPr="003949C1">
        <w:rPr>
          <w:rFonts w:ascii="Times New Roman" w:hAnsi="Times New Roman" w:cs="Times New Roman"/>
          <w:sz w:val="20"/>
          <w:szCs w:val="20"/>
        </w:rPr>
        <w:t xml:space="preserve"> SH, </w:t>
      </w:r>
      <w:proofErr w:type="spellStart"/>
      <w:r w:rsidRPr="003949C1">
        <w:rPr>
          <w:rFonts w:ascii="Times New Roman" w:hAnsi="Times New Roman" w:cs="Times New Roman"/>
          <w:sz w:val="20"/>
          <w:szCs w:val="20"/>
        </w:rPr>
        <w:t>Tembalang</w:t>
      </w:r>
      <w:proofErr w:type="spellEnd"/>
      <w:r w:rsidRPr="003949C1">
        <w:rPr>
          <w:rFonts w:ascii="Times New Roman" w:hAnsi="Times New Roman" w:cs="Times New Roman"/>
          <w:sz w:val="20"/>
          <w:szCs w:val="20"/>
        </w:rPr>
        <w:t>, Semarang, Jawa Tengah 50275, Indonesia</w:t>
      </w:r>
    </w:p>
    <w:p w14:paraId="06256627" w14:textId="77777777" w:rsidR="00A80BE2" w:rsidRPr="003949C1" w:rsidRDefault="00A80BE2" w:rsidP="00A80BE2">
      <w:pPr>
        <w:spacing w:after="0" w:line="240" w:lineRule="auto"/>
        <w:rPr>
          <w:rFonts w:ascii="Times New Roman" w:hAnsi="Times New Roman" w:cs="Times New Roman"/>
          <w:sz w:val="20"/>
          <w:szCs w:val="20"/>
        </w:rPr>
      </w:pPr>
    </w:p>
    <w:p w14:paraId="63CCA5A1" w14:textId="77777777" w:rsidR="00A80BE2" w:rsidRPr="00BD4DAF" w:rsidRDefault="00A80BE2" w:rsidP="00A80BE2">
      <w:pPr>
        <w:spacing w:after="0" w:line="240" w:lineRule="auto"/>
        <w:rPr>
          <w:rFonts w:ascii="Times New Roman" w:hAnsi="Times New Roman" w:cs="Times New Roman"/>
          <w:color w:val="202124"/>
          <w:sz w:val="20"/>
          <w:szCs w:val="20"/>
          <w:shd w:val="clear" w:color="auto" w:fill="FFFFFF"/>
        </w:rPr>
      </w:pPr>
      <w:r w:rsidRPr="00BD4DAF">
        <w:rPr>
          <w:rFonts w:ascii="Times New Roman" w:hAnsi="Times New Roman" w:cs="Times New Roman"/>
          <w:sz w:val="20"/>
          <w:szCs w:val="20"/>
          <w:vertAlign w:val="superscript"/>
        </w:rPr>
        <w:t>3</w:t>
      </w:r>
      <w:r w:rsidRPr="00BD4DAF">
        <w:rPr>
          <w:rFonts w:ascii="Times New Roman" w:hAnsi="Times New Roman" w:cs="Times New Roman"/>
          <w:sz w:val="20"/>
          <w:szCs w:val="20"/>
        </w:rPr>
        <w:t xml:space="preserve">Fakultas </w:t>
      </w:r>
      <w:proofErr w:type="spellStart"/>
      <w:r w:rsidRPr="00BD4DAF">
        <w:rPr>
          <w:rFonts w:ascii="Times New Roman" w:hAnsi="Times New Roman" w:cs="Times New Roman"/>
          <w:sz w:val="20"/>
          <w:szCs w:val="20"/>
        </w:rPr>
        <w:t>Ilmu</w:t>
      </w:r>
      <w:proofErr w:type="spellEnd"/>
      <w:r w:rsidRPr="00BD4DAF">
        <w:rPr>
          <w:rFonts w:ascii="Times New Roman" w:hAnsi="Times New Roman" w:cs="Times New Roman"/>
          <w:sz w:val="20"/>
          <w:szCs w:val="20"/>
        </w:rPr>
        <w:t xml:space="preserve"> </w:t>
      </w:r>
      <w:proofErr w:type="spellStart"/>
      <w:r w:rsidRPr="00BD4DAF">
        <w:rPr>
          <w:rFonts w:ascii="Times New Roman" w:hAnsi="Times New Roman" w:cs="Times New Roman"/>
          <w:sz w:val="20"/>
          <w:szCs w:val="20"/>
        </w:rPr>
        <w:t>Keperawatan</w:t>
      </w:r>
      <w:proofErr w:type="spellEnd"/>
      <w:r w:rsidRPr="00BD4DAF">
        <w:rPr>
          <w:rFonts w:ascii="Times New Roman" w:hAnsi="Times New Roman" w:cs="Times New Roman"/>
          <w:sz w:val="20"/>
          <w:szCs w:val="20"/>
        </w:rPr>
        <w:t xml:space="preserve"> dan Kesehatan</w:t>
      </w:r>
    </w:p>
    <w:p w14:paraId="3CFB0BEC" w14:textId="77777777" w:rsidR="00A80BE2" w:rsidRDefault="00A80BE2" w:rsidP="00A80BE2">
      <w:pPr>
        <w:spacing w:after="0" w:line="240" w:lineRule="auto"/>
        <w:rPr>
          <w:rFonts w:ascii="Times New Roman" w:hAnsi="Times New Roman" w:cs="Times New Roman"/>
          <w:color w:val="202124"/>
          <w:sz w:val="20"/>
          <w:szCs w:val="20"/>
          <w:shd w:val="clear" w:color="auto" w:fill="FFFFFF"/>
        </w:rPr>
      </w:pPr>
      <w:r w:rsidRPr="00BD4DAF">
        <w:rPr>
          <w:rFonts w:ascii="Times New Roman" w:hAnsi="Times New Roman" w:cs="Times New Roman"/>
          <w:color w:val="202124"/>
          <w:sz w:val="20"/>
          <w:szCs w:val="20"/>
          <w:shd w:val="clear" w:color="auto" w:fill="FFFFFF"/>
        </w:rPr>
        <w:t xml:space="preserve">Jl. </w:t>
      </w:r>
      <w:proofErr w:type="spellStart"/>
      <w:r w:rsidRPr="00BD4DAF">
        <w:rPr>
          <w:rFonts w:ascii="Times New Roman" w:hAnsi="Times New Roman" w:cs="Times New Roman"/>
          <w:color w:val="202124"/>
          <w:sz w:val="20"/>
          <w:szCs w:val="20"/>
          <w:shd w:val="clear" w:color="auto" w:fill="FFFFFF"/>
        </w:rPr>
        <w:t>Kedungmundu</w:t>
      </w:r>
      <w:proofErr w:type="spellEnd"/>
      <w:r w:rsidRPr="00BD4DAF">
        <w:rPr>
          <w:rFonts w:ascii="Times New Roman" w:hAnsi="Times New Roman" w:cs="Times New Roman"/>
          <w:color w:val="202124"/>
          <w:sz w:val="20"/>
          <w:szCs w:val="20"/>
          <w:shd w:val="clear" w:color="auto" w:fill="FFFFFF"/>
        </w:rPr>
        <w:t xml:space="preserve"> No.18, </w:t>
      </w:r>
      <w:proofErr w:type="spellStart"/>
      <w:r w:rsidRPr="00BD4DAF">
        <w:rPr>
          <w:rFonts w:ascii="Times New Roman" w:hAnsi="Times New Roman" w:cs="Times New Roman"/>
          <w:color w:val="202124"/>
          <w:sz w:val="20"/>
          <w:szCs w:val="20"/>
          <w:shd w:val="clear" w:color="auto" w:fill="FFFFFF"/>
        </w:rPr>
        <w:t>Kedungmundu</w:t>
      </w:r>
      <w:proofErr w:type="spellEnd"/>
      <w:r w:rsidRPr="00BD4DAF">
        <w:rPr>
          <w:rFonts w:ascii="Times New Roman" w:hAnsi="Times New Roman" w:cs="Times New Roman"/>
          <w:color w:val="202124"/>
          <w:sz w:val="20"/>
          <w:szCs w:val="20"/>
          <w:shd w:val="clear" w:color="auto" w:fill="FFFFFF"/>
        </w:rPr>
        <w:t xml:space="preserve">, </w:t>
      </w:r>
      <w:proofErr w:type="spellStart"/>
      <w:r w:rsidRPr="00BD4DAF">
        <w:rPr>
          <w:rFonts w:ascii="Times New Roman" w:hAnsi="Times New Roman" w:cs="Times New Roman"/>
          <w:color w:val="202124"/>
          <w:sz w:val="20"/>
          <w:szCs w:val="20"/>
          <w:shd w:val="clear" w:color="auto" w:fill="FFFFFF"/>
        </w:rPr>
        <w:t>Kec</w:t>
      </w:r>
      <w:proofErr w:type="spellEnd"/>
      <w:r w:rsidRPr="00BD4DAF">
        <w:rPr>
          <w:rFonts w:ascii="Times New Roman" w:hAnsi="Times New Roman" w:cs="Times New Roman"/>
          <w:color w:val="202124"/>
          <w:sz w:val="20"/>
          <w:szCs w:val="20"/>
          <w:shd w:val="clear" w:color="auto" w:fill="FFFFFF"/>
        </w:rPr>
        <w:t xml:space="preserve">. </w:t>
      </w:r>
      <w:proofErr w:type="spellStart"/>
      <w:r w:rsidRPr="00BD4DAF">
        <w:rPr>
          <w:rFonts w:ascii="Times New Roman" w:hAnsi="Times New Roman" w:cs="Times New Roman"/>
          <w:color w:val="202124"/>
          <w:sz w:val="20"/>
          <w:szCs w:val="20"/>
          <w:shd w:val="clear" w:color="auto" w:fill="FFFFFF"/>
        </w:rPr>
        <w:t>Tembalang</w:t>
      </w:r>
      <w:proofErr w:type="spellEnd"/>
      <w:r w:rsidRPr="00BD4DAF">
        <w:rPr>
          <w:rFonts w:ascii="Times New Roman" w:hAnsi="Times New Roman" w:cs="Times New Roman"/>
          <w:color w:val="202124"/>
          <w:sz w:val="20"/>
          <w:szCs w:val="20"/>
          <w:shd w:val="clear" w:color="auto" w:fill="FFFFFF"/>
        </w:rPr>
        <w:t>, Kota Semarang, Jawa Tengah 50273, Indonesia</w:t>
      </w:r>
    </w:p>
    <w:p w14:paraId="06052EEF" w14:textId="77777777" w:rsidR="00EB66BC" w:rsidRPr="00EB66BC" w:rsidRDefault="00EB66BC" w:rsidP="00EB66BC">
      <w:pPr>
        <w:spacing w:after="0" w:line="240" w:lineRule="auto"/>
        <w:rPr>
          <w:rFonts w:ascii="Calibri" w:eastAsia="Times New Roman" w:hAnsi="Calibri" w:cs="Calibri"/>
          <w:color w:val="000000"/>
          <w:sz w:val="20"/>
          <w:szCs w:val="20"/>
        </w:rPr>
      </w:pPr>
      <w:r w:rsidRPr="00EB66BC">
        <w:rPr>
          <w:rFonts w:ascii="Times New Roman" w:eastAsia="Times New Roman" w:hAnsi="Times New Roman" w:cs="Times New Roman"/>
          <w:color w:val="000000"/>
          <w:sz w:val="20"/>
          <w:szCs w:val="20"/>
        </w:rPr>
        <w:t> </w:t>
      </w:r>
    </w:p>
    <w:p w14:paraId="0FE64445" w14:textId="77777777" w:rsidR="00EB66BC" w:rsidRPr="003D7127" w:rsidRDefault="00EB66BC" w:rsidP="00EB66BC">
      <w:pPr>
        <w:spacing w:after="0" w:line="240" w:lineRule="auto"/>
        <w:rPr>
          <w:rFonts w:ascii="Calibri" w:eastAsia="Times New Roman" w:hAnsi="Calibri" w:cs="Calibri"/>
          <w:i/>
          <w:color w:val="000000"/>
        </w:rPr>
      </w:pPr>
      <w:r w:rsidRPr="003D7127">
        <w:rPr>
          <w:rFonts w:ascii="Times New Roman" w:eastAsia="Times New Roman" w:hAnsi="Times New Roman" w:cs="Times New Roman"/>
          <w:b/>
          <w:bCs/>
          <w:i/>
          <w:iCs/>
          <w:color w:val="000000"/>
        </w:rPr>
        <w:t>ABSTRACT</w:t>
      </w:r>
    </w:p>
    <w:p w14:paraId="0FD5BC73" w14:textId="77777777" w:rsidR="00EB66BC" w:rsidRPr="003D7127" w:rsidRDefault="00EB66BC" w:rsidP="00EB66BC">
      <w:pPr>
        <w:spacing w:after="0" w:line="240" w:lineRule="auto"/>
        <w:jc w:val="center"/>
        <w:rPr>
          <w:rFonts w:ascii="Calibri" w:eastAsia="Times New Roman" w:hAnsi="Calibri" w:cs="Calibri"/>
          <w:i/>
          <w:color w:val="000000"/>
        </w:rPr>
      </w:pPr>
      <w:r w:rsidRPr="003D7127">
        <w:rPr>
          <w:rFonts w:ascii="Times New Roman" w:eastAsia="Times New Roman" w:hAnsi="Times New Roman" w:cs="Times New Roman"/>
          <w:i/>
          <w:color w:val="000000"/>
        </w:rPr>
        <w:t> </w:t>
      </w:r>
    </w:p>
    <w:p w14:paraId="15AB2FCB" w14:textId="441162CE" w:rsidR="00EB66BC" w:rsidRPr="003D7127" w:rsidRDefault="00EB66BC" w:rsidP="00EB66BC">
      <w:pPr>
        <w:shd w:val="clear" w:color="auto" w:fill="F8F9FA"/>
        <w:spacing w:after="0" w:line="240" w:lineRule="auto"/>
        <w:jc w:val="both"/>
        <w:rPr>
          <w:rFonts w:ascii="Calibri" w:eastAsia="Times New Roman" w:hAnsi="Calibri" w:cs="Calibri"/>
          <w:i/>
          <w:color w:val="000000"/>
        </w:rPr>
      </w:pPr>
      <w:r w:rsidRPr="003D7127">
        <w:rPr>
          <w:rFonts w:ascii="Times New Roman" w:eastAsia="Times New Roman" w:hAnsi="Times New Roman" w:cs="Times New Roman"/>
          <w:b/>
          <w:bCs/>
          <w:i/>
          <w:iCs/>
          <w:color w:val="202124"/>
        </w:rPr>
        <w:t>Background: </w:t>
      </w:r>
      <w:r w:rsidR="003E2937" w:rsidRPr="003E2937">
        <w:rPr>
          <w:rFonts w:ascii="Times New Roman" w:eastAsia="Times New Roman" w:hAnsi="Times New Roman" w:cs="Times New Roman"/>
          <w:i/>
          <w:iCs/>
          <w:color w:val="202124"/>
        </w:rPr>
        <w:t xml:space="preserve">Stunting remains a significant public health challenge in Indonesia, with regional variations influenced by nutritional and environmental factors. In tobacco-farming areas like </w:t>
      </w:r>
      <w:proofErr w:type="spellStart"/>
      <w:r w:rsidR="003E2937" w:rsidRPr="003E2937">
        <w:rPr>
          <w:rFonts w:ascii="Times New Roman" w:eastAsia="Times New Roman" w:hAnsi="Times New Roman" w:cs="Times New Roman"/>
          <w:i/>
          <w:iCs/>
          <w:color w:val="202124"/>
        </w:rPr>
        <w:t>Temanggung</w:t>
      </w:r>
      <w:proofErr w:type="spellEnd"/>
      <w:r w:rsidR="003E2937" w:rsidRPr="003E2937">
        <w:rPr>
          <w:rFonts w:ascii="Times New Roman" w:eastAsia="Times New Roman" w:hAnsi="Times New Roman" w:cs="Times New Roman"/>
          <w:i/>
          <w:iCs/>
          <w:color w:val="202124"/>
        </w:rPr>
        <w:t>, toddlers face dual risks from high environmental tobacco smoke and nutritional gaps.</w:t>
      </w:r>
    </w:p>
    <w:p w14:paraId="62899C24" w14:textId="77777777" w:rsidR="003E2937" w:rsidRDefault="00EB66BC" w:rsidP="00EB66BC">
      <w:pPr>
        <w:shd w:val="clear" w:color="auto" w:fill="F8F9FA"/>
        <w:spacing w:after="0" w:line="240" w:lineRule="auto"/>
        <w:jc w:val="both"/>
        <w:rPr>
          <w:rFonts w:ascii="Times New Roman" w:eastAsia="Times New Roman" w:hAnsi="Times New Roman" w:cs="Times New Roman"/>
          <w:i/>
          <w:iCs/>
          <w:color w:val="202124"/>
        </w:rPr>
      </w:pPr>
      <w:r w:rsidRPr="003D7127">
        <w:rPr>
          <w:rFonts w:ascii="Times New Roman" w:eastAsia="Times New Roman" w:hAnsi="Times New Roman" w:cs="Times New Roman"/>
          <w:b/>
          <w:bCs/>
          <w:i/>
          <w:iCs/>
          <w:color w:val="202124"/>
        </w:rPr>
        <w:t>Objective: </w:t>
      </w:r>
      <w:r w:rsidR="003E2937" w:rsidRPr="003E2937">
        <w:rPr>
          <w:rFonts w:ascii="Times New Roman" w:eastAsia="Times New Roman" w:hAnsi="Times New Roman" w:cs="Times New Roman"/>
          <w:i/>
          <w:iCs/>
          <w:color w:val="202124"/>
        </w:rPr>
        <w:t>To analyze cigarette smoke exposure (measured by urinary cotinine), protein adequacy, and iodine adequacy as risk factors for stunting in toddlers aged 24–48 months.</w:t>
      </w:r>
    </w:p>
    <w:p w14:paraId="566EC6A3" w14:textId="5B9273AE" w:rsidR="00EB66BC" w:rsidRPr="003D7127" w:rsidRDefault="00EB66BC" w:rsidP="00EB66BC">
      <w:pPr>
        <w:shd w:val="clear" w:color="auto" w:fill="F8F9FA"/>
        <w:spacing w:after="0" w:line="240" w:lineRule="auto"/>
        <w:jc w:val="both"/>
        <w:rPr>
          <w:rFonts w:ascii="Calibri" w:eastAsia="Times New Roman" w:hAnsi="Calibri" w:cs="Calibri"/>
          <w:i/>
          <w:color w:val="000000"/>
        </w:rPr>
      </w:pPr>
      <w:r w:rsidRPr="003D7127">
        <w:rPr>
          <w:rFonts w:ascii="Times New Roman" w:eastAsia="Times New Roman" w:hAnsi="Times New Roman" w:cs="Times New Roman"/>
          <w:b/>
          <w:bCs/>
          <w:i/>
          <w:iCs/>
          <w:color w:val="202124"/>
        </w:rPr>
        <w:t>Methods: </w:t>
      </w:r>
      <w:r w:rsidR="003E2937" w:rsidRPr="003E2937">
        <w:rPr>
          <w:rFonts w:ascii="Times New Roman" w:hAnsi="Times New Roman" w:cs="Times New Roman"/>
          <w:i/>
          <w:iCs/>
        </w:rPr>
        <w:t xml:space="preserve">An analytical observational study with a case-control design was conducted in Bulu District, </w:t>
      </w:r>
      <w:proofErr w:type="spellStart"/>
      <w:r w:rsidR="003E2937" w:rsidRPr="003E2937">
        <w:rPr>
          <w:rFonts w:ascii="Times New Roman" w:hAnsi="Times New Roman" w:cs="Times New Roman"/>
          <w:i/>
          <w:iCs/>
        </w:rPr>
        <w:t>Temanggung</w:t>
      </w:r>
      <w:proofErr w:type="spellEnd"/>
      <w:r w:rsidR="003E2937" w:rsidRPr="003E2937">
        <w:rPr>
          <w:rFonts w:ascii="Times New Roman" w:hAnsi="Times New Roman" w:cs="Times New Roman"/>
          <w:i/>
          <w:iCs/>
        </w:rPr>
        <w:t>. A total of 80 toddlers (40 cases and 40 controls) were included. Data were collected using SQ-FFQ, anthropometric measurements, and ELISA for urinary cotinine levels. Data analysis included Chi-square, Mann-Whitney, and logistic regression</w:t>
      </w:r>
      <w:r w:rsidRPr="003D7127">
        <w:rPr>
          <w:rFonts w:ascii="Times New Roman" w:eastAsia="Times New Roman" w:hAnsi="Times New Roman" w:cs="Times New Roman"/>
          <w:i/>
          <w:iCs/>
          <w:color w:val="202124"/>
        </w:rPr>
        <w:t>.</w:t>
      </w:r>
    </w:p>
    <w:p w14:paraId="6002B9D5" w14:textId="77777777" w:rsidR="003E2937" w:rsidRDefault="00EB66BC" w:rsidP="00EB66BC">
      <w:pPr>
        <w:shd w:val="clear" w:color="auto" w:fill="F8F9FA"/>
        <w:spacing w:after="0" w:line="240" w:lineRule="auto"/>
        <w:jc w:val="both"/>
        <w:rPr>
          <w:rFonts w:ascii="Times New Roman" w:eastAsia="Times New Roman" w:hAnsi="Times New Roman" w:cs="Times New Roman"/>
          <w:i/>
          <w:iCs/>
          <w:color w:val="202124"/>
        </w:rPr>
      </w:pPr>
      <w:r w:rsidRPr="003D7127">
        <w:rPr>
          <w:rFonts w:ascii="Times New Roman" w:eastAsia="Times New Roman" w:hAnsi="Times New Roman" w:cs="Times New Roman"/>
          <w:b/>
          <w:bCs/>
          <w:i/>
          <w:iCs/>
          <w:color w:val="202124"/>
        </w:rPr>
        <w:t>Results: </w:t>
      </w:r>
      <w:r w:rsidR="003E2937" w:rsidRPr="003E2937">
        <w:rPr>
          <w:rFonts w:ascii="Times New Roman" w:eastAsia="Times New Roman" w:hAnsi="Times New Roman" w:cs="Times New Roman"/>
          <w:i/>
          <w:iCs/>
          <w:color w:val="202124"/>
        </w:rPr>
        <w:t>Low protein adequacy (OR=36.36; 95% CI: 3.28–402.25) and low iodine adequacy (OR=23.76; 95% CI: 5.95–94.85) were significantly associated with stunting (p=0.000). Cigarette smoke exposure and urinary cotinine levels did not show a significant relationship with stunting (p&gt;0.05), as high exposure was prevalent in both groups.</w:t>
      </w:r>
    </w:p>
    <w:p w14:paraId="60761E4E" w14:textId="17701BF9" w:rsidR="00A80BE2" w:rsidRPr="003D7127" w:rsidRDefault="00EB66BC" w:rsidP="00EB66BC">
      <w:pPr>
        <w:shd w:val="clear" w:color="auto" w:fill="F8F9FA"/>
        <w:spacing w:after="0" w:line="240" w:lineRule="auto"/>
        <w:jc w:val="both"/>
        <w:rPr>
          <w:rFonts w:ascii="Times New Roman" w:eastAsia="Times New Roman" w:hAnsi="Times New Roman" w:cs="Times New Roman"/>
          <w:i/>
          <w:iCs/>
          <w:color w:val="202124"/>
        </w:rPr>
      </w:pPr>
      <w:r w:rsidRPr="003D7127">
        <w:rPr>
          <w:rFonts w:ascii="Times New Roman" w:eastAsia="Times New Roman" w:hAnsi="Times New Roman" w:cs="Times New Roman"/>
          <w:b/>
          <w:bCs/>
          <w:i/>
          <w:iCs/>
          <w:color w:val="202124"/>
        </w:rPr>
        <w:t>Conclusion: </w:t>
      </w:r>
      <w:r w:rsidR="003E2937" w:rsidRPr="003E2937">
        <w:rPr>
          <w:rFonts w:ascii="Times New Roman" w:eastAsia="Times New Roman" w:hAnsi="Times New Roman" w:cs="Times New Roman"/>
          <w:i/>
          <w:iCs/>
          <w:color w:val="202124"/>
        </w:rPr>
        <w:t>Nutritional adequacy of protein and iodine are the primary determinants of stunting in this agricultural setting. Public health interventions should prioritize high-quality protein intake and consistent iodine consumption alongside tobacco control programs</w:t>
      </w:r>
      <w:r w:rsidRPr="003D7127">
        <w:rPr>
          <w:rFonts w:ascii="Times New Roman" w:eastAsia="Times New Roman" w:hAnsi="Times New Roman" w:cs="Times New Roman"/>
          <w:i/>
          <w:iCs/>
          <w:color w:val="202124"/>
        </w:rPr>
        <w:t>.</w:t>
      </w:r>
    </w:p>
    <w:p w14:paraId="2E758FA5" w14:textId="77777777" w:rsidR="00EB66BC" w:rsidRPr="00DC3CA9" w:rsidRDefault="00EB66BC" w:rsidP="00EB66BC">
      <w:pPr>
        <w:shd w:val="clear" w:color="auto" w:fill="F8F9FA"/>
        <w:spacing w:after="0" w:line="240" w:lineRule="auto"/>
        <w:jc w:val="both"/>
        <w:rPr>
          <w:rFonts w:ascii="Calibri" w:eastAsia="Times New Roman" w:hAnsi="Calibri" w:cs="Calibri"/>
          <w:color w:val="000000"/>
        </w:rPr>
      </w:pPr>
      <w:proofErr w:type="gramStart"/>
      <w:r w:rsidRPr="003D7127">
        <w:rPr>
          <w:rFonts w:ascii="Times New Roman" w:eastAsia="Times New Roman" w:hAnsi="Times New Roman" w:cs="Times New Roman"/>
          <w:b/>
          <w:bCs/>
          <w:i/>
          <w:color w:val="202124"/>
        </w:rPr>
        <w:t>Keywords </w:t>
      </w:r>
      <w:r w:rsidRPr="003D7127">
        <w:rPr>
          <w:rFonts w:ascii="Times New Roman" w:eastAsia="Times New Roman" w:hAnsi="Times New Roman" w:cs="Times New Roman"/>
          <w:i/>
          <w:color w:val="202124"/>
        </w:rPr>
        <w:t>:</w:t>
      </w:r>
      <w:proofErr w:type="gramEnd"/>
      <w:r w:rsidRPr="003D7127">
        <w:rPr>
          <w:rFonts w:ascii="Times New Roman" w:eastAsia="Times New Roman" w:hAnsi="Times New Roman" w:cs="Times New Roman"/>
          <w:i/>
          <w:color w:val="202124"/>
        </w:rPr>
        <w:t xml:space="preserve"> stunting, exposure to cigarette smoke, protein adequacy level, iodine adequacy level</w:t>
      </w:r>
    </w:p>
    <w:p w14:paraId="6F1489B3" w14:textId="77777777" w:rsidR="00EB66BC" w:rsidRPr="00DC3CA9" w:rsidRDefault="00EB66BC" w:rsidP="006E5E16">
      <w:pPr>
        <w:spacing w:after="0" w:line="240" w:lineRule="auto"/>
        <w:jc w:val="both"/>
        <w:rPr>
          <w:rFonts w:ascii="Calibri" w:eastAsia="Times New Roman" w:hAnsi="Calibri" w:cs="Calibri"/>
          <w:color w:val="000000"/>
          <w:sz w:val="20"/>
          <w:szCs w:val="20"/>
        </w:rPr>
      </w:pPr>
      <w:r w:rsidRPr="00DC3CA9">
        <w:rPr>
          <w:rFonts w:ascii="Times New Roman" w:eastAsia="Times New Roman" w:hAnsi="Times New Roman" w:cs="Times New Roman"/>
          <w:color w:val="000000"/>
          <w:sz w:val="20"/>
          <w:szCs w:val="20"/>
        </w:rPr>
        <w:t> </w:t>
      </w:r>
    </w:p>
    <w:p w14:paraId="01F3934A" w14:textId="77777777" w:rsidR="006E5E16" w:rsidRPr="006E5E16" w:rsidRDefault="006E5E16" w:rsidP="00893450">
      <w:pPr>
        <w:spacing w:after="0" w:line="360" w:lineRule="auto"/>
        <w:jc w:val="both"/>
        <w:rPr>
          <w:rFonts w:ascii="Times New Roman" w:hAnsi="Times New Roman" w:cs="Times New Roman"/>
          <w:b/>
          <w:bCs/>
        </w:rPr>
      </w:pPr>
      <w:r w:rsidRPr="006E5E16">
        <w:rPr>
          <w:rFonts w:ascii="Times New Roman" w:hAnsi="Times New Roman" w:cs="Times New Roman"/>
          <w:b/>
          <w:bCs/>
        </w:rPr>
        <w:t>BACKGROUND</w:t>
      </w:r>
    </w:p>
    <w:p w14:paraId="32AAB117" w14:textId="26C54B38" w:rsidR="001E7C5C" w:rsidRDefault="001E7C5C" w:rsidP="00893450">
      <w:pPr>
        <w:spacing w:after="0" w:line="360" w:lineRule="auto"/>
        <w:ind w:firstLine="720"/>
        <w:jc w:val="both"/>
        <w:rPr>
          <w:rFonts w:ascii="Times New Roman" w:eastAsia="Times New Roman" w:hAnsi="Times New Roman" w:cs="Times New Roman"/>
          <w:color w:val="000000"/>
        </w:rPr>
      </w:pPr>
      <w:r w:rsidRPr="001E7C5C">
        <w:rPr>
          <w:rFonts w:ascii="Times New Roman" w:eastAsia="Times New Roman" w:hAnsi="Times New Roman" w:cs="Times New Roman"/>
          <w:color w:val="000000"/>
        </w:rPr>
        <w:t>Nutritional issues, particularly stunting, are a global public health challenge that determines the quality of human resources because nutrition is closely correlated with health and intelligence. Stunting remains a major health problem in developing countries, including Indonesia, because it can reduce productivity in adulthood. Based on the height-for-age (H/A) index, a person is categorized as stunted if the Z-score is less than -2 SD</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{"citationItems":[{"id":"ITEM-1","itemData":{"DOI":"10.55489/njcm.140820233041","author":[{"dropping-particle":"","family":"Raghavendra","given":"P","non-dropping-particle":"","parse-names":false,"suffix":""},{"dropping-particle":"","family":"T","given":"Usha Rani","non-dropping-particle":"","parse-names":false,"suffix":""},{"dropping-particle":"","family":"Cp","given":"Abdul Jaleel","non-dropping-particle":"","parse-names":false,"suffix":""},{"dropping-particle":"","family":"Cs","given":"Surya Goud","non-dropping-particle":"","parse-names":false,"suffix":""},{"dropping-particle":"","family":"M","given":"Mahesh Kumar","non-dropping-particle":"","parse-names":false,"suffix":""},{"dropping-particle":"","family":"M","given":"Raja Sriswan","non-dropping-particle":"","parse-names":false,"suffix":""}],"id":"ITEM-1","issue":"08","issued":{"date-parts":[["2023"]]},"page":"470-476","title":"Nutritional Status of Female Children in Comparison to Their Male Siblings in India – A Secondary Analysis of National Family Health Survey ( NFHS-5 ) Data","type":"article-journal","volume":"14"},"uris":["http://www.mendeley.com/documents/?uuid=effa0284-a62f-48a2-8e46-fc574a66c568"]}],"mendeley":{"formattedCitation":"&lt;sup&gt;1&lt;/sup&gt;","plainTextFormattedCitation":"1","previouslyFormattedCitation":"(Raghavendra &lt;i&gt;et al.&lt;/i&gt;, 2023)"},"properties":{"noteIndex":0},"schema":"https://github.com/citation-style-language/schema/raw/master/csl-citation.json"}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Various determinants increase the risk of stunting in toddlers, including inadequate food intake, infectious diseases, suboptimal exclusive breastfeeding, low household socioeconomic status, and birth factors such as prematurity and low birth weight. However, recent research emphasizes that environmental factors and poor sanitation (Water, Sanitation, and Hygiene / WASH) contribute as much as nutritional intake in inhibiting linear growth. In addition to sanitation, exposure to cigarette smoke in the household has now been identified as a crucial environmental risk factor for stunting in Indonesia</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10.2991/978-94-6463-421-1","ISBN":"9789464634211","author":[{"dropping-particle":"","family":"Khasanah","given":"Uswatun","non-dropping-particle":"","parse-names":false,"suffix":""},{"dropping-particle":"","family":"Suhaeni","given":"Eni","non-dropping-particle":"","parse-names":false,"suffix":""},{"dropping-particle":"","family":"Fariz","given":"Ahmad","non-dropping-particle":"","parse-names":false,"suffix":""},{"dropping-particle":"","family":"Zamzam","given":"Malvi","non-dropping-particle":"","parse-names":false,"suffix":""},{"dropping-particle":"","family":"Shafira","given":"Widya","non-dropping-particle":"","parse-names":false,"suffix":""}],"id":"ITEM-1","issue":"Iswhopha 2023","issued":{"date-parts":[["0"]]},"publisher":"Atlantis Press International BV","title":"The Effect of Secondhand smoke exposure on Stunting Incidence in Cirebon , Indonesia","type":"book"},"uris":["http://www.mendeley.com/documents/?uuid=0831b1b6-68e9-4540-9f50-3f8266af4b0b"]}],"mendeley":{"formattedCitation":"&lt;sup&gt;2&lt;/sup&gt;","plainTextFormattedCitation":"2","previouslyFormattedCitation":"(Khasanah &lt;i&gt;et al.&lt;/i&gt;, no date)"},"properties":{"noteIndex":0},"schema":"https://github.com/citation-style-language/schema/raw/master/csl-citation.json"}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2</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w:t>
      </w:r>
    </w:p>
    <w:p w14:paraId="025B354B" w14:textId="172D69D5" w:rsidR="00EB66BC" w:rsidRPr="00A80BE2" w:rsidRDefault="001E7C5C" w:rsidP="00893450">
      <w:pPr>
        <w:spacing w:after="0" w:line="360" w:lineRule="auto"/>
        <w:ind w:firstLine="720"/>
        <w:jc w:val="both"/>
        <w:rPr>
          <w:rFonts w:ascii="Calibri" w:eastAsia="Times New Roman" w:hAnsi="Calibri" w:cs="Calibri"/>
          <w:color w:val="000000"/>
        </w:rPr>
      </w:pPr>
      <w:r w:rsidRPr="001E7C5C">
        <w:rPr>
          <w:rFonts w:ascii="Times New Roman" w:eastAsia="Times New Roman" w:hAnsi="Times New Roman" w:cs="Times New Roman"/>
          <w:color w:val="000000"/>
        </w:rPr>
        <w:t>Exposure to cigarette smoke in fetuses and toddlers has been shown to increase the risk of intrauterine growth retardation (IUGR), stunting, and anemia</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{"citationItems":[{"id":"ITEM-1","itemData":{"DOI":"https://doi.org/10.1016/j.cegh.2020.02.029","ISSN":"2213-3984","abstract":"Background Stunting describes the condition of chronic malnutrition in children under the age of five, especially in the first 1000 days of life, so that it has an impact on increasing morbidity and mortality. The objective of this study was to analyze the relationship between passive smoking and stunting in children 25–59 months old. Method This cross-sectional study used a stratified random sampling technique in 123 children 25–59 months old. Exposure of cigarette smoke is assessed from the length of exposure to cigarette smoke using The Secondhand Smoke Exposure Scale questionnaire. Results Bivariate statistical test with Chi-Square and Fisher's Exact Test showed the relationship of stunting to length of cigarette smoke exposure (p-value &lt;0.000; OR 10.316), water source (p-value 0.040; OR 0.145), hygiene (p-value 0.028; OR 2.742), exclusive breastfeeding (p-value 0.041; OR 0.396), history of pregnancy disorders (p-value 0.035; OR 2.791), and recurrent respiratory infections (p-value &lt;0.000; OR 21,368). Logistic regression analysis showed that the length of smoking increases the risk of stunting (p-value &lt;0.000; OR 13,49), and the most influential variable was recurrent respiratory infections (p-value &lt;0.000; OR 30.57). Conclusion Length of exposure of more than 3 h a day increases the risk of stunting by 10,316 times. Public policy needs to provide health education in the community and family about the effects of cigarette smoke exposure on the increased risk of stunting in children.","author":[{"dropping-particle":"","family":"Astuti","given":"Dyah Dwi","non-dropping-particle":"","parse-names":false,"suffix":""},{"dropping-particle":"","family":"Handayani","given":"Tri Widyastuti","non-dropping-particle":"","parse-names":false,"suffix":""},{"dropping-particle":"","family":"Astuti","given":"Duwi Pudji","non-dropping-particle":"","parse-names":false,"suffix":""}],"container-title":"Clinical Epidemiology and Global Health","id":"ITEM-1","issue":"3","issued":{"date-parts":[["2020"]]},"page":"943-948","title":"Cigarette smoke exposure and increased risks of stunting among under-five children","type":"article-journal","volume":"8"},"uris":["http://www.mendeley.com/documents/?uuid=768e880d-d21b-414d-9b12-c2804e807b23"]}],"mendeley":{"formattedCitation":"&lt;sup&gt;3&lt;/sup&gt;","plainTextFormattedCitation":"3","previouslyFormattedCitation":"(Astuti, Handayani and Astuti, 2020)"},"properties":{"noteIndex":0},"schema":"https://github.com/citation-style-language/schema/raw/master/csl-citation.json"}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3</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xml:space="preserve">. Stunting in childhood results in </w:t>
      </w:r>
      <w:r w:rsidRPr="001E7C5C">
        <w:rPr>
          <w:rFonts w:ascii="Times New Roman" w:eastAsia="Times New Roman" w:hAnsi="Times New Roman" w:cs="Times New Roman"/>
          <w:color w:val="000000"/>
        </w:rPr>
        <w:lastRenderedPageBreak/>
        <w:t>decreased intelligence, motor skills, and neurosensory integration, which impact school age and adulthood</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{"citationItems":[{"id":"ITEM-1","itemData":{"author":[{"dropping-particle":"","family":"Stan-","given":"W H O Child Growth","non-dropping-particle":"","parse-names":false,"suffix":""},{"dropping-particle":"","family":"Targets","given":"Global Nutrition","non-dropping-particle":"","parse-names":false,"suffix":""}],"id":"ITEM-1","issue":"June","issued":{"date-parts":[["2025"]]},"title":"Tobacco and stunting ▪","type":"article-journal"},"uris":["http://www.mendeley.com/documents/?uuid=da2572a0-b4af-48c0-b0fe-16ae83fa8d5a"]}],"mendeley":{"formattedCitation":"&lt;sup&gt;4&lt;/sup&gt;","plainTextFormattedCitation":"4","previouslyFormattedCitation":"(Stan- and Targets, 2025)"},"properties":{"noteIndex":0},"schema":"https://github.com/citation-style-language/schema/raw/master/csl-citation.json"}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4</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In addition to passive smoking, toddlers living in tobacco farming environments are at risk of exposure to nicotine residue on objects (thirdhand smoke), which can disrupt growth trajectories</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10.21109/kesmas.v19isp1.1201","author":[{"dropping-particle":"","family":"Rahmiwati","given":"Anita","non-dropping-particle":"","parse-names":false,"suffix":""}],"id":"ITEM-1","issue":"5","issued":{"date-parts":[["2024"]]},"page":"97-104","title":"Passive Smoking and Its Correlation with Stunting in Children : A Systematic Review Passive Smoking and Its Correlation with Stunting in Children : A Systematic Review","type":"article-journal","volume":"19"},"uris":["http://www.mendeley.com/documents/?uuid=f2037f3c-e2e1-4608-a638-0cdb5040c433"]}],"mendeley":{"formattedCitation":"&lt;sup&gt;5&lt;/sup&gt;","plainTextFormattedCitation":"5","previouslyFormattedCitation":"(Rahmiwati, 2024)"},"properties":{"noteIndex":0},"schema":"https://github.com/citation-style-language/schema/raw/master/csl-citation.json"}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5</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Cigarette smoke contains nicotine, which is metabolized to cotinine. Cotinine has a half-life of 15–20 hours, is much more stable than nicotine (0.5–3 hours), making it a primary biomarker in cigarette smoke exposure studies. Urinary cotinine is preferred due to its non-invasive nature and practicality for screening toddlers in rural populations</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{"citationItems":[{"id":"ITEM-1","itemData":{"DOI":"10.1177/11786302231185210","ISSN":"1178-6302 (Print)","PMID":"37434666","abstract":"Cigarette smoke exposure in mothers and children is highly prevalent in Asia,  especially among rural and poor families. Second-hand smoke exposure might affect the nutritional status of children. Despite the emerging double burden of malnutrition and the very high prevalence of smoking in Indonesia, few studies have examined the effects of parental smoking on children's nutritional status. This study aims to measure the relationship between family smoking behavior and the occurrence of stunting in children under 5 years. This cross-sectional study used a purposive sampling technique, with 221 households with children aged 0 to 59 months from poor areas in Indonesia. Exposure to cigarette smoke is assessed using The Secondhand Smoke Exposure Scale questionnaire. The outcome measured is child stunting (height-for-age Z-score). The prevalence of stunting was estimated at 145 (65.6%). Children living with smoking parents were counted for 157 (71%), and most smoking exposure comes from fathers 147 (67.4%). The predictors of stunting in children under 5 years were a smoker father with (AOR 1.8; 95% CI 1.281-4.641), both parents are smokers increasing the risk of stunting with (COR 3.591; 95% CI 1.67-3.77), being exposed of smoke for more than 3 hours a day increase the risk of stunted children (COR 2.05; 95% CI 1.214-3.629), and using traditional cigarette or kretek expand the risk of stunting (AOR 3.19; 95% CI 1.139-67.785). The findings demonstrate the negative impact of parental smoking on children's growth, reinforcing the importance of reducing smoking prevalence by imposing a smoke-free home policy in the stunting prevention strategy.","author":[{"dropping-particle":"","family":"Muchlis","given":"Nurmiati","non-dropping-particle":"","parse-names":false,"suffix":""},{"dropping-particle":"","family":"Yusuf","given":"Rezky Aulia","non-dropping-particle":"","parse-names":false,"suffix":""},{"dropping-particle":"","family":"Rusydi","given":"Arni Rizqiani","non-dropping-particle":"","parse-names":false,"suffix":""},{"dropping-particle":"","family":"Mahmud","given":"Nur Ulmy","non-dropping-particle":"","parse-names":false,"suffix":""},{"dropping-particle":"","family":"Hikmah","given":"Nurul","non-dropping-particle":"","parse-names":false,"suffix":""},{"dropping-particle":"","family":"Qanitha","given":"Andriany","non-dropping-particle":"","parse-names":false,"suffix":""},{"dropping-particle":"","family":"Ahsan","given":"Abdillah","non-dropping-particle":"","parse-names":false,"suffix":""}],"container-title":"Environmental health insights","id":"ITEM-1","issued":{"date-parts":[["2023"]]},"language":"eng","page":"11786302231185210","publisher-place":"United States","title":"Cigarette Smoke Exposure and Stunting Among Under-five Children in Rural and Poor  Families in Indonesia.","type":"article-journal","volume":"17"},"uris":["http://www.mendeley.com/documents/?uuid=ea3d638a-ed70-4041-9e87-7d353b9cb985"]}],"mendeley":{"formattedCitation":"&lt;sup&gt;6&lt;/sup&gt;","plainTextFormattedCitation":"6","previouslyFormattedCitation":"(Muchlis &lt;i&gt;et al.&lt;/i&gt;, 2023)"},"properties":{"noteIndex":0},"schema":"https://github.com/citation-style-language/schema/raw/master/csl-citation.json"}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6</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w:t>
      </w:r>
      <w:r w:rsidRPr="00A80BE2">
        <w:rPr>
          <w:rFonts w:ascii="Calibri" w:eastAsia="Times New Roman" w:hAnsi="Calibri" w:cs="Calibri"/>
          <w:color w:val="000000"/>
        </w:rPr>
        <w:t xml:space="preserve"> </w:t>
      </w:r>
    </w:p>
    <w:p w14:paraId="00182058" w14:textId="2E5EC80E" w:rsidR="00EB66BC" w:rsidRPr="00A80BE2" w:rsidRDefault="001E7C5C" w:rsidP="00893450">
      <w:pPr>
        <w:spacing w:after="0" w:line="360" w:lineRule="auto"/>
        <w:ind w:firstLine="720"/>
        <w:jc w:val="both"/>
        <w:rPr>
          <w:rFonts w:ascii="Calibri" w:eastAsia="Times New Roman" w:hAnsi="Calibri" w:cs="Calibri"/>
          <w:color w:val="000000"/>
        </w:rPr>
      </w:pPr>
      <w:r w:rsidRPr="001E7C5C">
        <w:rPr>
          <w:rFonts w:ascii="Times New Roman" w:eastAsia="Times New Roman" w:hAnsi="Times New Roman" w:cs="Times New Roman"/>
          <w:color w:val="000000"/>
        </w:rPr>
        <w:t xml:space="preserve">Insufficient macro and micronutrient intake is a direct factor causing stunting. Protein is essential as a raw material for growth, enzyme formation, antibody production, and genetic </w:t>
      </w:r>
      <w:proofErr w:type="spellStart"/>
      <w:r w:rsidRPr="001E7C5C">
        <w:rPr>
          <w:rFonts w:ascii="Times New Roman" w:eastAsia="Times New Roman" w:hAnsi="Times New Roman" w:cs="Times New Roman"/>
          <w:color w:val="000000"/>
        </w:rPr>
        <w:t>expressio</w:t>
      </w:r>
      <w:proofErr w:type="spellEnd"/>
      <w:r w:rsidR="00771A40">
        <w:rPr>
          <w:rFonts w:ascii="Times New Roman" w:eastAsia="Times New Roman" w:hAnsi="Times New Roman" w:cs="Times New Roman"/>
          <w:color w:val="000000"/>
        </w:rPr>
        <w:t xml:space="preserve"> </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{"citationItems":[{"id":"ITEM-1","itemData":{"author":[{"dropping-particle":"","family":"Suryani","given":"Desri","non-dropping-particle":"","parse-names":false,"suffix":""}],"id":"ITEM-1","issue":"1","issued":{"date-parts":[["2021"]]},"page":"93-99","title":"Asupan zat gizi makro dan mikro pada anak sekolah dasar yang stunting di Kota Bengkulu Macro and micro nutrient intake of stunting elementary school children in Bengkulu city Abstrak Pendahuluan Metode","type":"article-journal","volume":"6"},"uris":["http://www.mendeley.com/documents/?uuid=e46e4417-86c7-4a3a-b7c8-6fccea2e627f"]}],"mendeley":{"formattedCitation":"&lt;sup&gt;7&lt;/sup&gt;","plainTextFormattedCitation":"7","previouslyFormattedCitation":"(Suryani, 2021)"},"properties":{"noteIndex":0},"schema":"https://github.com/citation-style-language/schema/raw/master/csl-citation.json"}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7</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Recent research shows that not only quantity but also protein quality (complete intake of essential amino acids) is crucial for the activation of the mechanistic Target of Rapamycin Complex 1 (mTORC1) pathway, which regulates bone growth. On the other hand, iodine, as an essential micronutrient, is required as a raw material for thyroid hormones, which regulate the body's metabolic rate and nerve development. Iodine also plays a vital role in protein synthesis and carbohydrate absorption in the digestive tract. Chronic iodine deficiency during growth will result in persistent linear growth failure</w:t>
      </w:r>
      <w:r w:rsidR="00771A4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{"citationItems":[{"id":"ITEM-1","itemData":{"DOI":"https://doi.org/10.3945/an.116.013276","ISSN":"2161-8313","abstract":"Abstract Stunting is the best summary measure of chronic malnutrition in children. Approximately one-quarter of children under age 5 worldwide are stunted. Lipid-based or micronutrient supplementation has little to no impact in reducing stunting, which suggests that other critical dietary nutrients are missing. A dietary pattern of poor-quality protein is associated with stunting. Stunted children have significantly lower circulating essential amino acids than do nonstunted children. Inadequate dietary intakes of essential amino acids could adversely affect growth, because amino acids are required for synthesis of proteins. The master growth regulation pathway, the mechanistic target of rapamycin complex 1 (mTORC1) pathway, is exquisitely sensitive to amino acid availability. mTORC1 integrates cues such as nutrients, growth factors, oxygen, and energy to regulate growth of bone, skeletal muscle, nervous system, gastrointestinal tract, hematopoietic cells, immune effector cells, organ size, and whole-body energy balance. mTORC1 represses protein and lipid synthesis and cell and organismal growth when amino acids are deficient. Over the past 4 decades, the main paradigm for child nutrition in developing countries has been micronutrient malnutrition, with relatively less attention paid to protein. In this Perspective, we present the view that essential amino acids and the mTORC1 pathway play a key role in child growth. The current assumption that total dietary protein intake is adequate for growth among most children in developing countries needs re-evaluation.","author":[{"dropping-particle":"","family":"Semba","given":"Richard D","non-dropping-particle":"","parse-names":false,"suffix":""},{"dropping-particle":"","family":"Trehan","given":"Indi","non-dropping-particle":"","parse-names":false,"suffix":""},{"dropping-particle":"","family":"Gonzalez-Freire","given":"Marta","non-dropping-particle":"","parse-names":false,"suffix":""},{"dropping-particle":"","family":"Kraemer","given":"Klaus","non-dropping-particle":"","parse-names":false,"suffix":""},{"dropping-particle":"","family":"Moaddel","given":"Ruin","non-dropping-particle":"","parse-names":false,"suffix":""},{"dropping-particle":"","family":"Ordiz","given":"M Isabel","non-dropping-particle":"","parse-names":false,"suffix":""},{"dropping-particle":"","family":"Ferrucci","given":"Luigi","non-dropping-particle":"","parse-names":false,"suffix":""},{"dropping-particle":"","family":"Manary","given":"Mark J","non-dropping-particle":"","parse-names":false,"suffix":""}],"container-title":"Advances in Nutrition","id":"ITEM-1","issue":"5","issued":{"date-parts":[["2016"]]},"page":"853-865","title":"Perspective: The Potential Role of Essential Amino Acids and the Mechanistic Target of Rapamycin Complex 1 (mTORC1) Pathway in the Pathogenesis of Child Stunting","type":"article-journal","volume":"7"},"uris":["http://www.mendeley.com/documents/?uuid=5beaa71e-0ea4-4b14-b2a6-e124efb2c8c4"]}],"mendeley":{"formattedCitation":"&lt;sup&gt;8&lt;/sup&gt;","plainTextFormattedCitation":"8","previouslyFormattedCitation":"(Semba &lt;i&gt;et al.&lt;/i&gt;, 2016)"},"properties":{"noteIndex":0},"schema":"https://github.com/citation-style-language/schema/raw/master/csl-citation.json"}</w:instrText>
      </w:r>
      <w:r w:rsidR="00771A4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8</w:t>
      </w:r>
      <w:r w:rsidR="00771A40">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w:t>
      </w:r>
      <w:r w:rsidRPr="00A80BE2">
        <w:rPr>
          <w:rFonts w:ascii="Calibri" w:eastAsia="Times New Roman" w:hAnsi="Calibri" w:cs="Calibri"/>
          <w:color w:val="000000"/>
        </w:rPr>
        <w:t xml:space="preserve"> </w:t>
      </w:r>
    </w:p>
    <w:p w14:paraId="389D75E3" w14:textId="3DA3B58D" w:rsidR="00EB66BC" w:rsidRPr="00A80BE2" w:rsidRDefault="00EB66BC" w:rsidP="001E7C5C">
      <w:pPr>
        <w:spacing w:after="0" w:line="360" w:lineRule="auto"/>
        <w:ind w:firstLine="720"/>
        <w:jc w:val="both"/>
        <w:rPr>
          <w:rFonts w:ascii="Calibri" w:eastAsia="Times New Roman" w:hAnsi="Calibri" w:cs="Calibri"/>
          <w:color w:val="000000"/>
        </w:rPr>
      </w:pPr>
      <w:r w:rsidRPr="00A80BE2">
        <w:rPr>
          <w:rFonts w:ascii="Times New Roman" w:eastAsia="Times New Roman" w:hAnsi="Times New Roman" w:cs="Times New Roman"/>
          <w:color w:val="000000"/>
        </w:rPr>
        <w:t>Adequate levels of micronutrients, namely iodine, are also needed by the body. Iodine is a " </w:t>
      </w:r>
      <w:r w:rsidRPr="00A80BE2">
        <w:rPr>
          <w:rFonts w:ascii="Times New Roman" w:eastAsia="Times New Roman" w:hAnsi="Times New Roman" w:cs="Times New Roman"/>
          <w:i/>
          <w:iCs/>
          <w:color w:val="000000"/>
        </w:rPr>
        <w:t>trace element </w:t>
      </w:r>
      <w:r w:rsidRPr="00A80BE2">
        <w:rPr>
          <w:rFonts w:ascii="Times New Roman" w:eastAsia="Times New Roman" w:hAnsi="Times New Roman" w:cs="Times New Roman"/>
          <w:color w:val="000000"/>
        </w:rPr>
        <w:t>" that the body needs as a basic ingredient in the formation of thyroid hormones. </w:t>
      </w:r>
      <w:r w:rsidR="0035088E" w:rsidRPr="00A80BE2">
        <w:rPr>
          <w:rFonts w:ascii="Times New Roman" w:eastAsia="Times New Roman" w:hAnsi="Times New Roman" w:cs="Times New Roman"/>
          <w:color w:val="000000"/>
          <w:lang w:val="id-ID"/>
        </w:rPr>
        <w:t>It</w:t>
      </w:r>
      <w:r w:rsidRPr="00A80BE2">
        <w:rPr>
          <w:rFonts w:ascii="Times New Roman" w:eastAsia="Times New Roman" w:hAnsi="Times New Roman" w:cs="Times New Roman"/>
          <w:color w:val="000000"/>
        </w:rPr>
        <w:t xml:space="preserve"> is an essential nutrient for the synthesis of thyroid hormones which are used for reproduction, growth and development. Thyroid hormone is needed to regulate tissue growth and development, maintain the body's metabolic rate, regulate body temperature, reproduction, formation of red blood cells, muscle and nerve function. Iodine also plays a role in the conversion of carotene into the active form of vitamin A, protein synthesis and absorption of carbohydrates from the gastrointestinal tr</w:t>
      </w:r>
      <w:r w:rsidR="00B956A1">
        <w:rPr>
          <w:rFonts w:ascii="Times New Roman" w:eastAsia="Times New Roman" w:hAnsi="Times New Roman" w:cs="Times New Roman"/>
          <w:color w:val="000000"/>
        </w:rPr>
        <w:t>act</w:t>
      </w:r>
      <w:r w:rsidR="00B956A1">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{"citationItems":[{"id":"ITEM-1","itemData":{"author":[{"dropping-particle":"","family":"Yuniastuti","given":"Ari","non-dropping-particle":"","parse-names":false,"suffix":""}],"id":"ITEM-1","issued":{"date-parts":[["2014"]]},"publisher":"Unnes Press","publisher-place":"Semarang","title":"Nutrisi Mikronutrien dan Kesehatan","type":"book"},"uris":["http://www.mendeley.com/documents/?uuid=6065ed8b-8d72-4afe-916e-e0c44f2781a3"]}],"mendeley":{"formattedCitation":"&lt;sup&gt;9&lt;/sup&gt;","plainTextFormattedCitation":"9","previouslyFormattedCitation":"(Yuniastuti, 2014)"},"properties":{"noteIndex":0},"schema":"https://github.com/citation-style-language/schema/raw/master/csl-citation.json"}</w:instrText>
      </w:r>
      <w:r w:rsidR="00B956A1">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9</w:t>
      </w:r>
      <w:r w:rsidR="00B956A1">
        <w:rPr>
          <w:rFonts w:ascii="Times New Roman" w:eastAsia="Times New Roman" w:hAnsi="Times New Roman" w:cs="Times New Roman"/>
          <w:color w:val="000000"/>
        </w:rPr>
        <w:fldChar w:fldCharType="end"/>
      </w:r>
      <w:r w:rsidR="00D86844">
        <w:rPr>
          <w:rFonts w:ascii="Times New Roman" w:eastAsia="Times New Roman" w:hAnsi="Times New Roman" w:cs="Times New Roman"/>
          <w:color w:val="000000"/>
        </w:rPr>
        <w:t>.</w:t>
      </w:r>
    </w:p>
    <w:p w14:paraId="6B434E2B" w14:textId="4EEA8273" w:rsidR="00EB66BC" w:rsidRPr="00A80BE2" w:rsidRDefault="001E7C5C" w:rsidP="00EF3070">
      <w:pPr>
        <w:spacing w:after="0" w:line="360" w:lineRule="auto"/>
        <w:ind w:firstLine="720"/>
        <w:jc w:val="both"/>
        <w:rPr>
          <w:rFonts w:ascii="Calibri" w:eastAsia="Times New Roman" w:hAnsi="Calibri" w:cs="Calibri"/>
          <w:color w:val="000000"/>
        </w:rPr>
      </w:pPr>
      <w:r w:rsidRPr="001E7C5C">
        <w:rPr>
          <w:rFonts w:ascii="Times New Roman" w:eastAsia="Times New Roman" w:hAnsi="Times New Roman" w:cs="Times New Roman"/>
          <w:color w:val="000000"/>
        </w:rPr>
        <w:t xml:space="preserve">Based on data from the Indonesian Nutritional Status Survey (SSGI), the national prevalence of stunting has decreased from 30.8% in 2018 to 21.5% in 2023, but this figure is still above the national target of 14%. Central Java Province still faces significant challenges, with several districts having prevalence rates above the national </w:t>
      </w:r>
      <w:r w:rsidR="00B9508D">
        <w:rPr>
          <w:rFonts w:ascii="Times New Roman" w:eastAsia="Times New Roman" w:hAnsi="Times New Roman" w:cs="Times New Roman"/>
          <w:color w:val="000000"/>
        </w:rPr>
        <w:t>average</w:t>
      </w:r>
      <w:r w:rsidR="00B9508D">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{"citationItems":[{"id":"ITEM-1","itemData":{"author":[{"dropping-particle":"","family":"Kementerian Kesehatan RI","given":"","non-dropping-particle":"","parse-names":false,"suffix":""}],"container-title":"Badan Kebijakan Pembangunan Kesehatan","id":"ITEM-1","issued":{"date-parts":[["2023"]]},"publisher-place":"Jakarta","title":"Survei Status Gizi Indonesia (SSGI) 2023","type":"report"},"uris":["http://www.mendeley.com/documents/?uuid=f0303f5f-9c38-4af5-acfb-c1a6302ce400"]}],"mendeley":{"formattedCitation":"&lt;sup&gt;10&lt;/sup&gt;","plainTextFormattedCitation":"10","previouslyFormattedCitation":"(Kementerian Kesehatan RI, 2023)"},"properties":{"noteIndex":0},"schema":"https://github.com/citation-style-language/schema/raw/master/csl-citation.json"}</w:instrText>
      </w:r>
      <w:r w:rsidR="00B9508D">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10</w:t>
      </w:r>
      <w:r w:rsidR="00B9508D">
        <w:rPr>
          <w:rFonts w:ascii="Times New Roman" w:eastAsia="Times New Roman" w:hAnsi="Times New Roman" w:cs="Times New Roman"/>
          <w:color w:val="000000"/>
        </w:rPr>
        <w:fldChar w:fldCharType="end"/>
      </w:r>
      <w:r w:rsidRPr="001E7C5C">
        <w:rPr>
          <w:rFonts w:ascii="Times New Roman" w:eastAsia="Times New Roman" w:hAnsi="Times New Roman" w:cs="Times New Roman"/>
          <w:color w:val="000000"/>
        </w:rPr>
        <w:t xml:space="preserve">. </w:t>
      </w:r>
      <w:proofErr w:type="spellStart"/>
      <w:r w:rsidRPr="001E7C5C">
        <w:rPr>
          <w:rFonts w:ascii="Times New Roman" w:eastAsia="Times New Roman" w:hAnsi="Times New Roman" w:cs="Times New Roman"/>
          <w:color w:val="000000"/>
        </w:rPr>
        <w:t>Temanggung</w:t>
      </w:r>
      <w:proofErr w:type="spellEnd"/>
      <w:r w:rsidRPr="001E7C5C">
        <w:rPr>
          <w:rFonts w:ascii="Times New Roman" w:eastAsia="Times New Roman" w:hAnsi="Times New Roman" w:cs="Times New Roman"/>
          <w:color w:val="000000"/>
        </w:rPr>
        <w:t xml:space="preserve"> Regency, as a tobacco-producing area, has unique characteristics in that the percentage of smoking in households is very high (33.36%). Bulu District is a center for tobacco farmers, which places toddlers at double risk: exposure to massive environmental cigarette smoke and vulnerability to access to quality protein-based food sources. Based on this phenomenon, researchers are interested in analyzing cigarette smoke exposure through urinary cotinine levels, protein adequacy levels, and iodine adequacy levels as risk factors for stunting in toddlers in the agricultural area of ​​Bulu District, </w:t>
      </w:r>
      <w:proofErr w:type="spellStart"/>
      <w:r w:rsidRPr="001E7C5C">
        <w:rPr>
          <w:rFonts w:ascii="Times New Roman" w:eastAsia="Times New Roman" w:hAnsi="Times New Roman" w:cs="Times New Roman"/>
          <w:color w:val="000000"/>
        </w:rPr>
        <w:t>Temanggung</w:t>
      </w:r>
      <w:proofErr w:type="spellEnd"/>
      <w:r w:rsidRPr="001E7C5C">
        <w:rPr>
          <w:rFonts w:ascii="Times New Roman" w:eastAsia="Times New Roman" w:hAnsi="Times New Roman" w:cs="Times New Roman"/>
          <w:color w:val="000000"/>
        </w:rPr>
        <w:t xml:space="preserve"> Regency</w:t>
      </w:r>
      <w:r w:rsidR="00B9508D">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{"citationItems":[{"id":"ITEM-1","itemData":{"author":[{"dropping-particle":"","family":"Nisrina","given":"Merita Yumna","non-dropping-particle":"","parse-names":false,"suffix":""},{"dropping-particle":"","family":"Sinaga","given":"Evi Susanti","non-dropping-particle":"","parse-names":false,"suffix":""}],"id":"ITEM-1","issue":"6","issued":{"date-parts":[["2025"]]},"page":"733-744","title":"Received : April , 14 , 2025 Available online : August , 30 , 2025 at : https://e-jurnal.iphorr.com/index.php/minh Urban-rural disparities and determinants of stunting among children under five in Indonesia","type":"article-journal","volume":"8"},"uris":["http://www.mendeley.com/documents/?uuid=a32c7e4a-0c86-4171-8a1a-7b50afd9d22a"]},{"id":"ITEM-2","itemData":{"DOI":"10.2196/68918","ISSN":"2561-6722 (Electronic)","PMID":"41084840","abstract":"BACKGROUND: The cause-effect of stunting is known as a complex factor, including  family, environmental, social, and cultural factors, in stunting among children. Yet, the latest updated associated factors emphasizing on social and environmental factors are still limited. OBJECTIVE: This study aimed to analyze the latest evidence on the factors associated with stunting, with a particular focus on various factors. METHODS: A secondary data analysis using the 2023 Indonesia Health Survey (Survei Kesehatan Indonesia [SKI] 2023) was conducted. This study analyzed a total of 78,049 (or 81,068 if weighted) children aged 5 years and younger who had a complete response to all interest variables. Bivariate analysis using the Pearson χ2 test with a P value of &lt;.05 for determining a significant association and a multivariate analysis for further analysis of the association between the outcome and each predictor were implemented. RESULTS: The prevalence of stunting in this study was 15,958/78,049 children (19.69%). In the adjusted analysis, immunization status (adjusted odds ratio [aOR] 1.34, 95% CI 1.22-1.48; P&lt;.001) and KPS (Kartu Perlindungan Sosial; Social Protection Card) ownership (aOR 1.13, 95% CI 1.05-1.21; P&lt;.001) were significantly associated with higher odds of stunting. Conversely, children in the wealthiest quintile were significantly less likely to experience stunting compared to those from the poorest families (aOR 0.47, 95% CI 0.42-0.52; P&lt;.001). Other variables, such as household water sources (aOR 1.18, 95% CI 1.00-1.37; P=.04), and geographical location, particularly in Sulawesi (aOR 1.23, 95% CI 1.14-1.33; P&lt;.001) and Papua and Maluku (aOR 1.20, 95% CI 1.08-1.33; P&lt;.001), were also significantly associated with increased odds of stunting. CONCLUSIONS: Not receiving immunization, consuming water from unimproved sources, ownership of a Social Protection Card, and living in regions such as eastern Indonesia were significantly associated with childhood stunting. These findings emphasize that social and environmental factors remain critical determinants of stunting. Improving multifaceted and holistic interventions, with a focus on immunization coverage, good water access, social protection, and reducing regional disparities, is essential to accelerate progress toward stunting reduction targets.","author":[{"dropping-particle":"","family":"Arief","given":"Yuni Sufyanti","non-dropping-particle":"","parse-names":false,"suffix":""},{"dropping-particle":"","family":"Yunita","given":"Fildzah Cindra","non-dropping-particle":"","parse-names":false,"suffix":""},{"dropping-particle":"","family":"Efendi","given":"Ferry","non-dropping-particle":"","parse-names":false,"suffix":""},{"dropping-particle":"","family":"Murti","given":"Fadhaa Aditya Kautsar","non-dropping-particle":"","parse-names":false,"suffix":""},{"dropping-particle":"","family":"Pradipta","given":"Rifky Octavia","non-dropping-particle":"","parse-names":false,"suffix":""},{"dropping-particle":"","family":"McKenna","given":"Lisa","non-dropping-particle":"","parse-names":false,"suffix":""}],"container-title":"JMIR pediatrics and parenting","id":"ITEM-2","issued":{"date-parts":[["2025","10"]]},"language":"eng","page":"e68918","publisher-place":"Canada","title":"Social and Environmental Determinants of Childhood Stunting in Indonesia:  National Cross-Sectional Study.","type":"article-journal","volume":"8"},"uris":["http://www.mendeley.com/documents/?uuid=2b3e79b1-fb8c-47c1-abf6-8cfb5f2aac66"]}],"mendeley":{"formattedCitation":"&lt;sup&gt;11,12&lt;/sup&gt;","plainTextFormattedCitation":"11,12","previouslyFormattedCitation":"(Arief &lt;i&gt;et al.&lt;/i&gt;, 2025; Nisrina and Sinaga, 2025)"},"properties":{"noteIndex":0},"schema":"https://github.com/citation-style-language/schema/raw/master/csl-citation.json"}</w:instrText>
      </w:r>
      <w:r w:rsidR="00B9508D">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11,12</w:t>
      </w:r>
      <w:r w:rsidR="00B9508D">
        <w:rPr>
          <w:rFonts w:ascii="Times New Roman" w:eastAsia="Times New Roman" w:hAnsi="Times New Roman" w:cs="Times New Roman"/>
          <w:color w:val="000000"/>
        </w:rPr>
        <w:fldChar w:fldCharType="end"/>
      </w:r>
      <w:r w:rsidR="00EB66BC" w:rsidRPr="00A80BE2">
        <w:rPr>
          <w:rFonts w:ascii="Times New Roman" w:eastAsia="Times New Roman" w:hAnsi="Times New Roman" w:cs="Times New Roman"/>
          <w:color w:val="000000"/>
        </w:rPr>
        <w:t>.</w:t>
      </w:r>
    </w:p>
    <w:p w14:paraId="101AC401" w14:textId="77777777" w:rsidR="003D7127" w:rsidRPr="00FA2545" w:rsidRDefault="003D7127" w:rsidP="003D7127">
      <w:pPr>
        <w:spacing w:after="0" w:line="360" w:lineRule="auto"/>
        <w:jc w:val="both"/>
        <w:rPr>
          <w:rFonts w:ascii="Times New Roman" w:hAnsi="Times New Roman" w:cs="Times New Roman"/>
          <w:b/>
        </w:rPr>
      </w:pPr>
      <w:r w:rsidRPr="00700E45">
        <w:rPr>
          <w:rFonts w:ascii="Times New Roman" w:hAnsi="Times New Roman" w:cs="Times New Roman"/>
          <w:b/>
        </w:rPr>
        <w:t>MATERIALS AND METHODS</w:t>
      </w:r>
    </w:p>
    <w:p w14:paraId="7DC8201D" w14:textId="34090042" w:rsidR="00EB66BC" w:rsidRDefault="00EF3070" w:rsidP="00EF3070">
      <w:pPr>
        <w:spacing w:after="0" w:line="360" w:lineRule="auto"/>
        <w:ind w:firstLine="720"/>
        <w:jc w:val="both"/>
        <w:rPr>
          <w:rFonts w:ascii="Times New Roman" w:eastAsia="Times New Roman" w:hAnsi="Times New Roman" w:cs="Times New Roman"/>
          <w:color w:val="000000"/>
        </w:rPr>
      </w:pPr>
      <w:r w:rsidRPr="00EF3070">
        <w:rPr>
          <w:rFonts w:ascii="Times New Roman" w:eastAsia="Times New Roman" w:hAnsi="Times New Roman" w:cs="Times New Roman"/>
          <w:color w:val="000000"/>
        </w:rPr>
        <w:t>This analytical observational study used a case-control design and was conducted from November 2018 to January 2019 in three villages (</w:t>
      </w:r>
      <w:proofErr w:type="spellStart"/>
      <w:r w:rsidRPr="00EF3070">
        <w:rPr>
          <w:rFonts w:ascii="Times New Roman" w:eastAsia="Times New Roman" w:hAnsi="Times New Roman" w:cs="Times New Roman"/>
          <w:color w:val="000000"/>
        </w:rPr>
        <w:t>Wonosari</w:t>
      </w:r>
      <w:proofErr w:type="spellEnd"/>
      <w:r w:rsidRPr="00EF3070">
        <w:rPr>
          <w:rFonts w:ascii="Times New Roman" w:eastAsia="Times New Roman" w:hAnsi="Times New Roman" w:cs="Times New Roman"/>
          <w:color w:val="000000"/>
        </w:rPr>
        <w:t xml:space="preserve">, </w:t>
      </w:r>
      <w:proofErr w:type="spellStart"/>
      <w:r w:rsidRPr="00EF3070">
        <w:rPr>
          <w:rFonts w:ascii="Times New Roman" w:eastAsia="Times New Roman" w:hAnsi="Times New Roman" w:cs="Times New Roman"/>
          <w:color w:val="000000"/>
        </w:rPr>
        <w:t>Pagergunung</w:t>
      </w:r>
      <w:proofErr w:type="spellEnd"/>
      <w:r w:rsidRPr="00EF3070">
        <w:rPr>
          <w:rFonts w:ascii="Times New Roman" w:eastAsia="Times New Roman" w:hAnsi="Times New Roman" w:cs="Times New Roman"/>
          <w:color w:val="000000"/>
        </w:rPr>
        <w:t xml:space="preserve">, and </w:t>
      </w:r>
      <w:proofErr w:type="spellStart"/>
      <w:r w:rsidRPr="00EF3070">
        <w:rPr>
          <w:rFonts w:ascii="Times New Roman" w:eastAsia="Times New Roman" w:hAnsi="Times New Roman" w:cs="Times New Roman"/>
          <w:color w:val="000000"/>
        </w:rPr>
        <w:t>Gondosuli</w:t>
      </w:r>
      <w:proofErr w:type="spellEnd"/>
      <w:r w:rsidRPr="00EF3070">
        <w:rPr>
          <w:rFonts w:ascii="Times New Roman" w:eastAsia="Times New Roman" w:hAnsi="Times New Roman" w:cs="Times New Roman"/>
          <w:color w:val="000000"/>
        </w:rPr>
        <w:t>) within the Bulu Community Health Center (</w:t>
      </w:r>
      <w:proofErr w:type="spellStart"/>
      <w:r w:rsidRPr="00EF3070">
        <w:rPr>
          <w:rFonts w:ascii="Times New Roman" w:eastAsia="Times New Roman" w:hAnsi="Times New Roman" w:cs="Times New Roman"/>
          <w:color w:val="000000"/>
        </w:rPr>
        <w:t>Puskesmas</w:t>
      </w:r>
      <w:proofErr w:type="spellEnd"/>
      <w:r w:rsidRPr="00EF3070">
        <w:rPr>
          <w:rFonts w:ascii="Times New Roman" w:eastAsia="Times New Roman" w:hAnsi="Times New Roman" w:cs="Times New Roman"/>
          <w:color w:val="000000"/>
        </w:rPr>
        <w:t xml:space="preserve"> Bulu), </w:t>
      </w:r>
      <w:proofErr w:type="spellStart"/>
      <w:r w:rsidRPr="00EF3070">
        <w:rPr>
          <w:rFonts w:ascii="Times New Roman" w:eastAsia="Times New Roman" w:hAnsi="Times New Roman" w:cs="Times New Roman"/>
          <w:color w:val="000000"/>
        </w:rPr>
        <w:t>Temanggung</w:t>
      </w:r>
      <w:proofErr w:type="spellEnd"/>
      <w:r w:rsidRPr="00EF3070">
        <w:rPr>
          <w:rFonts w:ascii="Times New Roman" w:eastAsia="Times New Roman" w:hAnsi="Times New Roman" w:cs="Times New Roman"/>
          <w:color w:val="000000"/>
        </w:rPr>
        <w:t xml:space="preserve"> Regency. The study population consisted of toddlers aged 2-4 years from farming families, with a total sample of 80 toddlers divided </w:t>
      </w:r>
      <w:r w:rsidRPr="00EF3070">
        <w:rPr>
          <w:rFonts w:ascii="Times New Roman" w:eastAsia="Times New Roman" w:hAnsi="Times New Roman" w:cs="Times New Roman"/>
          <w:color w:val="000000"/>
        </w:rPr>
        <w:lastRenderedPageBreak/>
        <w:t xml:space="preserve">equally into case groups (stunting) and control groups (normal). Nutritional status was determined by measuring height using a stadiometer and weight using a digital scale, where subjects were categorized as stunted if the Z-score value of Height/Age &lt;-2 SD based on anthropometric standards. This study has been declared ethically appropriate by the Health Research Ethics Committee of the Faculty of Medicine, </w:t>
      </w:r>
      <w:proofErr w:type="spellStart"/>
      <w:r w:rsidRPr="00EF3070">
        <w:rPr>
          <w:rFonts w:ascii="Times New Roman" w:eastAsia="Times New Roman" w:hAnsi="Times New Roman" w:cs="Times New Roman"/>
          <w:color w:val="000000"/>
        </w:rPr>
        <w:t>Diponegoro</w:t>
      </w:r>
      <w:proofErr w:type="spellEnd"/>
      <w:r w:rsidRPr="00EF3070">
        <w:rPr>
          <w:rFonts w:ascii="Times New Roman" w:eastAsia="Times New Roman" w:hAnsi="Times New Roman" w:cs="Times New Roman"/>
          <w:color w:val="000000"/>
        </w:rPr>
        <w:t xml:space="preserve"> University with the number 111/EC/KEPK/FK/UNDIP/IV/2019.</w:t>
      </w:r>
      <w:r>
        <w:rPr>
          <w:rFonts w:ascii="Times New Roman" w:eastAsia="Times New Roman" w:hAnsi="Times New Roman" w:cs="Times New Roman"/>
          <w:color w:val="000000"/>
        </w:rPr>
        <w:t xml:space="preserve"> </w:t>
      </w:r>
      <w:r w:rsidRPr="00EF3070">
        <w:rPr>
          <w:rFonts w:ascii="Times New Roman" w:eastAsia="Times New Roman" w:hAnsi="Times New Roman" w:cs="Times New Roman"/>
          <w:color w:val="000000"/>
        </w:rPr>
        <w:t xml:space="preserve">Protein and iodine intake data were collected through interviews using a semi-quantitative food frequency questionnaire (SQ-FFQ) form, which was then processed using the </w:t>
      </w:r>
      <w:proofErr w:type="spellStart"/>
      <w:r w:rsidRPr="00EF3070">
        <w:rPr>
          <w:rFonts w:ascii="Times New Roman" w:eastAsia="Times New Roman" w:hAnsi="Times New Roman" w:cs="Times New Roman"/>
          <w:color w:val="000000"/>
        </w:rPr>
        <w:t>Nutrisurvey</w:t>
      </w:r>
      <w:proofErr w:type="spellEnd"/>
      <w:r w:rsidRPr="00EF3070">
        <w:rPr>
          <w:rFonts w:ascii="Times New Roman" w:eastAsia="Times New Roman" w:hAnsi="Times New Roman" w:cs="Times New Roman"/>
          <w:color w:val="000000"/>
        </w:rPr>
        <w:t xml:space="preserve"> 2007 program to be compared with the Recommended Dietary Allowance (RDA). Cigarette smoke exposure history was obtained through a questionnaire, while exposure validation was conducted objectively through laboratory testing of urine cotinine levels using the ELISA method. Data analysis was carried out in stages, including univariate analysis for subject characteristics, bivariate analysis using the Chi-square and Mann-Whitney tests, and multivariate analysis with logistic regression to determine the risk factors most influential on stunting.</w:t>
      </w:r>
    </w:p>
    <w:p w14:paraId="6BFF50E7" w14:textId="77777777" w:rsidR="00EF3070" w:rsidRPr="00EF3070" w:rsidRDefault="00EF3070" w:rsidP="00EF3070">
      <w:pPr>
        <w:spacing w:after="0" w:line="360" w:lineRule="auto"/>
        <w:ind w:firstLine="720"/>
        <w:jc w:val="both"/>
        <w:rPr>
          <w:rFonts w:ascii="Times New Roman" w:eastAsia="Times New Roman" w:hAnsi="Times New Roman" w:cs="Times New Roman"/>
          <w:color w:val="000000"/>
        </w:rPr>
      </w:pPr>
    </w:p>
    <w:p w14:paraId="01850089" w14:textId="77777777" w:rsidR="006E5E16" w:rsidRPr="006E5E16" w:rsidRDefault="00EB66BC" w:rsidP="00893450">
      <w:pPr>
        <w:spacing w:after="0" w:line="360" w:lineRule="auto"/>
        <w:rPr>
          <w:rFonts w:ascii="Times New Roman" w:eastAsia="Times New Roman" w:hAnsi="Times New Roman" w:cs="Times New Roman"/>
          <w:b/>
          <w:bCs/>
          <w:color w:val="000000"/>
        </w:rPr>
      </w:pPr>
      <w:r w:rsidRPr="00A80BE2">
        <w:rPr>
          <w:rFonts w:ascii="Times New Roman" w:eastAsia="Times New Roman" w:hAnsi="Times New Roman" w:cs="Times New Roman"/>
          <w:b/>
          <w:bCs/>
          <w:color w:val="000000"/>
        </w:rPr>
        <w:t>RESULTS</w:t>
      </w:r>
    </w:p>
    <w:p w14:paraId="66722EF4" w14:textId="10EA460F" w:rsidR="00EB66BC" w:rsidRDefault="000610DC" w:rsidP="00893450">
      <w:pPr>
        <w:spacing w:after="0" w:line="360" w:lineRule="auto"/>
        <w:ind w:firstLine="720"/>
        <w:jc w:val="both"/>
        <w:rPr>
          <w:rFonts w:ascii="Times New Roman" w:eastAsia="Times New Roman" w:hAnsi="Times New Roman" w:cs="Times New Roman"/>
          <w:color w:val="111111"/>
        </w:rPr>
      </w:pPr>
      <w:r w:rsidRPr="000610DC">
        <w:rPr>
          <w:rFonts w:ascii="Times New Roman" w:eastAsia="Times New Roman" w:hAnsi="Times New Roman" w:cs="Times New Roman"/>
          <w:color w:val="111111"/>
        </w:rPr>
        <w:t>The analysis results showed no statistically significant differences in the characteristics of age, gender, and parental occupation between the case and control groups (p &gt; 0.05). The majority of parents in both groups worked as farmers (fathers 82.5–90%; mothers 67.5–75%), reflecting the profile of the Bulu District as a tobacco agricultural area. The average age of toddlers in this study was 36.30 months for the case group and 34.52 months for the control group.</w:t>
      </w:r>
      <w:r>
        <w:rPr>
          <w:rFonts w:ascii="Times New Roman" w:eastAsia="Times New Roman" w:hAnsi="Times New Roman" w:cs="Times New Roman"/>
          <w:color w:val="111111"/>
        </w:rPr>
        <w:t xml:space="preserve"> </w:t>
      </w:r>
    </w:p>
    <w:p w14:paraId="458046C5" w14:textId="77777777" w:rsidR="00893450" w:rsidRPr="006E5E16" w:rsidRDefault="00893450" w:rsidP="00893450">
      <w:pPr>
        <w:spacing w:after="0" w:line="360" w:lineRule="auto"/>
        <w:ind w:firstLine="720"/>
        <w:jc w:val="both"/>
        <w:rPr>
          <w:rFonts w:ascii="Calibri" w:eastAsia="Times New Roman" w:hAnsi="Calibri" w:cs="Calibri"/>
          <w:color w:val="000000"/>
        </w:rPr>
      </w:pPr>
    </w:p>
    <w:p w14:paraId="6527C9BB" w14:textId="77777777" w:rsidR="00EB66BC" w:rsidRPr="00EB66BC" w:rsidRDefault="00EB66BC" w:rsidP="00EB66BC">
      <w:pPr>
        <w:spacing w:after="0" w:line="300" w:lineRule="atLeast"/>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Table 1. Comparison of Subject Characteristics Between Case and Control Groups</w:t>
      </w:r>
    </w:p>
    <w:tbl>
      <w:tblPr>
        <w:tblW w:w="8219" w:type="dxa"/>
        <w:jc w:val="center"/>
        <w:tblCellMar>
          <w:left w:w="0" w:type="dxa"/>
          <w:right w:w="0" w:type="dxa"/>
        </w:tblCellMar>
        <w:tblLook w:val="04A0" w:firstRow="1" w:lastRow="0" w:firstColumn="1" w:lastColumn="0" w:noHBand="0" w:noVBand="1"/>
      </w:tblPr>
      <w:tblGrid>
        <w:gridCol w:w="1631"/>
        <w:gridCol w:w="1333"/>
        <w:gridCol w:w="1334"/>
        <w:gridCol w:w="1186"/>
        <w:gridCol w:w="148"/>
        <w:gridCol w:w="1527"/>
        <w:gridCol w:w="103"/>
        <w:gridCol w:w="957"/>
      </w:tblGrid>
      <w:tr w:rsidR="00EB66BC" w:rsidRPr="00EB66BC" w14:paraId="672AB005" w14:textId="77777777" w:rsidTr="00893450">
        <w:trPr>
          <w:trHeight w:val="339"/>
          <w:jc w:val="center"/>
        </w:trPr>
        <w:tc>
          <w:tcPr>
            <w:tcW w:w="1631" w:type="dxa"/>
            <w:tcBorders>
              <w:top w:val="single" w:sz="6" w:space="0" w:color="7F7F7F"/>
              <w:bottom w:val="single" w:sz="6" w:space="0" w:color="auto"/>
            </w:tcBorders>
            <w:tcMar>
              <w:top w:w="0" w:type="dxa"/>
              <w:left w:w="108" w:type="dxa"/>
              <w:bottom w:w="0" w:type="dxa"/>
              <w:right w:w="108" w:type="dxa"/>
            </w:tcMar>
            <w:hideMark/>
          </w:tcPr>
          <w:p w14:paraId="427306CA"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b/>
                <w:bCs/>
                <w:sz w:val="20"/>
                <w:szCs w:val="20"/>
              </w:rPr>
              <w:t>Characteristics</w:t>
            </w:r>
          </w:p>
        </w:tc>
        <w:tc>
          <w:tcPr>
            <w:tcW w:w="2667" w:type="dxa"/>
            <w:gridSpan w:val="2"/>
            <w:tcBorders>
              <w:top w:val="single" w:sz="6" w:space="0" w:color="7F7F7F"/>
              <w:bottom w:val="single" w:sz="6" w:space="0" w:color="auto"/>
            </w:tcBorders>
            <w:tcMar>
              <w:top w:w="0" w:type="dxa"/>
              <w:left w:w="108" w:type="dxa"/>
              <w:bottom w:w="0" w:type="dxa"/>
              <w:right w:w="108" w:type="dxa"/>
            </w:tcMar>
            <w:hideMark/>
          </w:tcPr>
          <w:p w14:paraId="51D856E3"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b/>
                <w:bCs/>
                <w:sz w:val="20"/>
                <w:szCs w:val="20"/>
              </w:rPr>
              <w:t>Case</w:t>
            </w:r>
          </w:p>
        </w:tc>
        <w:tc>
          <w:tcPr>
            <w:tcW w:w="2861" w:type="dxa"/>
            <w:gridSpan w:val="3"/>
            <w:tcBorders>
              <w:top w:val="single" w:sz="6" w:space="0" w:color="7F7F7F"/>
              <w:bottom w:val="single" w:sz="6" w:space="0" w:color="auto"/>
            </w:tcBorders>
            <w:tcMar>
              <w:top w:w="0" w:type="dxa"/>
              <w:left w:w="108" w:type="dxa"/>
              <w:bottom w:w="0" w:type="dxa"/>
              <w:right w:w="108" w:type="dxa"/>
            </w:tcMar>
            <w:hideMark/>
          </w:tcPr>
          <w:p w14:paraId="738A24B1"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b/>
                <w:bCs/>
                <w:sz w:val="20"/>
                <w:szCs w:val="20"/>
              </w:rPr>
              <w:t>Control</w:t>
            </w:r>
          </w:p>
        </w:tc>
        <w:tc>
          <w:tcPr>
            <w:tcW w:w="1060" w:type="dxa"/>
            <w:gridSpan w:val="2"/>
            <w:tcBorders>
              <w:top w:val="single" w:sz="6" w:space="0" w:color="7F7F7F"/>
              <w:bottom w:val="single" w:sz="6" w:space="0" w:color="auto"/>
            </w:tcBorders>
            <w:tcMar>
              <w:top w:w="0" w:type="dxa"/>
              <w:left w:w="108" w:type="dxa"/>
              <w:bottom w:w="0" w:type="dxa"/>
              <w:right w:w="108" w:type="dxa"/>
            </w:tcMar>
            <w:hideMark/>
          </w:tcPr>
          <w:p w14:paraId="15AE9F8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b/>
                <w:bCs/>
                <w:sz w:val="20"/>
                <w:szCs w:val="20"/>
              </w:rPr>
              <w:t>P value</w:t>
            </w:r>
          </w:p>
        </w:tc>
      </w:tr>
      <w:tr w:rsidR="00EB66BC" w:rsidRPr="00EB66BC" w14:paraId="3622FD2B" w14:textId="77777777" w:rsidTr="00893450">
        <w:trPr>
          <w:trHeight w:val="227"/>
          <w:jc w:val="center"/>
        </w:trPr>
        <w:tc>
          <w:tcPr>
            <w:tcW w:w="1631" w:type="dxa"/>
            <w:tcBorders>
              <w:top w:val="single" w:sz="6" w:space="0" w:color="7F7F7F"/>
              <w:bottom w:val="single" w:sz="6" w:space="0" w:color="auto"/>
            </w:tcBorders>
            <w:tcMar>
              <w:top w:w="0" w:type="dxa"/>
              <w:left w:w="108" w:type="dxa"/>
              <w:bottom w:w="0" w:type="dxa"/>
              <w:right w:w="108" w:type="dxa"/>
            </w:tcMar>
            <w:hideMark/>
          </w:tcPr>
          <w:p w14:paraId="6BAF8F93"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3" w:type="dxa"/>
            <w:tcBorders>
              <w:top w:val="single" w:sz="6" w:space="0" w:color="7F7F7F"/>
              <w:bottom w:val="single" w:sz="6" w:space="0" w:color="auto"/>
            </w:tcBorders>
            <w:tcMar>
              <w:top w:w="0" w:type="dxa"/>
              <w:left w:w="108" w:type="dxa"/>
              <w:bottom w:w="0" w:type="dxa"/>
              <w:right w:w="108" w:type="dxa"/>
            </w:tcMar>
            <w:hideMark/>
          </w:tcPr>
          <w:p w14:paraId="4923D97C"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Mean ± SD</w:t>
            </w:r>
          </w:p>
        </w:tc>
        <w:tc>
          <w:tcPr>
            <w:tcW w:w="1334" w:type="dxa"/>
            <w:tcBorders>
              <w:top w:val="single" w:sz="6" w:space="0" w:color="7F7F7F"/>
              <w:bottom w:val="single" w:sz="6" w:space="0" w:color="auto"/>
            </w:tcBorders>
            <w:tcMar>
              <w:top w:w="0" w:type="dxa"/>
              <w:left w:w="108" w:type="dxa"/>
              <w:bottom w:w="0" w:type="dxa"/>
              <w:right w:w="108" w:type="dxa"/>
            </w:tcMar>
            <w:hideMark/>
          </w:tcPr>
          <w:p w14:paraId="7F5B573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proofErr w:type="gramStart"/>
            <w:r w:rsidRPr="00EB66BC">
              <w:rPr>
                <w:rFonts w:ascii="Times New Roman" w:eastAsia="Times New Roman" w:hAnsi="Times New Roman" w:cs="Times New Roman"/>
                <w:sz w:val="20"/>
                <w:szCs w:val="20"/>
              </w:rPr>
              <w:t>n(</w:t>
            </w:r>
            <w:proofErr w:type="gramEnd"/>
            <w:r w:rsidRPr="00EB66BC">
              <w:rPr>
                <w:rFonts w:ascii="Times New Roman" w:eastAsia="Times New Roman" w:hAnsi="Times New Roman" w:cs="Times New Roman"/>
                <w:sz w:val="20"/>
                <w:szCs w:val="20"/>
              </w:rPr>
              <w:t>min, max)</w:t>
            </w:r>
          </w:p>
        </w:tc>
        <w:tc>
          <w:tcPr>
            <w:tcW w:w="1186" w:type="dxa"/>
            <w:tcBorders>
              <w:top w:val="single" w:sz="6" w:space="0" w:color="7F7F7F"/>
              <w:bottom w:val="single" w:sz="6" w:space="0" w:color="auto"/>
            </w:tcBorders>
            <w:tcMar>
              <w:top w:w="0" w:type="dxa"/>
              <w:left w:w="108" w:type="dxa"/>
              <w:bottom w:w="0" w:type="dxa"/>
              <w:right w:w="108" w:type="dxa"/>
            </w:tcMar>
            <w:hideMark/>
          </w:tcPr>
          <w:p w14:paraId="6E2DCBC5"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Mean ± SD</w:t>
            </w:r>
          </w:p>
        </w:tc>
        <w:tc>
          <w:tcPr>
            <w:tcW w:w="1675" w:type="dxa"/>
            <w:gridSpan w:val="2"/>
            <w:tcBorders>
              <w:top w:val="single" w:sz="6" w:space="0" w:color="7F7F7F"/>
              <w:bottom w:val="single" w:sz="6" w:space="0" w:color="auto"/>
            </w:tcBorders>
            <w:tcMar>
              <w:top w:w="0" w:type="dxa"/>
              <w:left w:w="108" w:type="dxa"/>
              <w:bottom w:w="0" w:type="dxa"/>
              <w:right w:w="108" w:type="dxa"/>
            </w:tcMar>
            <w:hideMark/>
          </w:tcPr>
          <w:p w14:paraId="6DEF28E5"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proofErr w:type="gramStart"/>
            <w:r w:rsidRPr="00EB66BC">
              <w:rPr>
                <w:rFonts w:ascii="Times New Roman" w:eastAsia="Times New Roman" w:hAnsi="Times New Roman" w:cs="Times New Roman"/>
                <w:sz w:val="20"/>
                <w:szCs w:val="20"/>
              </w:rPr>
              <w:t>n(</w:t>
            </w:r>
            <w:proofErr w:type="gramEnd"/>
            <w:r w:rsidRPr="00EB66BC">
              <w:rPr>
                <w:rFonts w:ascii="Times New Roman" w:eastAsia="Times New Roman" w:hAnsi="Times New Roman" w:cs="Times New Roman"/>
                <w:sz w:val="20"/>
                <w:szCs w:val="20"/>
              </w:rPr>
              <w:t>min, max)</w:t>
            </w:r>
          </w:p>
        </w:tc>
        <w:tc>
          <w:tcPr>
            <w:tcW w:w="1060" w:type="dxa"/>
            <w:gridSpan w:val="2"/>
            <w:tcBorders>
              <w:top w:val="single" w:sz="6" w:space="0" w:color="7F7F7F"/>
              <w:bottom w:val="single" w:sz="6" w:space="0" w:color="auto"/>
            </w:tcBorders>
            <w:tcMar>
              <w:top w:w="0" w:type="dxa"/>
              <w:left w:w="108" w:type="dxa"/>
              <w:bottom w:w="0" w:type="dxa"/>
              <w:right w:w="108" w:type="dxa"/>
            </w:tcMar>
            <w:hideMark/>
          </w:tcPr>
          <w:p w14:paraId="0B00BB6D"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r>
      <w:tr w:rsidR="00EB66BC" w:rsidRPr="00EB66BC" w14:paraId="5E113C56" w14:textId="77777777" w:rsidTr="00893450">
        <w:trPr>
          <w:trHeight w:val="227"/>
          <w:jc w:val="center"/>
        </w:trPr>
        <w:tc>
          <w:tcPr>
            <w:tcW w:w="1631" w:type="dxa"/>
            <w:tcBorders>
              <w:top w:val="single" w:sz="6" w:space="0" w:color="auto"/>
            </w:tcBorders>
            <w:tcMar>
              <w:top w:w="0" w:type="dxa"/>
              <w:left w:w="108" w:type="dxa"/>
              <w:bottom w:w="0" w:type="dxa"/>
              <w:right w:w="108" w:type="dxa"/>
            </w:tcMar>
            <w:hideMark/>
          </w:tcPr>
          <w:p w14:paraId="775739C7"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Age (months)</w:t>
            </w:r>
          </w:p>
          <w:p w14:paraId="68507B5B"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Gender</w:t>
            </w:r>
          </w:p>
        </w:tc>
        <w:tc>
          <w:tcPr>
            <w:tcW w:w="1333" w:type="dxa"/>
            <w:tcBorders>
              <w:top w:val="single" w:sz="6" w:space="0" w:color="auto"/>
            </w:tcBorders>
            <w:tcMar>
              <w:top w:w="0" w:type="dxa"/>
              <w:left w:w="108" w:type="dxa"/>
              <w:bottom w:w="0" w:type="dxa"/>
              <w:right w:w="108" w:type="dxa"/>
            </w:tcMar>
            <w:hideMark/>
          </w:tcPr>
          <w:p w14:paraId="729939D5"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36.30 </w:t>
            </w:r>
            <w:r w:rsidRPr="00EB66BC">
              <w:rPr>
                <w:rFonts w:ascii="Times New Roman" w:eastAsia="Times New Roman" w:hAnsi="Times New Roman" w:cs="Times New Roman"/>
                <w:sz w:val="20"/>
                <w:szCs w:val="20"/>
                <w:u w:val="single"/>
              </w:rPr>
              <w:t>+ </w:t>
            </w:r>
            <w:r w:rsidRPr="00EB66BC">
              <w:rPr>
                <w:rFonts w:ascii="Times New Roman" w:eastAsia="Times New Roman" w:hAnsi="Times New Roman" w:cs="Times New Roman"/>
                <w:sz w:val="20"/>
                <w:szCs w:val="20"/>
              </w:rPr>
              <w:t>6.93</w:t>
            </w:r>
          </w:p>
        </w:tc>
        <w:tc>
          <w:tcPr>
            <w:tcW w:w="1334" w:type="dxa"/>
            <w:tcBorders>
              <w:top w:val="single" w:sz="6" w:space="0" w:color="auto"/>
            </w:tcBorders>
            <w:tcMar>
              <w:top w:w="0" w:type="dxa"/>
              <w:left w:w="108" w:type="dxa"/>
              <w:bottom w:w="0" w:type="dxa"/>
              <w:right w:w="108" w:type="dxa"/>
            </w:tcMar>
            <w:hideMark/>
          </w:tcPr>
          <w:p w14:paraId="7B4C902B"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40 (24 – 48)</w:t>
            </w:r>
          </w:p>
          <w:p w14:paraId="4343C220"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proofErr w:type="gramStart"/>
            <w:r w:rsidRPr="00EB66BC">
              <w:rPr>
                <w:rFonts w:ascii="Times New Roman" w:eastAsia="Times New Roman" w:hAnsi="Times New Roman" w:cs="Times New Roman"/>
                <w:i/>
                <w:iCs/>
                <w:sz w:val="20"/>
                <w:szCs w:val="20"/>
              </w:rPr>
              <w:t>n(</w:t>
            </w:r>
            <w:proofErr w:type="gramEnd"/>
            <w:r w:rsidRPr="00EB66BC">
              <w:rPr>
                <w:rFonts w:ascii="Times New Roman" w:eastAsia="Times New Roman" w:hAnsi="Times New Roman" w:cs="Times New Roman"/>
                <w:i/>
                <w:iCs/>
                <w:sz w:val="20"/>
                <w:szCs w:val="20"/>
              </w:rPr>
              <w:t>%)</w:t>
            </w:r>
          </w:p>
        </w:tc>
        <w:tc>
          <w:tcPr>
            <w:tcW w:w="1334" w:type="dxa"/>
            <w:gridSpan w:val="2"/>
            <w:tcBorders>
              <w:top w:val="single" w:sz="6" w:space="0" w:color="auto"/>
            </w:tcBorders>
            <w:tcMar>
              <w:top w:w="0" w:type="dxa"/>
              <w:left w:w="108" w:type="dxa"/>
              <w:bottom w:w="0" w:type="dxa"/>
              <w:right w:w="108" w:type="dxa"/>
            </w:tcMar>
            <w:hideMark/>
          </w:tcPr>
          <w:p w14:paraId="197B0CE2"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34.52 </w:t>
            </w:r>
            <w:r w:rsidRPr="00EB66BC">
              <w:rPr>
                <w:rFonts w:ascii="Times New Roman" w:eastAsia="Times New Roman" w:hAnsi="Times New Roman" w:cs="Times New Roman"/>
                <w:sz w:val="20"/>
                <w:szCs w:val="20"/>
                <w:u w:val="single"/>
              </w:rPr>
              <w:t>+ </w:t>
            </w:r>
            <w:r w:rsidRPr="00EB66BC">
              <w:rPr>
                <w:rFonts w:ascii="Times New Roman" w:eastAsia="Times New Roman" w:hAnsi="Times New Roman" w:cs="Times New Roman"/>
                <w:sz w:val="20"/>
                <w:szCs w:val="20"/>
              </w:rPr>
              <w:t>7.15</w:t>
            </w:r>
          </w:p>
        </w:tc>
        <w:tc>
          <w:tcPr>
            <w:tcW w:w="1630" w:type="dxa"/>
            <w:gridSpan w:val="2"/>
            <w:tcBorders>
              <w:top w:val="single" w:sz="6" w:space="0" w:color="auto"/>
            </w:tcBorders>
            <w:tcMar>
              <w:top w:w="0" w:type="dxa"/>
              <w:left w:w="108" w:type="dxa"/>
              <w:bottom w:w="0" w:type="dxa"/>
              <w:right w:w="108" w:type="dxa"/>
            </w:tcMar>
            <w:hideMark/>
          </w:tcPr>
          <w:p w14:paraId="20AA09FA"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40 (24 – 48)</w:t>
            </w:r>
          </w:p>
          <w:p w14:paraId="364D876D"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proofErr w:type="gramStart"/>
            <w:r w:rsidRPr="00EB66BC">
              <w:rPr>
                <w:rFonts w:ascii="Times New Roman" w:eastAsia="Times New Roman" w:hAnsi="Times New Roman" w:cs="Times New Roman"/>
                <w:i/>
                <w:iCs/>
                <w:sz w:val="20"/>
                <w:szCs w:val="20"/>
              </w:rPr>
              <w:t>n(</w:t>
            </w:r>
            <w:proofErr w:type="gramEnd"/>
            <w:r w:rsidRPr="00EB66BC">
              <w:rPr>
                <w:rFonts w:ascii="Times New Roman" w:eastAsia="Times New Roman" w:hAnsi="Times New Roman" w:cs="Times New Roman"/>
                <w:i/>
                <w:iCs/>
                <w:sz w:val="20"/>
                <w:szCs w:val="20"/>
              </w:rPr>
              <w:t>%)</w:t>
            </w:r>
          </w:p>
        </w:tc>
        <w:tc>
          <w:tcPr>
            <w:tcW w:w="957" w:type="dxa"/>
            <w:tcBorders>
              <w:top w:val="single" w:sz="6" w:space="0" w:color="auto"/>
            </w:tcBorders>
            <w:tcMar>
              <w:top w:w="0" w:type="dxa"/>
              <w:left w:w="108" w:type="dxa"/>
              <w:bottom w:w="0" w:type="dxa"/>
              <w:right w:w="108" w:type="dxa"/>
            </w:tcMar>
            <w:hideMark/>
          </w:tcPr>
          <w:p w14:paraId="57511EA3"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0.263 </w:t>
            </w:r>
            <w:r w:rsidRPr="006E5E16">
              <w:rPr>
                <w:rFonts w:ascii="Times New Roman" w:eastAsia="Times New Roman" w:hAnsi="Times New Roman" w:cs="Times New Roman"/>
                <w:sz w:val="20"/>
                <w:szCs w:val="20"/>
                <w:vertAlign w:val="superscript"/>
              </w:rPr>
              <w:t>a</w:t>
            </w:r>
          </w:p>
        </w:tc>
      </w:tr>
      <w:tr w:rsidR="00EB66BC" w:rsidRPr="00EB66BC" w14:paraId="77307629" w14:textId="77777777" w:rsidTr="00893450">
        <w:trPr>
          <w:trHeight w:val="227"/>
          <w:jc w:val="center"/>
        </w:trPr>
        <w:tc>
          <w:tcPr>
            <w:tcW w:w="1631" w:type="dxa"/>
            <w:tcMar>
              <w:top w:w="0" w:type="dxa"/>
              <w:left w:w="108" w:type="dxa"/>
              <w:bottom w:w="0" w:type="dxa"/>
              <w:right w:w="108" w:type="dxa"/>
            </w:tcMar>
            <w:hideMark/>
          </w:tcPr>
          <w:p w14:paraId="5644A960"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Man</w:t>
            </w:r>
          </w:p>
        </w:tc>
        <w:tc>
          <w:tcPr>
            <w:tcW w:w="1333" w:type="dxa"/>
            <w:tcMar>
              <w:top w:w="0" w:type="dxa"/>
              <w:left w:w="108" w:type="dxa"/>
              <w:bottom w:w="0" w:type="dxa"/>
              <w:right w:w="108" w:type="dxa"/>
            </w:tcMar>
            <w:hideMark/>
          </w:tcPr>
          <w:p w14:paraId="2322A490"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030FF63E"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21 (52.5)</w:t>
            </w:r>
          </w:p>
        </w:tc>
        <w:tc>
          <w:tcPr>
            <w:tcW w:w="1186" w:type="dxa"/>
            <w:tcMar>
              <w:top w:w="0" w:type="dxa"/>
              <w:left w:w="108" w:type="dxa"/>
              <w:bottom w:w="0" w:type="dxa"/>
              <w:right w:w="108" w:type="dxa"/>
            </w:tcMar>
            <w:hideMark/>
          </w:tcPr>
          <w:p w14:paraId="16665868"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6F5A43E1"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16 (40)</w:t>
            </w:r>
          </w:p>
        </w:tc>
        <w:tc>
          <w:tcPr>
            <w:tcW w:w="1060" w:type="dxa"/>
            <w:gridSpan w:val="2"/>
            <w:tcMar>
              <w:top w:w="0" w:type="dxa"/>
              <w:left w:w="108" w:type="dxa"/>
              <w:bottom w:w="0" w:type="dxa"/>
              <w:right w:w="108" w:type="dxa"/>
            </w:tcMar>
            <w:hideMark/>
          </w:tcPr>
          <w:p w14:paraId="74EB051F"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0.370 </w:t>
            </w:r>
            <w:r w:rsidRPr="006E5E16">
              <w:rPr>
                <w:rFonts w:ascii="Times New Roman" w:eastAsia="Times New Roman" w:hAnsi="Times New Roman" w:cs="Times New Roman"/>
                <w:sz w:val="20"/>
                <w:szCs w:val="20"/>
                <w:vertAlign w:val="superscript"/>
              </w:rPr>
              <w:t>b</w:t>
            </w:r>
          </w:p>
        </w:tc>
      </w:tr>
      <w:tr w:rsidR="00EB66BC" w:rsidRPr="00EB66BC" w14:paraId="7734ED9C" w14:textId="77777777" w:rsidTr="00893450">
        <w:trPr>
          <w:trHeight w:val="227"/>
          <w:jc w:val="center"/>
        </w:trPr>
        <w:tc>
          <w:tcPr>
            <w:tcW w:w="1631" w:type="dxa"/>
            <w:tcMar>
              <w:top w:w="0" w:type="dxa"/>
              <w:left w:w="108" w:type="dxa"/>
              <w:bottom w:w="0" w:type="dxa"/>
              <w:right w:w="108" w:type="dxa"/>
            </w:tcMar>
            <w:hideMark/>
          </w:tcPr>
          <w:p w14:paraId="1932057F"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Woman</w:t>
            </w:r>
          </w:p>
        </w:tc>
        <w:tc>
          <w:tcPr>
            <w:tcW w:w="1333" w:type="dxa"/>
            <w:tcMar>
              <w:top w:w="0" w:type="dxa"/>
              <w:left w:w="108" w:type="dxa"/>
              <w:bottom w:w="0" w:type="dxa"/>
              <w:right w:w="108" w:type="dxa"/>
            </w:tcMar>
            <w:hideMark/>
          </w:tcPr>
          <w:p w14:paraId="2F09A3B1"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1FD98CE0"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19 (47.5)</w:t>
            </w:r>
          </w:p>
        </w:tc>
        <w:tc>
          <w:tcPr>
            <w:tcW w:w="1186" w:type="dxa"/>
            <w:tcMar>
              <w:top w:w="0" w:type="dxa"/>
              <w:left w:w="108" w:type="dxa"/>
              <w:bottom w:w="0" w:type="dxa"/>
              <w:right w:w="108" w:type="dxa"/>
            </w:tcMar>
            <w:hideMark/>
          </w:tcPr>
          <w:p w14:paraId="77FE437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706F211E"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24 (60)</w:t>
            </w:r>
          </w:p>
        </w:tc>
        <w:tc>
          <w:tcPr>
            <w:tcW w:w="1060" w:type="dxa"/>
            <w:gridSpan w:val="2"/>
            <w:tcMar>
              <w:top w:w="0" w:type="dxa"/>
              <w:left w:w="108" w:type="dxa"/>
              <w:bottom w:w="0" w:type="dxa"/>
              <w:right w:w="108" w:type="dxa"/>
            </w:tcMar>
            <w:hideMark/>
          </w:tcPr>
          <w:p w14:paraId="72566386"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 </w:t>
            </w:r>
          </w:p>
        </w:tc>
      </w:tr>
      <w:tr w:rsidR="00EB66BC" w:rsidRPr="00EB66BC" w14:paraId="71B30325" w14:textId="77777777" w:rsidTr="00893450">
        <w:trPr>
          <w:trHeight w:val="227"/>
          <w:jc w:val="center"/>
        </w:trPr>
        <w:tc>
          <w:tcPr>
            <w:tcW w:w="1631" w:type="dxa"/>
            <w:tcMar>
              <w:top w:w="0" w:type="dxa"/>
              <w:left w:w="108" w:type="dxa"/>
              <w:bottom w:w="0" w:type="dxa"/>
              <w:right w:w="108" w:type="dxa"/>
            </w:tcMar>
            <w:hideMark/>
          </w:tcPr>
          <w:p w14:paraId="448C6319"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Father's occupation</w:t>
            </w:r>
          </w:p>
        </w:tc>
        <w:tc>
          <w:tcPr>
            <w:tcW w:w="1333" w:type="dxa"/>
            <w:tcMar>
              <w:top w:w="0" w:type="dxa"/>
              <w:left w:w="108" w:type="dxa"/>
              <w:bottom w:w="0" w:type="dxa"/>
              <w:right w:w="108" w:type="dxa"/>
            </w:tcMar>
            <w:hideMark/>
          </w:tcPr>
          <w:p w14:paraId="58C27F70"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389FBEDC"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186" w:type="dxa"/>
            <w:tcMar>
              <w:top w:w="0" w:type="dxa"/>
              <w:left w:w="108" w:type="dxa"/>
              <w:bottom w:w="0" w:type="dxa"/>
              <w:right w:w="108" w:type="dxa"/>
            </w:tcMar>
            <w:hideMark/>
          </w:tcPr>
          <w:p w14:paraId="6369C939"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6C597E99"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060" w:type="dxa"/>
            <w:gridSpan w:val="2"/>
            <w:tcMar>
              <w:top w:w="0" w:type="dxa"/>
              <w:left w:w="108" w:type="dxa"/>
              <w:bottom w:w="0" w:type="dxa"/>
              <w:right w:w="108" w:type="dxa"/>
            </w:tcMar>
            <w:hideMark/>
          </w:tcPr>
          <w:p w14:paraId="405AAD31"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 </w:t>
            </w:r>
          </w:p>
        </w:tc>
      </w:tr>
      <w:tr w:rsidR="00EB66BC" w:rsidRPr="00EB66BC" w14:paraId="493679BB" w14:textId="77777777" w:rsidTr="00893450">
        <w:trPr>
          <w:trHeight w:val="227"/>
          <w:jc w:val="center"/>
        </w:trPr>
        <w:tc>
          <w:tcPr>
            <w:tcW w:w="1631" w:type="dxa"/>
            <w:tcMar>
              <w:top w:w="0" w:type="dxa"/>
              <w:left w:w="108" w:type="dxa"/>
              <w:bottom w:w="0" w:type="dxa"/>
              <w:right w:w="108" w:type="dxa"/>
            </w:tcMar>
            <w:hideMark/>
          </w:tcPr>
          <w:p w14:paraId="7B8C942E"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Farmer</w:t>
            </w:r>
          </w:p>
        </w:tc>
        <w:tc>
          <w:tcPr>
            <w:tcW w:w="1333" w:type="dxa"/>
            <w:tcMar>
              <w:top w:w="0" w:type="dxa"/>
              <w:left w:w="108" w:type="dxa"/>
              <w:bottom w:w="0" w:type="dxa"/>
              <w:right w:w="108" w:type="dxa"/>
            </w:tcMar>
            <w:hideMark/>
          </w:tcPr>
          <w:p w14:paraId="5B1D9EB9"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1A5EFC58"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33 (82.5)</w:t>
            </w:r>
          </w:p>
        </w:tc>
        <w:tc>
          <w:tcPr>
            <w:tcW w:w="1186" w:type="dxa"/>
            <w:tcMar>
              <w:top w:w="0" w:type="dxa"/>
              <w:left w:w="108" w:type="dxa"/>
              <w:bottom w:w="0" w:type="dxa"/>
              <w:right w:w="108" w:type="dxa"/>
            </w:tcMar>
            <w:hideMark/>
          </w:tcPr>
          <w:p w14:paraId="49038D5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2852267D"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36 (90)</w:t>
            </w:r>
          </w:p>
        </w:tc>
        <w:tc>
          <w:tcPr>
            <w:tcW w:w="1060" w:type="dxa"/>
            <w:gridSpan w:val="2"/>
            <w:tcMar>
              <w:top w:w="0" w:type="dxa"/>
              <w:left w:w="108" w:type="dxa"/>
              <w:bottom w:w="0" w:type="dxa"/>
              <w:right w:w="108" w:type="dxa"/>
            </w:tcMar>
            <w:hideMark/>
          </w:tcPr>
          <w:p w14:paraId="729B41C1"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0.516 </w:t>
            </w:r>
            <w:r w:rsidRPr="006E5E16">
              <w:rPr>
                <w:rFonts w:ascii="Times New Roman" w:eastAsia="Times New Roman" w:hAnsi="Times New Roman" w:cs="Times New Roman"/>
                <w:sz w:val="20"/>
                <w:szCs w:val="20"/>
                <w:vertAlign w:val="superscript"/>
              </w:rPr>
              <w:t>b</w:t>
            </w:r>
          </w:p>
        </w:tc>
      </w:tr>
      <w:tr w:rsidR="00EB66BC" w:rsidRPr="00EB66BC" w14:paraId="4FA1B033" w14:textId="77777777" w:rsidTr="00893450">
        <w:trPr>
          <w:trHeight w:val="227"/>
          <w:jc w:val="center"/>
        </w:trPr>
        <w:tc>
          <w:tcPr>
            <w:tcW w:w="1631" w:type="dxa"/>
            <w:tcMar>
              <w:top w:w="0" w:type="dxa"/>
              <w:left w:w="108" w:type="dxa"/>
              <w:bottom w:w="0" w:type="dxa"/>
              <w:right w:w="108" w:type="dxa"/>
            </w:tcMar>
            <w:hideMark/>
          </w:tcPr>
          <w:p w14:paraId="49E8D512" w14:textId="77777777" w:rsidR="00EB66BC" w:rsidRPr="0077369A" w:rsidRDefault="00EB66BC" w:rsidP="00EB66BC">
            <w:pPr>
              <w:spacing w:after="0" w:line="240" w:lineRule="auto"/>
              <w:jc w:val="both"/>
              <w:rPr>
                <w:rFonts w:ascii="Times New Roman" w:eastAsia="Times New Roman" w:hAnsi="Times New Roman" w:cs="Times New Roman"/>
                <w:sz w:val="20"/>
                <w:szCs w:val="20"/>
                <w:lang w:val="id-ID"/>
              </w:rPr>
            </w:pPr>
            <w:r w:rsidRPr="00EB66BC">
              <w:rPr>
                <w:rFonts w:ascii="Times New Roman" w:eastAsia="Times New Roman" w:hAnsi="Times New Roman" w:cs="Times New Roman"/>
                <w:sz w:val="20"/>
                <w:szCs w:val="20"/>
              </w:rPr>
              <w:t>Other</w:t>
            </w:r>
            <w:r w:rsidR="0077369A">
              <w:rPr>
                <w:rFonts w:ascii="Times New Roman" w:eastAsia="Times New Roman" w:hAnsi="Times New Roman" w:cs="Times New Roman"/>
                <w:sz w:val="20"/>
                <w:szCs w:val="20"/>
                <w:lang w:val="id-ID"/>
              </w:rPr>
              <w:t>s</w:t>
            </w:r>
          </w:p>
        </w:tc>
        <w:tc>
          <w:tcPr>
            <w:tcW w:w="1333" w:type="dxa"/>
            <w:tcMar>
              <w:top w:w="0" w:type="dxa"/>
              <w:left w:w="108" w:type="dxa"/>
              <w:bottom w:w="0" w:type="dxa"/>
              <w:right w:w="108" w:type="dxa"/>
            </w:tcMar>
            <w:hideMark/>
          </w:tcPr>
          <w:p w14:paraId="0443011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198D71E6"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7 (27.5)</w:t>
            </w:r>
          </w:p>
        </w:tc>
        <w:tc>
          <w:tcPr>
            <w:tcW w:w="1186" w:type="dxa"/>
            <w:tcMar>
              <w:top w:w="0" w:type="dxa"/>
              <w:left w:w="108" w:type="dxa"/>
              <w:bottom w:w="0" w:type="dxa"/>
              <w:right w:w="108" w:type="dxa"/>
            </w:tcMar>
            <w:hideMark/>
          </w:tcPr>
          <w:p w14:paraId="6257544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4B490BD2"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4 (10)</w:t>
            </w:r>
          </w:p>
        </w:tc>
        <w:tc>
          <w:tcPr>
            <w:tcW w:w="1060" w:type="dxa"/>
            <w:gridSpan w:val="2"/>
            <w:tcMar>
              <w:top w:w="0" w:type="dxa"/>
              <w:left w:w="108" w:type="dxa"/>
              <w:bottom w:w="0" w:type="dxa"/>
              <w:right w:w="108" w:type="dxa"/>
            </w:tcMar>
            <w:hideMark/>
          </w:tcPr>
          <w:p w14:paraId="4C5763EF"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 </w:t>
            </w:r>
          </w:p>
        </w:tc>
      </w:tr>
      <w:tr w:rsidR="00EB66BC" w:rsidRPr="00EB66BC" w14:paraId="33F6F16F" w14:textId="77777777" w:rsidTr="00893450">
        <w:trPr>
          <w:trHeight w:val="227"/>
          <w:jc w:val="center"/>
        </w:trPr>
        <w:tc>
          <w:tcPr>
            <w:tcW w:w="1631" w:type="dxa"/>
            <w:tcMar>
              <w:top w:w="0" w:type="dxa"/>
              <w:left w:w="108" w:type="dxa"/>
              <w:bottom w:w="0" w:type="dxa"/>
              <w:right w:w="108" w:type="dxa"/>
            </w:tcMar>
            <w:hideMark/>
          </w:tcPr>
          <w:p w14:paraId="08F16F58"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Mother's Job</w:t>
            </w:r>
          </w:p>
        </w:tc>
        <w:tc>
          <w:tcPr>
            <w:tcW w:w="1333" w:type="dxa"/>
            <w:tcMar>
              <w:top w:w="0" w:type="dxa"/>
              <w:left w:w="108" w:type="dxa"/>
              <w:bottom w:w="0" w:type="dxa"/>
              <w:right w:w="108" w:type="dxa"/>
            </w:tcMar>
            <w:hideMark/>
          </w:tcPr>
          <w:p w14:paraId="31493C24"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6194FB41"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186" w:type="dxa"/>
            <w:tcMar>
              <w:top w:w="0" w:type="dxa"/>
              <w:left w:w="108" w:type="dxa"/>
              <w:bottom w:w="0" w:type="dxa"/>
              <w:right w:w="108" w:type="dxa"/>
            </w:tcMar>
            <w:hideMark/>
          </w:tcPr>
          <w:p w14:paraId="2B77E613"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31C22B3D"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060" w:type="dxa"/>
            <w:gridSpan w:val="2"/>
            <w:tcMar>
              <w:top w:w="0" w:type="dxa"/>
              <w:left w:w="108" w:type="dxa"/>
              <w:bottom w:w="0" w:type="dxa"/>
              <w:right w:w="108" w:type="dxa"/>
            </w:tcMar>
            <w:hideMark/>
          </w:tcPr>
          <w:p w14:paraId="01018FD1"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 </w:t>
            </w:r>
          </w:p>
        </w:tc>
      </w:tr>
      <w:tr w:rsidR="00EB66BC" w:rsidRPr="00EB66BC" w14:paraId="6C9FCB3E" w14:textId="77777777" w:rsidTr="00893450">
        <w:trPr>
          <w:trHeight w:val="227"/>
          <w:jc w:val="center"/>
        </w:trPr>
        <w:tc>
          <w:tcPr>
            <w:tcW w:w="1631" w:type="dxa"/>
            <w:tcMar>
              <w:top w:w="0" w:type="dxa"/>
              <w:left w:w="108" w:type="dxa"/>
              <w:bottom w:w="0" w:type="dxa"/>
              <w:right w:w="108" w:type="dxa"/>
            </w:tcMar>
            <w:hideMark/>
          </w:tcPr>
          <w:p w14:paraId="2399051F" w14:textId="77777777" w:rsidR="00EB66BC" w:rsidRPr="00EB66BC" w:rsidRDefault="00EB66BC" w:rsidP="00EB66BC">
            <w:pPr>
              <w:spacing w:after="0" w:line="240" w:lineRule="auto"/>
              <w:jc w:val="both"/>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Farmer</w:t>
            </w:r>
          </w:p>
        </w:tc>
        <w:tc>
          <w:tcPr>
            <w:tcW w:w="1333" w:type="dxa"/>
            <w:tcMar>
              <w:top w:w="0" w:type="dxa"/>
              <w:left w:w="108" w:type="dxa"/>
              <w:bottom w:w="0" w:type="dxa"/>
              <w:right w:w="108" w:type="dxa"/>
            </w:tcMar>
            <w:hideMark/>
          </w:tcPr>
          <w:p w14:paraId="4066346A"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Mar>
              <w:top w:w="0" w:type="dxa"/>
              <w:left w:w="108" w:type="dxa"/>
              <w:bottom w:w="0" w:type="dxa"/>
              <w:right w:w="108" w:type="dxa"/>
            </w:tcMar>
            <w:hideMark/>
          </w:tcPr>
          <w:p w14:paraId="2BF5A6E8"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27 (67.5)</w:t>
            </w:r>
          </w:p>
        </w:tc>
        <w:tc>
          <w:tcPr>
            <w:tcW w:w="1186" w:type="dxa"/>
            <w:tcMar>
              <w:top w:w="0" w:type="dxa"/>
              <w:left w:w="108" w:type="dxa"/>
              <w:bottom w:w="0" w:type="dxa"/>
              <w:right w:w="108" w:type="dxa"/>
            </w:tcMar>
            <w:hideMark/>
          </w:tcPr>
          <w:p w14:paraId="0A10CCBB"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Mar>
              <w:top w:w="0" w:type="dxa"/>
              <w:left w:w="108" w:type="dxa"/>
              <w:bottom w:w="0" w:type="dxa"/>
              <w:right w:w="108" w:type="dxa"/>
            </w:tcMar>
            <w:hideMark/>
          </w:tcPr>
          <w:p w14:paraId="418AC91F"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30 (75)</w:t>
            </w:r>
          </w:p>
        </w:tc>
        <w:tc>
          <w:tcPr>
            <w:tcW w:w="1060" w:type="dxa"/>
            <w:gridSpan w:val="2"/>
            <w:tcMar>
              <w:top w:w="0" w:type="dxa"/>
              <w:left w:w="108" w:type="dxa"/>
              <w:bottom w:w="0" w:type="dxa"/>
              <w:right w:w="108" w:type="dxa"/>
            </w:tcMar>
            <w:hideMark/>
          </w:tcPr>
          <w:p w14:paraId="04528408"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0.621 </w:t>
            </w:r>
            <w:r w:rsidRPr="006E5E16">
              <w:rPr>
                <w:rFonts w:ascii="Times New Roman" w:eastAsia="Times New Roman" w:hAnsi="Times New Roman" w:cs="Times New Roman"/>
                <w:sz w:val="20"/>
                <w:szCs w:val="20"/>
                <w:vertAlign w:val="superscript"/>
              </w:rPr>
              <w:t>b</w:t>
            </w:r>
          </w:p>
        </w:tc>
      </w:tr>
      <w:tr w:rsidR="00EB66BC" w:rsidRPr="00EB66BC" w14:paraId="46AB8362" w14:textId="77777777" w:rsidTr="00893450">
        <w:trPr>
          <w:trHeight w:val="227"/>
          <w:jc w:val="center"/>
        </w:trPr>
        <w:tc>
          <w:tcPr>
            <w:tcW w:w="1631" w:type="dxa"/>
            <w:tcBorders>
              <w:bottom w:val="single" w:sz="4" w:space="0" w:color="auto"/>
            </w:tcBorders>
            <w:tcMar>
              <w:top w:w="0" w:type="dxa"/>
              <w:left w:w="108" w:type="dxa"/>
              <w:bottom w:w="0" w:type="dxa"/>
              <w:right w:w="108" w:type="dxa"/>
            </w:tcMar>
            <w:hideMark/>
          </w:tcPr>
          <w:p w14:paraId="49450D66" w14:textId="77777777" w:rsidR="00EB66BC" w:rsidRPr="0077369A" w:rsidRDefault="00EB66BC" w:rsidP="00EB66BC">
            <w:pPr>
              <w:spacing w:after="0" w:line="240" w:lineRule="auto"/>
              <w:jc w:val="both"/>
              <w:rPr>
                <w:rFonts w:ascii="Times New Roman" w:eastAsia="Times New Roman" w:hAnsi="Times New Roman" w:cs="Times New Roman"/>
                <w:sz w:val="20"/>
                <w:szCs w:val="20"/>
                <w:lang w:val="id-ID"/>
              </w:rPr>
            </w:pPr>
            <w:r w:rsidRPr="00EB66BC">
              <w:rPr>
                <w:rFonts w:ascii="Times New Roman" w:eastAsia="Times New Roman" w:hAnsi="Times New Roman" w:cs="Times New Roman"/>
                <w:sz w:val="20"/>
                <w:szCs w:val="20"/>
              </w:rPr>
              <w:t>Other</w:t>
            </w:r>
            <w:r w:rsidR="0077369A">
              <w:rPr>
                <w:rFonts w:ascii="Times New Roman" w:eastAsia="Times New Roman" w:hAnsi="Times New Roman" w:cs="Times New Roman"/>
                <w:sz w:val="20"/>
                <w:szCs w:val="20"/>
                <w:lang w:val="id-ID"/>
              </w:rPr>
              <w:t>s</w:t>
            </w:r>
          </w:p>
        </w:tc>
        <w:tc>
          <w:tcPr>
            <w:tcW w:w="1333" w:type="dxa"/>
            <w:tcBorders>
              <w:bottom w:val="single" w:sz="4" w:space="0" w:color="auto"/>
            </w:tcBorders>
            <w:tcMar>
              <w:top w:w="0" w:type="dxa"/>
              <w:left w:w="108" w:type="dxa"/>
              <w:bottom w:w="0" w:type="dxa"/>
              <w:right w:w="108" w:type="dxa"/>
            </w:tcMar>
            <w:hideMark/>
          </w:tcPr>
          <w:p w14:paraId="791FCFE7"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334" w:type="dxa"/>
            <w:tcBorders>
              <w:bottom w:val="single" w:sz="4" w:space="0" w:color="auto"/>
            </w:tcBorders>
            <w:tcMar>
              <w:top w:w="0" w:type="dxa"/>
              <w:left w:w="108" w:type="dxa"/>
              <w:bottom w:w="0" w:type="dxa"/>
              <w:right w:w="108" w:type="dxa"/>
            </w:tcMar>
            <w:hideMark/>
          </w:tcPr>
          <w:p w14:paraId="5477C68E"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13 (32.5)</w:t>
            </w:r>
          </w:p>
        </w:tc>
        <w:tc>
          <w:tcPr>
            <w:tcW w:w="1186" w:type="dxa"/>
            <w:tcBorders>
              <w:bottom w:val="single" w:sz="4" w:space="0" w:color="auto"/>
            </w:tcBorders>
            <w:tcMar>
              <w:top w:w="0" w:type="dxa"/>
              <w:left w:w="108" w:type="dxa"/>
              <w:bottom w:w="0" w:type="dxa"/>
              <w:right w:w="108" w:type="dxa"/>
            </w:tcMar>
            <w:hideMark/>
          </w:tcPr>
          <w:p w14:paraId="12091652"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 </w:t>
            </w:r>
          </w:p>
        </w:tc>
        <w:tc>
          <w:tcPr>
            <w:tcW w:w="1675" w:type="dxa"/>
            <w:gridSpan w:val="2"/>
            <w:tcBorders>
              <w:bottom w:val="single" w:sz="4" w:space="0" w:color="auto"/>
            </w:tcBorders>
            <w:tcMar>
              <w:top w:w="0" w:type="dxa"/>
              <w:left w:w="108" w:type="dxa"/>
              <w:bottom w:w="0" w:type="dxa"/>
              <w:right w:w="108" w:type="dxa"/>
            </w:tcMar>
            <w:hideMark/>
          </w:tcPr>
          <w:p w14:paraId="01AA0E60" w14:textId="77777777" w:rsidR="00EB66BC" w:rsidRPr="00EB66BC" w:rsidRDefault="00EB66BC" w:rsidP="00EB66BC">
            <w:pPr>
              <w:spacing w:after="0" w:line="240" w:lineRule="auto"/>
              <w:jc w:val="center"/>
              <w:rPr>
                <w:rFonts w:ascii="Times New Roman" w:eastAsia="Times New Roman" w:hAnsi="Times New Roman" w:cs="Times New Roman"/>
                <w:sz w:val="20"/>
                <w:szCs w:val="20"/>
              </w:rPr>
            </w:pPr>
            <w:r w:rsidRPr="00EB66BC">
              <w:rPr>
                <w:rFonts w:ascii="Times New Roman" w:eastAsia="Times New Roman" w:hAnsi="Times New Roman" w:cs="Times New Roman"/>
                <w:sz w:val="20"/>
                <w:szCs w:val="20"/>
              </w:rPr>
              <w:t>10 (25)</w:t>
            </w:r>
          </w:p>
        </w:tc>
        <w:tc>
          <w:tcPr>
            <w:tcW w:w="1060" w:type="dxa"/>
            <w:gridSpan w:val="2"/>
            <w:tcBorders>
              <w:bottom w:val="single" w:sz="4" w:space="0" w:color="auto"/>
            </w:tcBorders>
            <w:tcMar>
              <w:top w:w="0" w:type="dxa"/>
              <w:left w:w="108" w:type="dxa"/>
              <w:bottom w:w="0" w:type="dxa"/>
              <w:right w:w="108" w:type="dxa"/>
            </w:tcMar>
            <w:hideMark/>
          </w:tcPr>
          <w:p w14:paraId="73F63065" w14:textId="77777777" w:rsidR="00EB66BC" w:rsidRPr="006E5E16" w:rsidRDefault="00EB66BC" w:rsidP="00EB66BC">
            <w:pPr>
              <w:spacing w:after="0" w:line="240" w:lineRule="auto"/>
              <w:jc w:val="center"/>
              <w:rPr>
                <w:rFonts w:ascii="Times New Roman" w:eastAsia="Times New Roman" w:hAnsi="Times New Roman" w:cs="Times New Roman"/>
                <w:sz w:val="20"/>
                <w:szCs w:val="20"/>
              </w:rPr>
            </w:pPr>
            <w:r w:rsidRPr="006E5E16">
              <w:rPr>
                <w:rFonts w:ascii="Times New Roman" w:eastAsia="Times New Roman" w:hAnsi="Times New Roman" w:cs="Times New Roman"/>
                <w:sz w:val="20"/>
                <w:szCs w:val="20"/>
              </w:rPr>
              <w:t> </w:t>
            </w:r>
          </w:p>
        </w:tc>
      </w:tr>
    </w:tbl>
    <w:p w14:paraId="3CDC332C" w14:textId="77777777" w:rsidR="00EB66BC" w:rsidRPr="00EB66BC" w:rsidRDefault="00EB66BC" w:rsidP="00893450">
      <w:pPr>
        <w:spacing w:after="0" w:line="360" w:lineRule="atLeast"/>
        <w:ind w:firstLine="720"/>
        <w:rPr>
          <w:rFonts w:ascii="Calibri" w:eastAsia="Times New Roman" w:hAnsi="Calibri" w:cs="Calibri"/>
          <w:color w:val="000000"/>
          <w:sz w:val="24"/>
          <w:szCs w:val="24"/>
        </w:rPr>
      </w:pPr>
      <w:r w:rsidRPr="00EB66BC">
        <w:rPr>
          <w:rFonts w:ascii="Times New Roman" w:eastAsia="Times New Roman" w:hAnsi="Times New Roman" w:cs="Times New Roman"/>
          <w:color w:val="000000"/>
          <w:sz w:val="20"/>
          <w:szCs w:val="20"/>
        </w:rPr>
        <w:t>Description: </w:t>
      </w:r>
      <w:proofErr w:type="gramStart"/>
      <w:r w:rsidRPr="0077369A">
        <w:rPr>
          <w:rFonts w:ascii="Times New Roman" w:eastAsia="Times New Roman" w:hAnsi="Times New Roman" w:cs="Times New Roman"/>
          <w:color w:val="000000"/>
          <w:sz w:val="20"/>
          <w:szCs w:val="13"/>
          <w:vertAlign w:val="superscript"/>
        </w:rPr>
        <w:t>a </w:t>
      </w:r>
      <w:r w:rsidRPr="00EB66BC">
        <w:rPr>
          <w:rFonts w:ascii="Times New Roman" w:eastAsia="Times New Roman" w:hAnsi="Times New Roman" w:cs="Times New Roman"/>
          <w:color w:val="000000"/>
          <w:sz w:val="20"/>
          <w:szCs w:val="20"/>
        </w:rPr>
        <w:t> </w:t>
      </w:r>
      <w:r w:rsidRPr="00EB66BC">
        <w:rPr>
          <w:rFonts w:ascii="Times New Roman" w:eastAsia="Times New Roman" w:hAnsi="Times New Roman" w:cs="Times New Roman"/>
          <w:i/>
          <w:iCs/>
          <w:color w:val="000000"/>
          <w:sz w:val="20"/>
          <w:szCs w:val="20"/>
        </w:rPr>
        <w:t>T</w:t>
      </w:r>
      <w:proofErr w:type="gramEnd"/>
      <w:r w:rsidRPr="00EB66BC">
        <w:rPr>
          <w:rFonts w:ascii="Times New Roman" w:eastAsia="Times New Roman" w:hAnsi="Times New Roman" w:cs="Times New Roman"/>
          <w:i/>
          <w:iCs/>
          <w:color w:val="000000"/>
          <w:sz w:val="20"/>
          <w:szCs w:val="20"/>
        </w:rPr>
        <w:t>-</w:t>
      </w:r>
      <w:proofErr w:type="gramStart"/>
      <w:r w:rsidRPr="00EB66BC">
        <w:rPr>
          <w:rFonts w:ascii="Times New Roman" w:eastAsia="Times New Roman" w:hAnsi="Times New Roman" w:cs="Times New Roman"/>
          <w:i/>
          <w:iCs/>
          <w:color w:val="000000"/>
          <w:sz w:val="20"/>
          <w:szCs w:val="20"/>
        </w:rPr>
        <w:t>test </w:t>
      </w:r>
      <w:r w:rsidRPr="00EB66BC">
        <w:rPr>
          <w:rFonts w:ascii="Times New Roman" w:eastAsia="Times New Roman" w:hAnsi="Times New Roman" w:cs="Times New Roman"/>
          <w:color w:val="000000"/>
          <w:sz w:val="20"/>
          <w:szCs w:val="20"/>
        </w:rPr>
        <w:t>,</w:t>
      </w:r>
      <w:proofErr w:type="gramEnd"/>
      <w:r w:rsidRPr="00EB66BC">
        <w:rPr>
          <w:rFonts w:ascii="Times New Roman" w:eastAsia="Times New Roman" w:hAnsi="Times New Roman" w:cs="Times New Roman"/>
          <w:color w:val="000000"/>
          <w:sz w:val="20"/>
          <w:szCs w:val="20"/>
        </w:rPr>
        <w:t> </w:t>
      </w:r>
      <w:r w:rsidRPr="0077369A">
        <w:rPr>
          <w:rFonts w:ascii="Times New Roman" w:eastAsia="Times New Roman" w:hAnsi="Times New Roman" w:cs="Times New Roman"/>
          <w:color w:val="000000"/>
          <w:sz w:val="20"/>
          <w:szCs w:val="13"/>
          <w:vertAlign w:val="superscript"/>
        </w:rPr>
        <w:t>b </w:t>
      </w:r>
      <w:r w:rsidRPr="00EB66BC">
        <w:rPr>
          <w:rFonts w:ascii="Times New Roman" w:eastAsia="Times New Roman" w:hAnsi="Times New Roman" w:cs="Times New Roman"/>
          <w:i/>
          <w:iCs/>
          <w:color w:val="000000"/>
          <w:sz w:val="20"/>
          <w:szCs w:val="20"/>
        </w:rPr>
        <w:t>Chi Square </w:t>
      </w:r>
      <w:r w:rsidRPr="00EB66BC">
        <w:rPr>
          <w:rFonts w:ascii="Times New Roman" w:eastAsia="Times New Roman" w:hAnsi="Times New Roman" w:cs="Times New Roman"/>
          <w:color w:val="000000"/>
          <w:sz w:val="20"/>
          <w:szCs w:val="20"/>
        </w:rPr>
        <w:t>test</w:t>
      </w:r>
    </w:p>
    <w:p w14:paraId="66A40064" w14:textId="77777777" w:rsidR="00EB66BC" w:rsidRPr="00EB66BC" w:rsidRDefault="00EB66BC" w:rsidP="00EB66BC">
      <w:pPr>
        <w:spacing w:after="0" w:line="360" w:lineRule="atLeast"/>
        <w:rPr>
          <w:rFonts w:ascii="Calibri" w:eastAsia="Times New Roman" w:hAnsi="Calibri" w:cs="Calibri"/>
          <w:color w:val="000000"/>
          <w:sz w:val="24"/>
          <w:szCs w:val="24"/>
        </w:rPr>
      </w:pPr>
      <w:r w:rsidRPr="00EB66BC">
        <w:rPr>
          <w:rFonts w:ascii="Times New Roman" w:eastAsia="Times New Roman" w:hAnsi="Times New Roman" w:cs="Times New Roman"/>
          <w:b/>
          <w:bCs/>
          <w:color w:val="000000"/>
          <w:sz w:val="24"/>
          <w:szCs w:val="24"/>
        </w:rPr>
        <w:t> </w:t>
      </w:r>
    </w:p>
    <w:p w14:paraId="3CAFDB43" w14:textId="77777777" w:rsidR="00EB66BC" w:rsidRPr="00EB66BC" w:rsidRDefault="00EB66BC" w:rsidP="00EB66BC">
      <w:pPr>
        <w:spacing w:after="0" w:line="330" w:lineRule="atLeast"/>
        <w:rPr>
          <w:rFonts w:ascii="Calibri" w:eastAsia="Times New Roman" w:hAnsi="Calibri" w:cs="Calibri"/>
          <w:color w:val="000000"/>
        </w:rPr>
      </w:pPr>
      <w:r w:rsidRPr="00EB66BC">
        <w:rPr>
          <w:rFonts w:ascii="Times New Roman" w:eastAsia="Times New Roman" w:hAnsi="Times New Roman" w:cs="Times New Roman"/>
          <w:b/>
          <w:bCs/>
          <w:color w:val="000000"/>
        </w:rPr>
        <w:t>Exposure to Cigarette Smoke and Urine </w:t>
      </w:r>
      <w:r w:rsidRPr="00EB66BC">
        <w:rPr>
          <w:rFonts w:ascii="Times New Roman" w:eastAsia="Times New Roman" w:hAnsi="Times New Roman" w:cs="Times New Roman"/>
          <w:b/>
          <w:bCs/>
          <w:i/>
          <w:iCs/>
          <w:color w:val="000000"/>
        </w:rPr>
        <w:t>Cotinine</w:t>
      </w:r>
    </w:p>
    <w:p w14:paraId="417B7880" w14:textId="77777777" w:rsidR="00EB66BC" w:rsidRPr="00EB66BC" w:rsidRDefault="00EB66BC" w:rsidP="006E5E16">
      <w:pPr>
        <w:spacing w:after="0" w:line="300" w:lineRule="atLeast"/>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 xml:space="preserve">Table 2. Relationship of Exposure to Cigarette Smoke in </w:t>
      </w:r>
      <w:r w:rsidR="00D4302E" w:rsidRPr="00D4302E">
        <w:rPr>
          <w:rFonts w:ascii="Times New Roman" w:eastAsia="Times New Roman" w:hAnsi="Times New Roman" w:cs="Times New Roman"/>
          <w:b/>
          <w:bCs/>
          <w:color w:val="000000"/>
          <w:sz w:val="16"/>
          <w:szCs w:val="20"/>
          <w:lang w:val="id-ID"/>
        </w:rPr>
        <w:t>T</w:t>
      </w:r>
      <w:r w:rsidR="00D4302E" w:rsidRPr="00D4302E">
        <w:rPr>
          <w:rFonts w:ascii="Times New Roman" w:eastAsia="Times New Roman" w:hAnsi="Times New Roman" w:cs="Times New Roman"/>
          <w:b/>
          <w:iCs/>
          <w:color w:val="202124"/>
          <w:sz w:val="18"/>
          <w:lang w:val="id-ID"/>
        </w:rPr>
        <w:t>oddlers</w:t>
      </w:r>
      <w:r w:rsidR="00D4302E" w:rsidRPr="00D4302E">
        <w:rPr>
          <w:rFonts w:ascii="Times New Roman" w:eastAsia="Times New Roman" w:hAnsi="Times New Roman" w:cs="Times New Roman"/>
          <w:b/>
          <w:bCs/>
          <w:color w:val="000000"/>
          <w:sz w:val="16"/>
          <w:szCs w:val="20"/>
        </w:rPr>
        <w:t xml:space="preserve"> </w:t>
      </w:r>
      <w:r w:rsidRPr="00EB66BC">
        <w:rPr>
          <w:rFonts w:ascii="Times New Roman" w:eastAsia="Times New Roman" w:hAnsi="Times New Roman" w:cs="Times New Roman"/>
          <w:b/>
          <w:bCs/>
          <w:color w:val="000000"/>
          <w:sz w:val="20"/>
          <w:szCs w:val="20"/>
        </w:rPr>
        <w:t>with </w:t>
      </w:r>
      <w:r w:rsidRPr="00EB66BC">
        <w:rPr>
          <w:rFonts w:ascii="Times New Roman" w:eastAsia="Times New Roman" w:hAnsi="Times New Roman" w:cs="Times New Roman"/>
          <w:b/>
          <w:bCs/>
          <w:i/>
          <w:iCs/>
          <w:color w:val="000000"/>
          <w:sz w:val="20"/>
          <w:szCs w:val="20"/>
        </w:rPr>
        <w:t>Stunting </w:t>
      </w:r>
      <w:r w:rsidR="0077369A">
        <w:rPr>
          <w:rFonts w:ascii="Times New Roman" w:eastAsia="Times New Roman" w:hAnsi="Times New Roman" w:cs="Times New Roman"/>
          <w:b/>
          <w:bCs/>
          <w:color w:val="000000"/>
          <w:sz w:val="20"/>
          <w:szCs w:val="20"/>
        </w:rPr>
        <w:t>Incidence</w:t>
      </w:r>
    </w:p>
    <w:tbl>
      <w:tblPr>
        <w:tblW w:w="8222" w:type="dxa"/>
        <w:jc w:val="center"/>
        <w:tblCellMar>
          <w:left w:w="0" w:type="dxa"/>
          <w:right w:w="0" w:type="dxa"/>
        </w:tblCellMar>
        <w:tblLook w:val="04A0" w:firstRow="1" w:lastRow="0" w:firstColumn="1" w:lastColumn="0" w:noHBand="0" w:noVBand="1"/>
      </w:tblPr>
      <w:tblGrid>
        <w:gridCol w:w="1322"/>
        <w:gridCol w:w="1402"/>
        <w:gridCol w:w="541"/>
        <w:gridCol w:w="778"/>
        <w:gridCol w:w="636"/>
        <w:gridCol w:w="1016"/>
        <w:gridCol w:w="738"/>
        <w:gridCol w:w="1789"/>
      </w:tblGrid>
      <w:tr w:rsidR="00EB66BC" w:rsidRPr="00EB66BC" w14:paraId="001DF2B5" w14:textId="77777777" w:rsidTr="006E5E16">
        <w:trPr>
          <w:trHeight w:val="340"/>
          <w:jc w:val="center"/>
        </w:trPr>
        <w:tc>
          <w:tcPr>
            <w:tcW w:w="2478" w:type="dxa"/>
            <w:gridSpan w:val="2"/>
            <w:vMerge w:val="restart"/>
            <w:tcBorders>
              <w:top w:val="single" w:sz="6" w:space="0" w:color="auto"/>
              <w:bottom w:val="single" w:sz="6" w:space="0" w:color="auto"/>
            </w:tcBorders>
            <w:tcMar>
              <w:top w:w="0" w:type="dxa"/>
              <w:left w:w="108" w:type="dxa"/>
              <w:bottom w:w="0" w:type="dxa"/>
              <w:right w:w="108" w:type="dxa"/>
            </w:tcMar>
            <w:vAlign w:val="center"/>
            <w:hideMark/>
          </w:tcPr>
          <w:p w14:paraId="38CA943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Variable</w:t>
            </w:r>
          </w:p>
        </w:tc>
        <w:tc>
          <w:tcPr>
            <w:tcW w:w="2617" w:type="dxa"/>
            <w:gridSpan w:val="4"/>
            <w:tcBorders>
              <w:top w:val="single" w:sz="6" w:space="0" w:color="auto"/>
              <w:bottom w:val="single" w:sz="6" w:space="0" w:color="auto"/>
            </w:tcBorders>
            <w:tcMar>
              <w:top w:w="0" w:type="dxa"/>
              <w:left w:w="108" w:type="dxa"/>
              <w:bottom w:w="0" w:type="dxa"/>
              <w:right w:w="108" w:type="dxa"/>
            </w:tcMar>
            <w:hideMark/>
          </w:tcPr>
          <w:p w14:paraId="4EA4503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i/>
                <w:iCs/>
                <w:sz w:val="20"/>
                <w:szCs w:val="20"/>
              </w:rPr>
              <w:t>Stunting </w:t>
            </w:r>
            <w:r w:rsidR="0077369A">
              <w:rPr>
                <w:rFonts w:ascii="Times New Roman" w:eastAsia="Times New Roman" w:hAnsi="Times New Roman" w:cs="Times New Roman"/>
                <w:b/>
                <w:bCs/>
                <w:sz w:val="20"/>
                <w:szCs w:val="20"/>
              </w:rPr>
              <w:t>Incidence</w:t>
            </w:r>
          </w:p>
        </w:tc>
        <w:tc>
          <w:tcPr>
            <w:tcW w:w="635" w:type="dxa"/>
            <w:vMerge w:val="restart"/>
            <w:tcBorders>
              <w:top w:val="single" w:sz="6" w:space="0" w:color="auto"/>
              <w:bottom w:val="single" w:sz="6" w:space="0" w:color="auto"/>
            </w:tcBorders>
            <w:tcMar>
              <w:top w:w="0" w:type="dxa"/>
              <w:left w:w="108" w:type="dxa"/>
              <w:bottom w:w="0" w:type="dxa"/>
              <w:right w:w="108" w:type="dxa"/>
            </w:tcMar>
            <w:vAlign w:val="center"/>
            <w:hideMark/>
          </w:tcPr>
          <w:p w14:paraId="10A6A9E6" w14:textId="77777777" w:rsidR="00EB66BC" w:rsidRPr="00EB66BC" w:rsidRDefault="00EB66BC" w:rsidP="0077369A">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p value</w:t>
            </w:r>
          </w:p>
        </w:tc>
        <w:tc>
          <w:tcPr>
            <w:tcW w:w="1628" w:type="dxa"/>
            <w:vMerge w:val="restart"/>
            <w:tcBorders>
              <w:top w:val="single" w:sz="6" w:space="0" w:color="auto"/>
              <w:bottom w:val="single" w:sz="6" w:space="0" w:color="auto"/>
            </w:tcBorders>
            <w:tcMar>
              <w:top w:w="0" w:type="dxa"/>
              <w:left w:w="108" w:type="dxa"/>
              <w:bottom w:w="0" w:type="dxa"/>
              <w:right w:w="108" w:type="dxa"/>
            </w:tcMar>
            <w:vAlign w:val="center"/>
            <w:hideMark/>
          </w:tcPr>
          <w:p w14:paraId="64D0947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OR</w:t>
            </w:r>
          </w:p>
          <w:p w14:paraId="30DBECF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(CI 95%)</w:t>
            </w:r>
          </w:p>
        </w:tc>
      </w:tr>
      <w:tr w:rsidR="00EB66BC" w:rsidRPr="00EB66BC" w14:paraId="6AEA9CC0" w14:textId="77777777" w:rsidTr="006E5E16">
        <w:trPr>
          <w:trHeight w:val="340"/>
          <w:jc w:val="center"/>
        </w:trPr>
        <w:tc>
          <w:tcPr>
            <w:tcW w:w="0" w:type="auto"/>
            <w:gridSpan w:val="2"/>
            <w:vMerge/>
            <w:tcBorders>
              <w:top w:val="single" w:sz="6" w:space="0" w:color="auto"/>
              <w:bottom w:val="single" w:sz="6" w:space="0" w:color="auto"/>
            </w:tcBorders>
            <w:vAlign w:val="center"/>
            <w:hideMark/>
          </w:tcPr>
          <w:p w14:paraId="17F4C7B9" w14:textId="77777777" w:rsidR="00EB66BC" w:rsidRPr="00EB66BC" w:rsidRDefault="00EB66BC" w:rsidP="00EB66BC">
            <w:pPr>
              <w:spacing w:after="0" w:line="240" w:lineRule="auto"/>
              <w:rPr>
                <w:rFonts w:ascii="Calibri" w:eastAsia="Times New Roman" w:hAnsi="Calibri" w:cs="Calibri"/>
                <w:sz w:val="20"/>
                <w:szCs w:val="20"/>
              </w:rPr>
            </w:pPr>
          </w:p>
        </w:tc>
        <w:tc>
          <w:tcPr>
            <w:tcW w:w="1200" w:type="dxa"/>
            <w:gridSpan w:val="2"/>
            <w:tcBorders>
              <w:top w:val="single" w:sz="6" w:space="0" w:color="auto"/>
              <w:bottom w:val="single" w:sz="6" w:space="0" w:color="auto"/>
            </w:tcBorders>
            <w:tcMar>
              <w:top w:w="0" w:type="dxa"/>
              <w:left w:w="108" w:type="dxa"/>
              <w:bottom w:w="0" w:type="dxa"/>
              <w:right w:w="108" w:type="dxa"/>
            </w:tcMar>
            <w:hideMark/>
          </w:tcPr>
          <w:p w14:paraId="249EC001"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Case</w:t>
            </w:r>
          </w:p>
        </w:tc>
        <w:tc>
          <w:tcPr>
            <w:tcW w:w="1201" w:type="dxa"/>
            <w:gridSpan w:val="2"/>
            <w:tcBorders>
              <w:top w:val="single" w:sz="6" w:space="0" w:color="auto"/>
              <w:bottom w:val="single" w:sz="6" w:space="0" w:color="auto"/>
            </w:tcBorders>
            <w:tcMar>
              <w:top w:w="0" w:type="dxa"/>
              <w:left w:w="108" w:type="dxa"/>
              <w:bottom w:w="0" w:type="dxa"/>
              <w:right w:w="108" w:type="dxa"/>
            </w:tcMar>
            <w:hideMark/>
          </w:tcPr>
          <w:p w14:paraId="7938A641"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Control</w:t>
            </w:r>
          </w:p>
        </w:tc>
        <w:tc>
          <w:tcPr>
            <w:tcW w:w="0" w:type="auto"/>
            <w:vMerge/>
            <w:tcBorders>
              <w:top w:val="single" w:sz="6" w:space="0" w:color="auto"/>
              <w:bottom w:val="single" w:sz="6" w:space="0" w:color="auto"/>
            </w:tcBorders>
            <w:vAlign w:val="center"/>
            <w:hideMark/>
          </w:tcPr>
          <w:p w14:paraId="0D4F115D" w14:textId="77777777" w:rsidR="00EB66BC" w:rsidRPr="00EB66BC" w:rsidRDefault="00EB66BC" w:rsidP="00EB66BC">
            <w:pPr>
              <w:spacing w:after="0" w:line="240" w:lineRule="auto"/>
              <w:rPr>
                <w:rFonts w:ascii="Calibri" w:eastAsia="Times New Roman" w:hAnsi="Calibri" w:cs="Calibri"/>
                <w:sz w:val="20"/>
                <w:szCs w:val="20"/>
              </w:rPr>
            </w:pPr>
          </w:p>
        </w:tc>
        <w:tc>
          <w:tcPr>
            <w:tcW w:w="0" w:type="auto"/>
            <w:vMerge/>
            <w:tcBorders>
              <w:top w:val="single" w:sz="6" w:space="0" w:color="auto"/>
              <w:bottom w:val="single" w:sz="6" w:space="0" w:color="auto"/>
            </w:tcBorders>
            <w:vAlign w:val="center"/>
            <w:hideMark/>
          </w:tcPr>
          <w:p w14:paraId="2D59D91B"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3926CDA5" w14:textId="77777777" w:rsidTr="006E5E16">
        <w:trPr>
          <w:trHeight w:val="340"/>
          <w:jc w:val="center"/>
        </w:trPr>
        <w:tc>
          <w:tcPr>
            <w:tcW w:w="0" w:type="auto"/>
            <w:gridSpan w:val="2"/>
            <w:vMerge/>
            <w:tcBorders>
              <w:top w:val="single" w:sz="6" w:space="0" w:color="auto"/>
              <w:bottom w:val="single" w:sz="6" w:space="0" w:color="auto"/>
            </w:tcBorders>
            <w:vAlign w:val="center"/>
            <w:hideMark/>
          </w:tcPr>
          <w:p w14:paraId="458C5794" w14:textId="77777777" w:rsidR="00EB66BC" w:rsidRPr="00EB66BC" w:rsidRDefault="00EB66BC" w:rsidP="00EB66BC">
            <w:pPr>
              <w:spacing w:after="0" w:line="240" w:lineRule="auto"/>
              <w:rPr>
                <w:rFonts w:ascii="Calibri" w:eastAsia="Times New Roman" w:hAnsi="Calibri" w:cs="Calibri"/>
                <w:sz w:val="20"/>
                <w:szCs w:val="20"/>
              </w:rPr>
            </w:pPr>
          </w:p>
        </w:tc>
        <w:tc>
          <w:tcPr>
            <w:tcW w:w="492" w:type="dxa"/>
            <w:tcBorders>
              <w:top w:val="single" w:sz="6" w:space="0" w:color="auto"/>
              <w:bottom w:val="single" w:sz="6" w:space="0" w:color="auto"/>
            </w:tcBorders>
            <w:tcMar>
              <w:top w:w="0" w:type="dxa"/>
              <w:left w:w="108" w:type="dxa"/>
              <w:bottom w:w="0" w:type="dxa"/>
              <w:right w:w="108" w:type="dxa"/>
            </w:tcMar>
            <w:hideMark/>
          </w:tcPr>
          <w:p w14:paraId="34089CE9"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n</w:t>
            </w:r>
          </w:p>
        </w:tc>
        <w:tc>
          <w:tcPr>
            <w:tcW w:w="492" w:type="dxa"/>
            <w:tcBorders>
              <w:top w:val="single" w:sz="6" w:space="0" w:color="auto"/>
              <w:bottom w:val="single" w:sz="6" w:space="0" w:color="auto"/>
            </w:tcBorders>
            <w:tcMar>
              <w:top w:w="0" w:type="dxa"/>
              <w:left w:w="108" w:type="dxa"/>
              <w:bottom w:w="0" w:type="dxa"/>
              <w:right w:w="108" w:type="dxa"/>
            </w:tcMar>
            <w:hideMark/>
          </w:tcPr>
          <w:p w14:paraId="49786FCF"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w:t>
            </w:r>
          </w:p>
        </w:tc>
        <w:tc>
          <w:tcPr>
            <w:tcW w:w="492" w:type="dxa"/>
            <w:tcBorders>
              <w:top w:val="single" w:sz="6" w:space="0" w:color="auto"/>
              <w:bottom w:val="single" w:sz="6" w:space="0" w:color="auto"/>
            </w:tcBorders>
            <w:tcMar>
              <w:top w:w="0" w:type="dxa"/>
              <w:left w:w="108" w:type="dxa"/>
              <w:bottom w:w="0" w:type="dxa"/>
              <w:right w:w="108" w:type="dxa"/>
            </w:tcMar>
            <w:hideMark/>
          </w:tcPr>
          <w:p w14:paraId="2C6637E2" w14:textId="77777777" w:rsidR="00EB66BC" w:rsidRPr="00EB66BC" w:rsidRDefault="00EB66BC" w:rsidP="00EB66BC">
            <w:pPr>
              <w:spacing w:after="0" w:line="240" w:lineRule="auto"/>
              <w:ind w:firstLine="251"/>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n</w:t>
            </w:r>
          </w:p>
        </w:tc>
        <w:tc>
          <w:tcPr>
            <w:tcW w:w="493" w:type="dxa"/>
            <w:tcBorders>
              <w:top w:val="single" w:sz="6" w:space="0" w:color="auto"/>
              <w:bottom w:val="single" w:sz="6" w:space="0" w:color="auto"/>
            </w:tcBorders>
            <w:tcMar>
              <w:top w:w="0" w:type="dxa"/>
              <w:left w:w="108" w:type="dxa"/>
              <w:bottom w:w="0" w:type="dxa"/>
              <w:right w:w="108" w:type="dxa"/>
            </w:tcMar>
            <w:hideMark/>
          </w:tcPr>
          <w:p w14:paraId="687AB13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w:t>
            </w:r>
          </w:p>
        </w:tc>
        <w:tc>
          <w:tcPr>
            <w:tcW w:w="0" w:type="auto"/>
            <w:vMerge/>
            <w:tcBorders>
              <w:top w:val="single" w:sz="6" w:space="0" w:color="auto"/>
              <w:bottom w:val="single" w:sz="6" w:space="0" w:color="auto"/>
            </w:tcBorders>
            <w:vAlign w:val="center"/>
            <w:hideMark/>
          </w:tcPr>
          <w:p w14:paraId="45ED7C32" w14:textId="77777777" w:rsidR="00EB66BC" w:rsidRPr="00EB66BC" w:rsidRDefault="00EB66BC" w:rsidP="00EB66BC">
            <w:pPr>
              <w:spacing w:after="0" w:line="240" w:lineRule="auto"/>
              <w:rPr>
                <w:rFonts w:ascii="Calibri" w:eastAsia="Times New Roman" w:hAnsi="Calibri" w:cs="Calibri"/>
                <w:sz w:val="20"/>
                <w:szCs w:val="20"/>
              </w:rPr>
            </w:pPr>
          </w:p>
        </w:tc>
        <w:tc>
          <w:tcPr>
            <w:tcW w:w="0" w:type="auto"/>
            <w:vMerge/>
            <w:tcBorders>
              <w:top w:val="single" w:sz="6" w:space="0" w:color="auto"/>
              <w:bottom w:val="single" w:sz="6" w:space="0" w:color="auto"/>
            </w:tcBorders>
            <w:vAlign w:val="center"/>
            <w:hideMark/>
          </w:tcPr>
          <w:p w14:paraId="42C2759D"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70A0E105" w14:textId="77777777" w:rsidTr="006E5E16">
        <w:trPr>
          <w:trHeight w:val="340"/>
          <w:jc w:val="center"/>
        </w:trPr>
        <w:tc>
          <w:tcPr>
            <w:tcW w:w="1202" w:type="dxa"/>
            <w:vMerge w:val="restart"/>
            <w:tcBorders>
              <w:top w:val="single" w:sz="6" w:space="0" w:color="auto"/>
            </w:tcBorders>
            <w:tcMar>
              <w:top w:w="0" w:type="dxa"/>
              <w:left w:w="108" w:type="dxa"/>
              <w:bottom w:w="0" w:type="dxa"/>
              <w:right w:w="108" w:type="dxa"/>
            </w:tcMar>
            <w:hideMark/>
          </w:tcPr>
          <w:p w14:paraId="20AC02F8"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lastRenderedPageBreak/>
              <w:t>History of Exposure to Cigarette Smoke</w:t>
            </w:r>
          </w:p>
        </w:tc>
        <w:tc>
          <w:tcPr>
            <w:tcW w:w="1060" w:type="dxa"/>
            <w:tcBorders>
              <w:top w:val="single" w:sz="6" w:space="0" w:color="auto"/>
            </w:tcBorders>
            <w:tcMar>
              <w:top w:w="0" w:type="dxa"/>
              <w:left w:w="108" w:type="dxa"/>
              <w:bottom w:w="0" w:type="dxa"/>
              <w:right w:w="108" w:type="dxa"/>
            </w:tcMar>
            <w:vAlign w:val="center"/>
            <w:hideMark/>
          </w:tcPr>
          <w:p w14:paraId="01FA9746"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Yes</w:t>
            </w:r>
          </w:p>
        </w:tc>
        <w:tc>
          <w:tcPr>
            <w:tcW w:w="492" w:type="dxa"/>
            <w:tcBorders>
              <w:top w:val="single" w:sz="6" w:space="0" w:color="auto"/>
            </w:tcBorders>
            <w:tcMar>
              <w:top w:w="0" w:type="dxa"/>
              <w:left w:w="108" w:type="dxa"/>
              <w:bottom w:w="0" w:type="dxa"/>
              <w:right w:w="108" w:type="dxa"/>
            </w:tcMar>
            <w:vAlign w:val="center"/>
            <w:hideMark/>
          </w:tcPr>
          <w:p w14:paraId="058A0E3B"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31</w:t>
            </w:r>
          </w:p>
        </w:tc>
        <w:tc>
          <w:tcPr>
            <w:tcW w:w="492" w:type="dxa"/>
            <w:tcBorders>
              <w:top w:val="single" w:sz="6" w:space="0" w:color="auto"/>
            </w:tcBorders>
            <w:tcMar>
              <w:top w:w="0" w:type="dxa"/>
              <w:left w:w="108" w:type="dxa"/>
              <w:bottom w:w="0" w:type="dxa"/>
              <w:right w:w="108" w:type="dxa"/>
            </w:tcMar>
            <w:vAlign w:val="center"/>
            <w:hideMark/>
          </w:tcPr>
          <w:p w14:paraId="1C50B0F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77.5</w:t>
            </w:r>
          </w:p>
        </w:tc>
        <w:tc>
          <w:tcPr>
            <w:tcW w:w="492" w:type="dxa"/>
            <w:tcBorders>
              <w:top w:val="single" w:sz="6" w:space="0" w:color="auto"/>
            </w:tcBorders>
            <w:tcMar>
              <w:top w:w="0" w:type="dxa"/>
              <w:left w:w="108" w:type="dxa"/>
              <w:bottom w:w="0" w:type="dxa"/>
              <w:right w:w="108" w:type="dxa"/>
            </w:tcMar>
            <w:vAlign w:val="center"/>
            <w:hideMark/>
          </w:tcPr>
          <w:p w14:paraId="5EA117A2"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27</w:t>
            </w:r>
          </w:p>
        </w:tc>
        <w:tc>
          <w:tcPr>
            <w:tcW w:w="493" w:type="dxa"/>
            <w:tcBorders>
              <w:top w:val="single" w:sz="6" w:space="0" w:color="auto"/>
            </w:tcBorders>
            <w:tcMar>
              <w:top w:w="0" w:type="dxa"/>
              <w:left w:w="108" w:type="dxa"/>
              <w:bottom w:w="0" w:type="dxa"/>
              <w:right w:w="108" w:type="dxa"/>
            </w:tcMar>
            <w:vAlign w:val="center"/>
            <w:hideMark/>
          </w:tcPr>
          <w:p w14:paraId="651489B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67.5</w:t>
            </w:r>
          </w:p>
        </w:tc>
        <w:tc>
          <w:tcPr>
            <w:tcW w:w="635" w:type="dxa"/>
            <w:tcBorders>
              <w:top w:val="single" w:sz="6" w:space="0" w:color="auto"/>
            </w:tcBorders>
            <w:tcMar>
              <w:top w:w="0" w:type="dxa"/>
              <w:left w:w="108" w:type="dxa"/>
              <w:bottom w:w="0" w:type="dxa"/>
              <w:right w:w="108" w:type="dxa"/>
            </w:tcMar>
            <w:hideMark/>
          </w:tcPr>
          <w:p w14:paraId="5FF4FEC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0.453</w:t>
            </w:r>
          </w:p>
        </w:tc>
        <w:tc>
          <w:tcPr>
            <w:tcW w:w="1628" w:type="dxa"/>
            <w:vMerge w:val="restart"/>
            <w:tcBorders>
              <w:top w:val="single" w:sz="6" w:space="0" w:color="auto"/>
            </w:tcBorders>
            <w:tcMar>
              <w:top w:w="0" w:type="dxa"/>
              <w:left w:w="108" w:type="dxa"/>
              <w:bottom w:w="0" w:type="dxa"/>
              <w:right w:w="108" w:type="dxa"/>
            </w:tcMar>
            <w:hideMark/>
          </w:tcPr>
          <w:p w14:paraId="54DE5648"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1.658 (0.614-4.482)</w:t>
            </w:r>
          </w:p>
        </w:tc>
      </w:tr>
      <w:tr w:rsidR="00EB66BC" w:rsidRPr="00EB66BC" w14:paraId="163DCAD3" w14:textId="77777777" w:rsidTr="006E5E16">
        <w:trPr>
          <w:trHeight w:val="340"/>
          <w:jc w:val="center"/>
        </w:trPr>
        <w:tc>
          <w:tcPr>
            <w:tcW w:w="0" w:type="auto"/>
            <w:vMerge/>
            <w:tcBorders>
              <w:top w:val="single" w:sz="6" w:space="0" w:color="auto"/>
            </w:tcBorders>
            <w:vAlign w:val="center"/>
            <w:hideMark/>
          </w:tcPr>
          <w:p w14:paraId="66E566FD" w14:textId="77777777" w:rsidR="00EB66BC" w:rsidRPr="00EB66BC" w:rsidRDefault="00EB66BC" w:rsidP="00EB66BC">
            <w:pPr>
              <w:spacing w:after="0" w:line="240" w:lineRule="auto"/>
              <w:rPr>
                <w:rFonts w:ascii="Calibri" w:eastAsia="Times New Roman" w:hAnsi="Calibri" w:cs="Calibri"/>
                <w:sz w:val="20"/>
                <w:szCs w:val="20"/>
              </w:rPr>
            </w:pPr>
          </w:p>
        </w:tc>
        <w:tc>
          <w:tcPr>
            <w:tcW w:w="1060" w:type="dxa"/>
            <w:tcMar>
              <w:top w:w="0" w:type="dxa"/>
              <w:left w:w="108" w:type="dxa"/>
              <w:bottom w:w="0" w:type="dxa"/>
              <w:right w:w="108" w:type="dxa"/>
            </w:tcMar>
            <w:vAlign w:val="center"/>
            <w:hideMark/>
          </w:tcPr>
          <w:p w14:paraId="09ACE09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Not</w:t>
            </w:r>
          </w:p>
        </w:tc>
        <w:tc>
          <w:tcPr>
            <w:tcW w:w="492" w:type="dxa"/>
            <w:tcMar>
              <w:top w:w="0" w:type="dxa"/>
              <w:left w:w="108" w:type="dxa"/>
              <w:bottom w:w="0" w:type="dxa"/>
              <w:right w:w="108" w:type="dxa"/>
            </w:tcMar>
            <w:vAlign w:val="center"/>
            <w:hideMark/>
          </w:tcPr>
          <w:p w14:paraId="4830AAD1"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9</w:t>
            </w:r>
          </w:p>
        </w:tc>
        <w:tc>
          <w:tcPr>
            <w:tcW w:w="492" w:type="dxa"/>
            <w:tcMar>
              <w:top w:w="0" w:type="dxa"/>
              <w:left w:w="108" w:type="dxa"/>
              <w:bottom w:w="0" w:type="dxa"/>
              <w:right w:w="108" w:type="dxa"/>
            </w:tcMar>
            <w:vAlign w:val="center"/>
            <w:hideMark/>
          </w:tcPr>
          <w:p w14:paraId="0E15E2F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22.5</w:t>
            </w:r>
          </w:p>
        </w:tc>
        <w:tc>
          <w:tcPr>
            <w:tcW w:w="492" w:type="dxa"/>
            <w:tcMar>
              <w:top w:w="0" w:type="dxa"/>
              <w:left w:w="108" w:type="dxa"/>
              <w:bottom w:w="0" w:type="dxa"/>
              <w:right w:w="108" w:type="dxa"/>
            </w:tcMar>
            <w:vAlign w:val="center"/>
            <w:hideMark/>
          </w:tcPr>
          <w:p w14:paraId="78B15C7F"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13</w:t>
            </w:r>
          </w:p>
        </w:tc>
        <w:tc>
          <w:tcPr>
            <w:tcW w:w="493" w:type="dxa"/>
            <w:tcMar>
              <w:top w:w="0" w:type="dxa"/>
              <w:left w:w="108" w:type="dxa"/>
              <w:bottom w:w="0" w:type="dxa"/>
              <w:right w:w="108" w:type="dxa"/>
            </w:tcMar>
            <w:vAlign w:val="center"/>
            <w:hideMark/>
          </w:tcPr>
          <w:p w14:paraId="47365F82"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32.5</w:t>
            </w:r>
          </w:p>
        </w:tc>
        <w:tc>
          <w:tcPr>
            <w:tcW w:w="635" w:type="dxa"/>
            <w:tcMar>
              <w:top w:w="0" w:type="dxa"/>
              <w:left w:w="108" w:type="dxa"/>
              <w:bottom w:w="0" w:type="dxa"/>
              <w:right w:w="108" w:type="dxa"/>
            </w:tcMar>
            <w:hideMark/>
          </w:tcPr>
          <w:p w14:paraId="0BFAE34F"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0" w:type="auto"/>
            <w:vMerge/>
            <w:tcBorders>
              <w:top w:val="single" w:sz="6" w:space="0" w:color="auto"/>
            </w:tcBorders>
            <w:vAlign w:val="center"/>
            <w:hideMark/>
          </w:tcPr>
          <w:p w14:paraId="32EF0273"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052FD04B" w14:textId="77777777" w:rsidTr="006E5E16">
        <w:trPr>
          <w:trHeight w:val="340"/>
          <w:jc w:val="center"/>
        </w:trPr>
        <w:tc>
          <w:tcPr>
            <w:tcW w:w="1202" w:type="dxa"/>
            <w:tcBorders>
              <w:top w:val="single" w:sz="6" w:space="0" w:color="auto"/>
              <w:bottom w:val="single" w:sz="6" w:space="0" w:color="auto"/>
            </w:tcBorders>
            <w:tcMar>
              <w:top w:w="0" w:type="dxa"/>
              <w:left w:w="108" w:type="dxa"/>
              <w:bottom w:w="0" w:type="dxa"/>
              <w:right w:w="108" w:type="dxa"/>
            </w:tcMar>
            <w:hideMark/>
          </w:tcPr>
          <w:p w14:paraId="5B9ABA59"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1060" w:type="dxa"/>
            <w:tcBorders>
              <w:top w:val="single" w:sz="6" w:space="0" w:color="auto"/>
              <w:bottom w:val="single" w:sz="6" w:space="0" w:color="auto"/>
            </w:tcBorders>
            <w:tcMar>
              <w:top w:w="0" w:type="dxa"/>
              <w:left w:w="108" w:type="dxa"/>
              <w:bottom w:w="0" w:type="dxa"/>
              <w:right w:w="108" w:type="dxa"/>
            </w:tcMar>
            <w:hideMark/>
          </w:tcPr>
          <w:p w14:paraId="59EBBCED"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Total</w:t>
            </w:r>
          </w:p>
        </w:tc>
        <w:tc>
          <w:tcPr>
            <w:tcW w:w="492" w:type="dxa"/>
            <w:tcBorders>
              <w:top w:val="single" w:sz="6" w:space="0" w:color="auto"/>
              <w:bottom w:val="single" w:sz="6" w:space="0" w:color="auto"/>
            </w:tcBorders>
            <w:tcMar>
              <w:top w:w="0" w:type="dxa"/>
              <w:left w:w="108" w:type="dxa"/>
              <w:bottom w:w="0" w:type="dxa"/>
              <w:right w:w="108" w:type="dxa"/>
            </w:tcMar>
            <w:hideMark/>
          </w:tcPr>
          <w:p w14:paraId="43BBACB6"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40</w:t>
            </w:r>
          </w:p>
        </w:tc>
        <w:tc>
          <w:tcPr>
            <w:tcW w:w="492" w:type="dxa"/>
            <w:tcBorders>
              <w:top w:val="single" w:sz="6" w:space="0" w:color="auto"/>
              <w:bottom w:val="single" w:sz="6" w:space="0" w:color="auto"/>
            </w:tcBorders>
            <w:tcMar>
              <w:top w:w="0" w:type="dxa"/>
              <w:left w:w="108" w:type="dxa"/>
              <w:bottom w:w="0" w:type="dxa"/>
              <w:right w:w="108" w:type="dxa"/>
            </w:tcMar>
            <w:hideMark/>
          </w:tcPr>
          <w:p w14:paraId="11DD891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492" w:type="dxa"/>
            <w:tcBorders>
              <w:top w:val="single" w:sz="6" w:space="0" w:color="auto"/>
              <w:bottom w:val="single" w:sz="6" w:space="0" w:color="auto"/>
            </w:tcBorders>
            <w:tcMar>
              <w:top w:w="0" w:type="dxa"/>
              <w:left w:w="108" w:type="dxa"/>
              <w:bottom w:w="0" w:type="dxa"/>
              <w:right w:w="108" w:type="dxa"/>
            </w:tcMar>
            <w:hideMark/>
          </w:tcPr>
          <w:p w14:paraId="7AE0784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40</w:t>
            </w:r>
          </w:p>
        </w:tc>
        <w:tc>
          <w:tcPr>
            <w:tcW w:w="493" w:type="dxa"/>
            <w:tcBorders>
              <w:top w:val="single" w:sz="6" w:space="0" w:color="auto"/>
              <w:bottom w:val="single" w:sz="6" w:space="0" w:color="auto"/>
            </w:tcBorders>
            <w:tcMar>
              <w:top w:w="0" w:type="dxa"/>
              <w:left w:w="108" w:type="dxa"/>
              <w:bottom w:w="0" w:type="dxa"/>
              <w:right w:w="108" w:type="dxa"/>
            </w:tcMar>
            <w:hideMark/>
          </w:tcPr>
          <w:p w14:paraId="1072A4CB"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635" w:type="dxa"/>
            <w:tcBorders>
              <w:top w:val="single" w:sz="6" w:space="0" w:color="auto"/>
              <w:bottom w:val="single" w:sz="6" w:space="0" w:color="auto"/>
            </w:tcBorders>
            <w:tcMar>
              <w:top w:w="0" w:type="dxa"/>
              <w:left w:w="108" w:type="dxa"/>
              <w:bottom w:w="0" w:type="dxa"/>
              <w:right w:w="108" w:type="dxa"/>
            </w:tcMar>
            <w:hideMark/>
          </w:tcPr>
          <w:p w14:paraId="1928BC5E"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1628" w:type="dxa"/>
            <w:tcBorders>
              <w:top w:val="single" w:sz="6" w:space="0" w:color="auto"/>
              <w:bottom w:val="single" w:sz="6" w:space="0" w:color="auto"/>
            </w:tcBorders>
            <w:tcMar>
              <w:top w:w="0" w:type="dxa"/>
              <w:left w:w="108" w:type="dxa"/>
              <w:bottom w:w="0" w:type="dxa"/>
              <w:right w:w="108" w:type="dxa"/>
            </w:tcMar>
            <w:hideMark/>
          </w:tcPr>
          <w:p w14:paraId="4ACF139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bl>
    <w:p w14:paraId="16567C74" w14:textId="77777777" w:rsidR="00EB66BC" w:rsidRDefault="00EB66BC" w:rsidP="006E5E16">
      <w:pPr>
        <w:spacing w:after="0" w:line="300" w:lineRule="atLeast"/>
        <w:ind w:firstLine="720"/>
        <w:rPr>
          <w:rFonts w:ascii="Times New Roman" w:eastAsia="Times New Roman" w:hAnsi="Times New Roman" w:cs="Times New Roman"/>
          <w:color w:val="000000"/>
          <w:sz w:val="20"/>
          <w:szCs w:val="20"/>
        </w:rPr>
      </w:pPr>
      <w:proofErr w:type="gramStart"/>
      <w:r w:rsidRPr="00EB66BC">
        <w:rPr>
          <w:rFonts w:ascii="Times New Roman" w:eastAsia="Times New Roman" w:hAnsi="Times New Roman" w:cs="Times New Roman"/>
          <w:color w:val="000000"/>
          <w:sz w:val="20"/>
          <w:szCs w:val="20"/>
        </w:rPr>
        <w:t>Description :</w:t>
      </w:r>
      <w:proofErr w:type="gramEnd"/>
      <w:r w:rsidRPr="00EB66BC">
        <w:rPr>
          <w:rFonts w:ascii="Times New Roman" w:eastAsia="Times New Roman" w:hAnsi="Times New Roman" w:cs="Times New Roman"/>
          <w:color w:val="000000"/>
          <w:sz w:val="20"/>
          <w:szCs w:val="20"/>
        </w:rPr>
        <w:t> </w:t>
      </w:r>
      <w:r w:rsidRPr="00EB66BC">
        <w:rPr>
          <w:rFonts w:ascii="Times New Roman" w:eastAsia="Times New Roman" w:hAnsi="Times New Roman" w:cs="Times New Roman"/>
          <w:color w:val="000000"/>
          <w:sz w:val="13"/>
          <w:szCs w:val="13"/>
          <w:vertAlign w:val="superscript"/>
        </w:rPr>
        <w:t>a </w:t>
      </w:r>
      <w:r w:rsidRPr="00EB66BC">
        <w:rPr>
          <w:rFonts w:ascii="Times New Roman" w:eastAsia="Times New Roman" w:hAnsi="Times New Roman" w:cs="Times New Roman"/>
          <w:i/>
          <w:iCs/>
          <w:color w:val="000000"/>
          <w:sz w:val="20"/>
          <w:szCs w:val="20"/>
        </w:rPr>
        <w:t>Chi Square </w:t>
      </w:r>
      <w:r w:rsidRPr="00EB66BC">
        <w:rPr>
          <w:rFonts w:ascii="Times New Roman" w:eastAsia="Times New Roman" w:hAnsi="Times New Roman" w:cs="Times New Roman"/>
          <w:color w:val="000000"/>
          <w:sz w:val="20"/>
          <w:szCs w:val="20"/>
        </w:rPr>
        <w:t>Test</w:t>
      </w:r>
    </w:p>
    <w:p w14:paraId="0EF13241" w14:textId="77777777" w:rsidR="0077369A" w:rsidRPr="00EB66BC" w:rsidRDefault="0077369A" w:rsidP="00EB66BC">
      <w:pPr>
        <w:spacing w:after="0" w:line="300" w:lineRule="atLeast"/>
        <w:rPr>
          <w:rFonts w:ascii="Calibri" w:eastAsia="Times New Roman" w:hAnsi="Calibri" w:cs="Calibri"/>
          <w:color w:val="000000"/>
          <w:sz w:val="20"/>
          <w:szCs w:val="20"/>
        </w:rPr>
      </w:pPr>
    </w:p>
    <w:p w14:paraId="56219F5C" w14:textId="77777777" w:rsidR="00EB66BC" w:rsidRPr="00EB66BC" w:rsidRDefault="00EB66BC" w:rsidP="006E5E16">
      <w:pPr>
        <w:spacing w:after="0" w:line="300" w:lineRule="atLeast"/>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Table 3. Relationship of Urine </w:t>
      </w:r>
      <w:r w:rsidRPr="00EB66BC">
        <w:rPr>
          <w:rFonts w:ascii="Times New Roman" w:eastAsia="Times New Roman" w:hAnsi="Times New Roman" w:cs="Times New Roman"/>
          <w:b/>
          <w:bCs/>
          <w:i/>
          <w:iCs/>
          <w:color w:val="000000"/>
          <w:sz w:val="20"/>
          <w:szCs w:val="20"/>
        </w:rPr>
        <w:t>Cotinine </w:t>
      </w:r>
      <w:r w:rsidRPr="00EB66BC">
        <w:rPr>
          <w:rFonts w:ascii="Times New Roman" w:eastAsia="Times New Roman" w:hAnsi="Times New Roman" w:cs="Times New Roman"/>
          <w:b/>
          <w:bCs/>
          <w:color w:val="000000"/>
          <w:sz w:val="20"/>
          <w:szCs w:val="20"/>
        </w:rPr>
        <w:t xml:space="preserve">Levels in </w:t>
      </w:r>
      <w:r w:rsidR="0077369A" w:rsidRPr="00D4302E">
        <w:rPr>
          <w:rFonts w:ascii="Times New Roman" w:eastAsia="Times New Roman" w:hAnsi="Times New Roman" w:cs="Times New Roman"/>
          <w:b/>
          <w:bCs/>
          <w:color w:val="000000"/>
          <w:sz w:val="18"/>
          <w:szCs w:val="20"/>
          <w:lang w:val="id-ID"/>
        </w:rPr>
        <w:t>Toddlers</w:t>
      </w:r>
      <w:r w:rsidRPr="00EB66BC">
        <w:rPr>
          <w:rFonts w:ascii="Times New Roman" w:eastAsia="Times New Roman" w:hAnsi="Times New Roman" w:cs="Times New Roman"/>
          <w:b/>
          <w:bCs/>
          <w:color w:val="000000"/>
          <w:sz w:val="20"/>
          <w:szCs w:val="20"/>
        </w:rPr>
        <w:t xml:space="preserve"> with </w:t>
      </w:r>
      <w:r w:rsidRPr="00EB66BC">
        <w:rPr>
          <w:rFonts w:ascii="Times New Roman" w:eastAsia="Times New Roman" w:hAnsi="Times New Roman" w:cs="Times New Roman"/>
          <w:b/>
          <w:bCs/>
          <w:i/>
          <w:iCs/>
          <w:color w:val="000000"/>
          <w:sz w:val="20"/>
          <w:szCs w:val="20"/>
        </w:rPr>
        <w:t>Stunting </w:t>
      </w:r>
      <w:r w:rsidR="0077369A">
        <w:rPr>
          <w:rFonts w:ascii="Times New Roman" w:eastAsia="Times New Roman" w:hAnsi="Times New Roman" w:cs="Times New Roman"/>
          <w:b/>
          <w:bCs/>
          <w:color w:val="000000"/>
          <w:sz w:val="20"/>
          <w:szCs w:val="20"/>
        </w:rPr>
        <w:t>Incidence</w:t>
      </w:r>
    </w:p>
    <w:tbl>
      <w:tblPr>
        <w:tblW w:w="0" w:type="auto"/>
        <w:jc w:val="center"/>
        <w:tblCellMar>
          <w:left w:w="0" w:type="dxa"/>
          <w:right w:w="0" w:type="dxa"/>
        </w:tblCellMar>
        <w:tblLook w:val="04A0" w:firstRow="1" w:lastRow="0" w:firstColumn="1" w:lastColumn="0" w:noHBand="0" w:noVBand="1"/>
      </w:tblPr>
      <w:tblGrid>
        <w:gridCol w:w="1742"/>
        <w:gridCol w:w="1743"/>
        <w:gridCol w:w="1959"/>
        <w:gridCol w:w="854"/>
      </w:tblGrid>
      <w:tr w:rsidR="00EB66BC" w:rsidRPr="00EB66BC" w14:paraId="075A2196" w14:textId="77777777" w:rsidTr="006E5E16">
        <w:trPr>
          <w:trHeight w:val="397"/>
          <w:jc w:val="center"/>
        </w:trPr>
        <w:tc>
          <w:tcPr>
            <w:tcW w:w="1742" w:type="dxa"/>
            <w:vMerge w:val="restart"/>
            <w:tcBorders>
              <w:top w:val="single" w:sz="8" w:space="0" w:color="auto"/>
              <w:bottom w:val="single" w:sz="6" w:space="0" w:color="auto"/>
            </w:tcBorders>
            <w:tcMar>
              <w:top w:w="0" w:type="dxa"/>
              <w:left w:w="108" w:type="dxa"/>
              <w:bottom w:w="0" w:type="dxa"/>
              <w:right w:w="108" w:type="dxa"/>
            </w:tcMar>
            <w:vAlign w:val="center"/>
            <w:hideMark/>
          </w:tcPr>
          <w:p w14:paraId="62EB6BA7"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Variable</w:t>
            </w:r>
          </w:p>
        </w:tc>
        <w:tc>
          <w:tcPr>
            <w:tcW w:w="3702" w:type="dxa"/>
            <w:gridSpan w:val="2"/>
            <w:tcBorders>
              <w:top w:val="single" w:sz="8" w:space="0" w:color="auto"/>
              <w:bottom w:val="single" w:sz="6" w:space="0" w:color="auto"/>
            </w:tcBorders>
            <w:tcMar>
              <w:top w:w="0" w:type="dxa"/>
              <w:left w:w="108" w:type="dxa"/>
              <w:bottom w:w="0" w:type="dxa"/>
              <w:right w:w="108" w:type="dxa"/>
            </w:tcMar>
            <w:hideMark/>
          </w:tcPr>
          <w:p w14:paraId="7C8DE0B2"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i/>
                <w:iCs/>
                <w:sz w:val="20"/>
                <w:szCs w:val="20"/>
              </w:rPr>
              <w:t>Stunting </w:t>
            </w:r>
            <w:r w:rsidR="0077369A">
              <w:rPr>
                <w:rFonts w:ascii="Times New Roman" w:eastAsia="Times New Roman" w:hAnsi="Times New Roman" w:cs="Times New Roman"/>
                <w:sz w:val="20"/>
                <w:szCs w:val="20"/>
              </w:rPr>
              <w:t>Incidence</w:t>
            </w:r>
          </w:p>
        </w:tc>
        <w:tc>
          <w:tcPr>
            <w:tcW w:w="854" w:type="dxa"/>
            <w:vMerge w:val="restart"/>
            <w:tcBorders>
              <w:top w:val="single" w:sz="8" w:space="0" w:color="auto"/>
              <w:bottom w:val="single" w:sz="6" w:space="0" w:color="auto"/>
            </w:tcBorders>
            <w:tcMar>
              <w:top w:w="0" w:type="dxa"/>
              <w:left w:w="108" w:type="dxa"/>
              <w:bottom w:w="0" w:type="dxa"/>
              <w:right w:w="108" w:type="dxa"/>
            </w:tcMar>
            <w:vAlign w:val="center"/>
            <w:hideMark/>
          </w:tcPr>
          <w:p w14:paraId="69F2169B" w14:textId="77777777" w:rsidR="00EB66BC" w:rsidRPr="00EB66BC" w:rsidRDefault="0077369A" w:rsidP="0077369A">
            <w:pPr>
              <w:spacing w:after="0" w:line="240" w:lineRule="auto"/>
              <w:rPr>
                <w:rFonts w:ascii="Calibri" w:eastAsia="Times New Roman" w:hAnsi="Calibri" w:cs="Calibri"/>
                <w:sz w:val="20"/>
                <w:szCs w:val="20"/>
              </w:rPr>
            </w:pPr>
            <w:proofErr w:type="spellStart"/>
            <w:r>
              <w:rPr>
                <w:rFonts w:ascii="Times New Roman" w:eastAsia="Times New Roman" w:hAnsi="Times New Roman" w:cs="Times New Roman"/>
                <w:sz w:val="20"/>
                <w:szCs w:val="20"/>
              </w:rPr>
              <w:t>p</w:t>
            </w:r>
            <w:r w:rsidR="00EB66BC" w:rsidRPr="00EB66BC">
              <w:rPr>
                <w:rFonts w:ascii="Times New Roman" w:eastAsia="Times New Roman" w:hAnsi="Times New Roman" w:cs="Times New Roman"/>
                <w:sz w:val="20"/>
                <w:szCs w:val="20"/>
              </w:rPr>
              <w:t>value</w:t>
            </w:r>
            <w:proofErr w:type="spellEnd"/>
          </w:p>
        </w:tc>
      </w:tr>
      <w:tr w:rsidR="00EB66BC" w:rsidRPr="00EB66BC" w14:paraId="0F3080EA" w14:textId="77777777" w:rsidTr="006E5E16">
        <w:trPr>
          <w:trHeight w:val="361"/>
          <w:jc w:val="center"/>
        </w:trPr>
        <w:tc>
          <w:tcPr>
            <w:tcW w:w="0" w:type="auto"/>
            <w:vMerge/>
            <w:tcBorders>
              <w:top w:val="single" w:sz="8" w:space="0" w:color="auto"/>
              <w:bottom w:val="single" w:sz="6" w:space="0" w:color="auto"/>
            </w:tcBorders>
            <w:vAlign w:val="center"/>
            <w:hideMark/>
          </w:tcPr>
          <w:p w14:paraId="27C732D6" w14:textId="77777777" w:rsidR="00EB66BC" w:rsidRPr="00EB66BC" w:rsidRDefault="00EB66BC" w:rsidP="00EB66BC">
            <w:pPr>
              <w:spacing w:after="0" w:line="240" w:lineRule="auto"/>
              <w:rPr>
                <w:rFonts w:ascii="Calibri" w:eastAsia="Times New Roman" w:hAnsi="Calibri" w:cs="Calibri"/>
                <w:sz w:val="20"/>
                <w:szCs w:val="20"/>
              </w:rPr>
            </w:pPr>
          </w:p>
        </w:tc>
        <w:tc>
          <w:tcPr>
            <w:tcW w:w="1743" w:type="dxa"/>
            <w:tcBorders>
              <w:top w:val="single" w:sz="6" w:space="0" w:color="auto"/>
              <w:bottom w:val="single" w:sz="6" w:space="0" w:color="auto"/>
            </w:tcBorders>
            <w:tcMar>
              <w:top w:w="0" w:type="dxa"/>
              <w:left w:w="108" w:type="dxa"/>
              <w:bottom w:w="0" w:type="dxa"/>
              <w:right w:w="108" w:type="dxa"/>
            </w:tcMar>
            <w:hideMark/>
          </w:tcPr>
          <w:p w14:paraId="1FF61030"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Case</w:t>
            </w:r>
          </w:p>
        </w:tc>
        <w:tc>
          <w:tcPr>
            <w:tcW w:w="1743" w:type="dxa"/>
            <w:tcBorders>
              <w:top w:val="single" w:sz="6" w:space="0" w:color="auto"/>
              <w:bottom w:val="single" w:sz="6" w:space="0" w:color="auto"/>
            </w:tcBorders>
            <w:tcMar>
              <w:top w:w="0" w:type="dxa"/>
              <w:left w:w="108" w:type="dxa"/>
              <w:bottom w:w="0" w:type="dxa"/>
              <w:right w:w="108" w:type="dxa"/>
            </w:tcMar>
            <w:hideMark/>
          </w:tcPr>
          <w:p w14:paraId="3DD7D01D"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Control</w:t>
            </w:r>
          </w:p>
        </w:tc>
        <w:tc>
          <w:tcPr>
            <w:tcW w:w="0" w:type="auto"/>
            <w:vMerge/>
            <w:tcBorders>
              <w:top w:val="single" w:sz="8" w:space="0" w:color="auto"/>
              <w:bottom w:val="single" w:sz="6" w:space="0" w:color="auto"/>
            </w:tcBorders>
            <w:vAlign w:val="center"/>
            <w:hideMark/>
          </w:tcPr>
          <w:p w14:paraId="1B57B7BD"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5BB06DB0" w14:textId="77777777" w:rsidTr="006E5E16">
        <w:trPr>
          <w:trHeight w:val="123"/>
          <w:jc w:val="center"/>
        </w:trPr>
        <w:tc>
          <w:tcPr>
            <w:tcW w:w="0" w:type="auto"/>
            <w:vMerge/>
            <w:tcBorders>
              <w:top w:val="single" w:sz="8" w:space="0" w:color="auto"/>
              <w:bottom w:val="single" w:sz="6" w:space="0" w:color="auto"/>
            </w:tcBorders>
            <w:vAlign w:val="center"/>
            <w:hideMark/>
          </w:tcPr>
          <w:p w14:paraId="52CE4DC6" w14:textId="77777777" w:rsidR="00EB66BC" w:rsidRPr="00EB66BC" w:rsidRDefault="00EB66BC" w:rsidP="00EB66BC">
            <w:pPr>
              <w:spacing w:after="0" w:line="240" w:lineRule="auto"/>
              <w:rPr>
                <w:rFonts w:ascii="Calibri" w:eastAsia="Times New Roman" w:hAnsi="Calibri" w:cs="Calibri"/>
                <w:sz w:val="20"/>
                <w:szCs w:val="20"/>
              </w:rPr>
            </w:pPr>
          </w:p>
        </w:tc>
        <w:tc>
          <w:tcPr>
            <w:tcW w:w="1743" w:type="dxa"/>
            <w:tcBorders>
              <w:top w:val="single" w:sz="6" w:space="0" w:color="auto"/>
              <w:bottom w:val="single" w:sz="6" w:space="0" w:color="auto"/>
            </w:tcBorders>
            <w:tcMar>
              <w:top w:w="0" w:type="dxa"/>
              <w:left w:w="108" w:type="dxa"/>
              <w:bottom w:w="0" w:type="dxa"/>
              <w:right w:w="108" w:type="dxa"/>
            </w:tcMar>
            <w:hideMark/>
          </w:tcPr>
          <w:p w14:paraId="4F8A8AAF"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Mean rank</w:t>
            </w:r>
          </w:p>
        </w:tc>
        <w:tc>
          <w:tcPr>
            <w:tcW w:w="1743" w:type="dxa"/>
            <w:tcBorders>
              <w:top w:val="single" w:sz="6" w:space="0" w:color="auto"/>
              <w:bottom w:val="single" w:sz="6" w:space="0" w:color="auto"/>
            </w:tcBorders>
            <w:tcMar>
              <w:top w:w="0" w:type="dxa"/>
              <w:left w:w="108" w:type="dxa"/>
              <w:bottom w:w="0" w:type="dxa"/>
              <w:right w:w="108" w:type="dxa"/>
            </w:tcMar>
            <w:hideMark/>
          </w:tcPr>
          <w:p w14:paraId="10F728AE"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Mean rank</w:t>
            </w:r>
          </w:p>
        </w:tc>
        <w:tc>
          <w:tcPr>
            <w:tcW w:w="0" w:type="auto"/>
            <w:vMerge/>
            <w:tcBorders>
              <w:top w:val="single" w:sz="8" w:space="0" w:color="auto"/>
              <w:bottom w:val="single" w:sz="6" w:space="0" w:color="auto"/>
            </w:tcBorders>
            <w:vAlign w:val="center"/>
            <w:hideMark/>
          </w:tcPr>
          <w:p w14:paraId="74E04B2A"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64EB478A" w14:textId="77777777" w:rsidTr="006E5E16">
        <w:trPr>
          <w:trHeight w:val="407"/>
          <w:jc w:val="center"/>
        </w:trPr>
        <w:tc>
          <w:tcPr>
            <w:tcW w:w="1742" w:type="dxa"/>
            <w:tcBorders>
              <w:top w:val="single" w:sz="6" w:space="0" w:color="auto"/>
              <w:bottom w:val="single" w:sz="8" w:space="0" w:color="auto"/>
            </w:tcBorders>
            <w:tcMar>
              <w:top w:w="0" w:type="dxa"/>
              <w:left w:w="108" w:type="dxa"/>
              <w:bottom w:w="0" w:type="dxa"/>
              <w:right w:w="108" w:type="dxa"/>
            </w:tcMar>
            <w:hideMark/>
          </w:tcPr>
          <w:p w14:paraId="1A6CD447"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i/>
                <w:iCs/>
                <w:sz w:val="20"/>
                <w:szCs w:val="20"/>
              </w:rPr>
              <w:t>Cotinine </w:t>
            </w:r>
            <w:r w:rsidRPr="00EB66BC">
              <w:rPr>
                <w:rFonts w:ascii="Times New Roman" w:eastAsia="Times New Roman" w:hAnsi="Times New Roman" w:cs="Times New Roman"/>
                <w:sz w:val="20"/>
                <w:szCs w:val="20"/>
              </w:rPr>
              <w:t>levels</w:t>
            </w:r>
          </w:p>
        </w:tc>
        <w:tc>
          <w:tcPr>
            <w:tcW w:w="1743" w:type="dxa"/>
            <w:tcBorders>
              <w:top w:val="single" w:sz="6" w:space="0" w:color="auto"/>
              <w:bottom w:val="single" w:sz="8" w:space="0" w:color="auto"/>
            </w:tcBorders>
            <w:tcMar>
              <w:top w:w="0" w:type="dxa"/>
              <w:left w:w="108" w:type="dxa"/>
              <w:bottom w:w="0" w:type="dxa"/>
              <w:right w:w="108" w:type="dxa"/>
            </w:tcMar>
            <w:vAlign w:val="center"/>
            <w:hideMark/>
          </w:tcPr>
          <w:p w14:paraId="5C186B60"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36.33</w:t>
            </w:r>
          </w:p>
        </w:tc>
        <w:tc>
          <w:tcPr>
            <w:tcW w:w="1743" w:type="dxa"/>
            <w:tcBorders>
              <w:top w:val="single" w:sz="6" w:space="0" w:color="auto"/>
              <w:bottom w:val="single" w:sz="8" w:space="0" w:color="auto"/>
            </w:tcBorders>
            <w:tcMar>
              <w:top w:w="0" w:type="dxa"/>
              <w:left w:w="108" w:type="dxa"/>
              <w:bottom w:w="0" w:type="dxa"/>
              <w:right w:w="108" w:type="dxa"/>
            </w:tcMar>
            <w:vAlign w:val="center"/>
            <w:hideMark/>
          </w:tcPr>
          <w:p w14:paraId="2FDC3BEF"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44.68</w:t>
            </w:r>
          </w:p>
        </w:tc>
        <w:tc>
          <w:tcPr>
            <w:tcW w:w="854" w:type="dxa"/>
            <w:tcBorders>
              <w:top w:val="single" w:sz="6" w:space="0" w:color="auto"/>
              <w:bottom w:val="single" w:sz="8" w:space="0" w:color="auto"/>
            </w:tcBorders>
            <w:tcMar>
              <w:top w:w="0" w:type="dxa"/>
              <w:left w:w="108" w:type="dxa"/>
              <w:bottom w:w="0" w:type="dxa"/>
              <w:right w:w="108" w:type="dxa"/>
            </w:tcMar>
            <w:vAlign w:val="center"/>
            <w:hideMark/>
          </w:tcPr>
          <w:p w14:paraId="2EF4158B"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0.108 </w:t>
            </w:r>
            <w:r w:rsidRPr="00EB66BC">
              <w:rPr>
                <w:rFonts w:ascii="Times New Roman" w:eastAsia="Times New Roman" w:hAnsi="Times New Roman" w:cs="Times New Roman"/>
                <w:sz w:val="13"/>
                <w:szCs w:val="13"/>
                <w:vertAlign w:val="superscript"/>
              </w:rPr>
              <w:t>a</w:t>
            </w:r>
          </w:p>
        </w:tc>
      </w:tr>
    </w:tbl>
    <w:p w14:paraId="3124755D" w14:textId="77777777" w:rsidR="00EB66BC" w:rsidRDefault="00EB66BC" w:rsidP="006E5E16">
      <w:pPr>
        <w:spacing w:after="0" w:line="300" w:lineRule="atLeast"/>
        <w:ind w:left="720" w:firstLine="720"/>
        <w:rPr>
          <w:rFonts w:ascii="Times New Roman" w:eastAsia="Times New Roman" w:hAnsi="Times New Roman" w:cs="Times New Roman"/>
          <w:i/>
          <w:iCs/>
          <w:color w:val="000000"/>
          <w:sz w:val="20"/>
          <w:szCs w:val="20"/>
        </w:rPr>
      </w:pPr>
      <w:r w:rsidRPr="00EB66BC">
        <w:rPr>
          <w:rFonts w:ascii="Times New Roman" w:eastAsia="Times New Roman" w:hAnsi="Times New Roman" w:cs="Times New Roman"/>
          <w:color w:val="000000"/>
          <w:sz w:val="20"/>
          <w:szCs w:val="20"/>
        </w:rPr>
        <w:t>Description: </w:t>
      </w:r>
      <w:r w:rsidRPr="00EB66BC">
        <w:rPr>
          <w:rFonts w:ascii="Times New Roman" w:eastAsia="Times New Roman" w:hAnsi="Times New Roman" w:cs="Times New Roman"/>
          <w:color w:val="000000"/>
          <w:sz w:val="13"/>
          <w:szCs w:val="13"/>
          <w:vertAlign w:val="superscript"/>
        </w:rPr>
        <w:t>a </w:t>
      </w:r>
      <w:r w:rsidRPr="00EB66BC">
        <w:rPr>
          <w:rFonts w:ascii="Times New Roman" w:eastAsia="Times New Roman" w:hAnsi="Times New Roman" w:cs="Times New Roman"/>
          <w:i/>
          <w:iCs/>
          <w:color w:val="000000"/>
          <w:sz w:val="20"/>
          <w:szCs w:val="20"/>
        </w:rPr>
        <w:t>Mann-Whitney</w:t>
      </w:r>
    </w:p>
    <w:p w14:paraId="104EF14A" w14:textId="77777777" w:rsidR="000610DC" w:rsidRPr="00EB66BC" w:rsidRDefault="000610DC" w:rsidP="006E5E16">
      <w:pPr>
        <w:spacing w:after="0" w:line="300" w:lineRule="atLeast"/>
        <w:ind w:left="720" w:firstLine="720"/>
        <w:rPr>
          <w:rFonts w:ascii="Calibri" w:eastAsia="Times New Roman" w:hAnsi="Calibri" w:cs="Calibri"/>
          <w:color w:val="000000"/>
          <w:sz w:val="20"/>
          <w:szCs w:val="20"/>
        </w:rPr>
      </w:pPr>
    </w:p>
    <w:p w14:paraId="25C42F89" w14:textId="15E8AAFB" w:rsidR="002536AD" w:rsidRDefault="000610DC" w:rsidP="000610DC">
      <w:pPr>
        <w:spacing w:after="0" w:line="360" w:lineRule="auto"/>
        <w:ind w:firstLine="720"/>
        <w:jc w:val="both"/>
        <w:rPr>
          <w:rFonts w:ascii="Times New Roman" w:eastAsia="Times New Roman" w:hAnsi="Times New Roman" w:cs="Times New Roman"/>
          <w:color w:val="000000"/>
        </w:rPr>
      </w:pPr>
      <w:r w:rsidRPr="000610DC">
        <w:rPr>
          <w:rFonts w:ascii="Times New Roman" w:eastAsia="Times New Roman" w:hAnsi="Times New Roman" w:cs="Times New Roman"/>
          <w:color w:val="000000"/>
        </w:rPr>
        <w:t>Based on a history of cigarette smoke exposure, 77.5% of toddlers in the stunting group had a history of exposure, but this did not statistically show a significant relationship with the incidence of stunting (p = 0.453). In line with these findings, the results of the Mann-Whitney test on objective biomarkers showed no significant difference in urinary cotinine levels between the case group (mean rank 36.33) and the control group (mean rank 44.68) with a p value = 0.108.</w:t>
      </w:r>
    </w:p>
    <w:p w14:paraId="5EAC0CB7" w14:textId="77777777" w:rsidR="000610DC" w:rsidRPr="00EB66BC" w:rsidRDefault="000610DC" w:rsidP="000610DC">
      <w:pPr>
        <w:spacing w:after="0" w:line="360" w:lineRule="auto"/>
        <w:ind w:firstLine="720"/>
        <w:jc w:val="both"/>
        <w:rPr>
          <w:rFonts w:ascii="Calibri" w:eastAsia="Times New Roman" w:hAnsi="Calibri" w:cs="Calibri"/>
          <w:color w:val="000000"/>
        </w:rPr>
      </w:pPr>
    </w:p>
    <w:p w14:paraId="72606159" w14:textId="77777777" w:rsidR="00EB66BC" w:rsidRPr="00EB66BC" w:rsidRDefault="00EB66BC" w:rsidP="00EB66BC">
      <w:pPr>
        <w:spacing w:after="0" w:line="330" w:lineRule="atLeast"/>
        <w:jc w:val="both"/>
        <w:rPr>
          <w:rFonts w:ascii="Calibri" w:eastAsia="Times New Roman" w:hAnsi="Calibri" w:cs="Calibri"/>
          <w:color w:val="000000"/>
        </w:rPr>
      </w:pPr>
      <w:r w:rsidRPr="00EB66BC">
        <w:rPr>
          <w:rFonts w:ascii="Times New Roman" w:eastAsia="Times New Roman" w:hAnsi="Times New Roman" w:cs="Times New Roman"/>
          <w:b/>
          <w:bCs/>
          <w:color w:val="000000"/>
        </w:rPr>
        <w:t>Protein Adequacy Level and Iodine Adequacy Level</w:t>
      </w:r>
    </w:p>
    <w:p w14:paraId="76839794" w14:textId="77777777" w:rsidR="00EB66BC" w:rsidRPr="00EB66BC" w:rsidRDefault="00EB66BC" w:rsidP="006E5E16">
      <w:pPr>
        <w:spacing w:after="0" w:line="240" w:lineRule="auto"/>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Table 4. Relationship of Protein Adequacy Level with </w:t>
      </w:r>
      <w:r w:rsidRPr="00EB66BC">
        <w:rPr>
          <w:rFonts w:ascii="Times New Roman" w:eastAsia="Times New Roman" w:hAnsi="Times New Roman" w:cs="Times New Roman"/>
          <w:b/>
          <w:bCs/>
          <w:i/>
          <w:iCs/>
          <w:color w:val="000000"/>
          <w:sz w:val="20"/>
          <w:szCs w:val="20"/>
        </w:rPr>
        <w:t>Stunting </w:t>
      </w:r>
      <w:r w:rsidRPr="00EB66BC">
        <w:rPr>
          <w:rFonts w:ascii="Times New Roman" w:eastAsia="Times New Roman" w:hAnsi="Times New Roman" w:cs="Times New Roman"/>
          <w:b/>
          <w:bCs/>
          <w:color w:val="000000"/>
          <w:sz w:val="20"/>
          <w:szCs w:val="20"/>
        </w:rPr>
        <w:t>Incidence</w:t>
      </w:r>
    </w:p>
    <w:tbl>
      <w:tblPr>
        <w:tblW w:w="7492" w:type="dxa"/>
        <w:jc w:val="center"/>
        <w:tblCellMar>
          <w:left w:w="0" w:type="dxa"/>
          <w:right w:w="0" w:type="dxa"/>
        </w:tblCellMar>
        <w:tblLook w:val="04A0" w:firstRow="1" w:lastRow="0" w:firstColumn="1" w:lastColumn="0" w:noHBand="0" w:noVBand="1"/>
      </w:tblPr>
      <w:tblGrid>
        <w:gridCol w:w="1386"/>
        <w:gridCol w:w="1071"/>
        <w:gridCol w:w="775"/>
        <w:gridCol w:w="950"/>
        <w:gridCol w:w="1102"/>
        <w:gridCol w:w="1106"/>
        <w:gridCol w:w="806"/>
        <w:gridCol w:w="296"/>
      </w:tblGrid>
      <w:tr w:rsidR="00EB66BC" w:rsidRPr="00EB66BC" w14:paraId="15216B5C" w14:textId="77777777" w:rsidTr="000610DC">
        <w:trPr>
          <w:trHeight w:val="394"/>
          <w:jc w:val="center"/>
        </w:trPr>
        <w:tc>
          <w:tcPr>
            <w:tcW w:w="2457" w:type="dxa"/>
            <w:gridSpan w:val="2"/>
            <w:vMerge w:val="restart"/>
            <w:tcBorders>
              <w:top w:val="single" w:sz="6" w:space="0" w:color="7F7F7F"/>
              <w:bottom w:val="single" w:sz="6" w:space="0" w:color="auto"/>
            </w:tcBorders>
            <w:tcMar>
              <w:top w:w="0" w:type="dxa"/>
              <w:left w:w="108" w:type="dxa"/>
              <w:bottom w:w="0" w:type="dxa"/>
              <w:right w:w="108" w:type="dxa"/>
            </w:tcMar>
            <w:vAlign w:val="center"/>
            <w:hideMark/>
          </w:tcPr>
          <w:p w14:paraId="315AF989"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Variable</w:t>
            </w:r>
          </w:p>
        </w:tc>
        <w:tc>
          <w:tcPr>
            <w:tcW w:w="3933" w:type="dxa"/>
            <w:gridSpan w:val="4"/>
            <w:tcBorders>
              <w:top w:val="single" w:sz="6" w:space="0" w:color="7F7F7F"/>
            </w:tcBorders>
            <w:tcMar>
              <w:top w:w="0" w:type="dxa"/>
              <w:left w:w="108" w:type="dxa"/>
              <w:bottom w:w="0" w:type="dxa"/>
              <w:right w:w="108" w:type="dxa"/>
            </w:tcMar>
            <w:vAlign w:val="center"/>
            <w:hideMark/>
          </w:tcPr>
          <w:p w14:paraId="0A23BE7C"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Stunting Incident</w:t>
            </w:r>
          </w:p>
          <w:p w14:paraId="184F59F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 </w:t>
            </w:r>
          </w:p>
        </w:tc>
        <w:tc>
          <w:tcPr>
            <w:tcW w:w="1102" w:type="dxa"/>
            <w:gridSpan w:val="2"/>
            <w:vMerge w:val="restart"/>
            <w:tcBorders>
              <w:top w:val="single" w:sz="6" w:space="0" w:color="7F7F7F"/>
              <w:bottom w:val="single" w:sz="6" w:space="0" w:color="auto"/>
            </w:tcBorders>
            <w:tcMar>
              <w:top w:w="0" w:type="dxa"/>
              <w:left w:w="108" w:type="dxa"/>
              <w:bottom w:w="0" w:type="dxa"/>
              <w:right w:w="108" w:type="dxa"/>
            </w:tcMar>
            <w:vAlign w:val="center"/>
            <w:hideMark/>
          </w:tcPr>
          <w:p w14:paraId="373C0891" w14:textId="77777777" w:rsidR="00EB66BC" w:rsidRPr="00EB66BC" w:rsidRDefault="00EB66BC" w:rsidP="002536AD">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p value</w:t>
            </w:r>
          </w:p>
        </w:tc>
      </w:tr>
      <w:tr w:rsidR="00EB66BC" w:rsidRPr="00EB66BC" w14:paraId="670E3180" w14:textId="77777777" w:rsidTr="000610DC">
        <w:trPr>
          <w:trHeight w:val="202"/>
          <w:jc w:val="center"/>
        </w:trPr>
        <w:tc>
          <w:tcPr>
            <w:tcW w:w="0" w:type="auto"/>
            <w:gridSpan w:val="2"/>
            <w:vMerge/>
            <w:tcBorders>
              <w:top w:val="single" w:sz="6" w:space="0" w:color="7F7F7F"/>
              <w:bottom w:val="single" w:sz="6" w:space="0" w:color="auto"/>
            </w:tcBorders>
            <w:vAlign w:val="center"/>
            <w:hideMark/>
          </w:tcPr>
          <w:p w14:paraId="3E20633E" w14:textId="77777777" w:rsidR="00EB66BC" w:rsidRPr="00EB66BC" w:rsidRDefault="00EB66BC" w:rsidP="00EB66BC">
            <w:pPr>
              <w:spacing w:after="0" w:line="240" w:lineRule="auto"/>
              <w:rPr>
                <w:rFonts w:ascii="Calibri" w:eastAsia="Times New Roman" w:hAnsi="Calibri" w:cs="Calibri"/>
                <w:sz w:val="20"/>
                <w:szCs w:val="20"/>
              </w:rPr>
            </w:pPr>
          </w:p>
        </w:tc>
        <w:tc>
          <w:tcPr>
            <w:tcW w:w="1725" w:type="dxa"/>
            <w:gridSpan w:val="2"/>
            <w:tcBorders>
              <w:bottom w:val="single" w:sz="6" w:space="0" w:color="auto"/>
            </w:tcBorders>
            <w:tcMar>
              <w:top w:w="0" w:type="dxa"/>
              <w:left w:w="108" w:type="dxa"/>
              <w:bottom w:w="0" w:type="dxa"/>
              <w:right w:w="108" w:type="dxa"/>
            </w:tcMar>
            <w:vAlign w:val="center"/>
            <w:hideMark/>
          </w:tcPr>
          <w:p w14:paraId="7B8C0B8D"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Case</w:t>
            </w:r>
          </w:p>
        </w:tc>
        <w:tc>
          <w:tcPr>
            <w:tcW w:w="2208" w:type="dxa"/>
            <w:gridSpan w:val="2"/>
            <w:tcBorders>
              <w:bottom w:val="single" w:sz="6" w:space="0" w:color="auto"/>
            </w:tcBorders>
            <w:tcMar>
              <w:top w:w="0" w:type="dxa"/>
              <w:left w:w="108" w:type="dxa"/>
              <w:bottom w:w="0" w:type="dxa"/>
              <w:right w:w="108" w:type="dxa"/>
            </w:tcMar>
            <w:vAlign w:val="center"/>
            <w:hideMark/>
          </w:tcPr>
          <w:p w14:paraId="46A40BBF"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Control</w:t>
            </w:r>
          </w:p>
        </w:tc>
        <w:tc>
          <w:tcPr>
            <w:tcW w:w="0" w:type="auto"/>
            <w:gridSpan w:val="2"/>
            <w:vMerge/>
            <w:tcBorders>
              <w:top w:val="single" w:sz="6" w:space="0" w:color="7F7F7F"/>
              <w:bottom w:val="single" w:sz="6" w:space="0" w:color="auto"/>
            </w:tcBorders>
            <w:vAlign w:val="center"/>
            <w:hideMark/>
          </w:tcPr>
          <w:p w14:paraId="1E636B0A"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338C85BB" w14:textId="77777777" w:rsidTr="000610DC">
        <w:trPr>
          <w:trHeight w:val="202"/>
          <w:jc w:val="center"/>
        </w:trPr>
        <w:tc>
          <w:tcPr>
            <w:tcW w:w="1386" w:type="dxa"/>
            <w:tcBorders>
              <w:bottom w:val="single" w:sz="6" w:space="0" w:color="auto"/>
            </w:tcBorders>
            <w:tcMar>
              <w:top w:w="0" w:type="dxa"/>
              <w:left w:w="108" w:type="dxa"/>
              <w:bottom w:w="0" w:type="dxa"/>
              <w:right w:w="108" w:type="dxa"/>
            </w:tcMar>
            <w:hideMark/>
          </w:tcPr>
          <w:p w14:paraId="268DF7A8"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1071" w:type="dxa"/>
            <w:tcBorders>
              <w:bottom w:val="single" w:sz="6" w:space="0" w:color="auto"/>
            </w:tcBorders>
            <w:tcMar>
              <w:top w:w="0" w:type="dxa"/>
              <w:left w:w="108" w:type="dxa"/>
              <w:bottom w:w="0" w:type="dxa"/>
              <w:right w:w="108" w:type="dxa"/>
            </w:tcMar>
            <w:hideMark/>
          </w:tcPr>
          <w:p w14:paraId="2F62C10C"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775" w:type="dxa"/>
            <w:tcBorders>
              <w:bottom w:val="single" w:sz="6" w:space="0" w:color="auto"/>
            </w:tcBorders>
            <w:tcMar>
              <w:top w:w="0" w:type="dxa"/>
              <w:left w:w="108" w:type="dxa"/>
              <w:bottom w:w="0" w:type="dxa"/>
              <w:right w:w="108" w:type="dxa"/>
            </w:tcMar>
            <w:hideMark/>
          </w:tcPr>
          <w:p w14:paraId="7A94BB1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n</w:t>
            </w:r>
          </w:p>
        </w:tc>
        <w:tc>
          <w:tcPr>
            <w:tcW w:w="950" w:type="dxa"/>
            <w:tcBorders>
              <w:bottom w:val="single" w:sz="6" w:space="0" w:color="auto"/>
            </w:tcBorders>
            <w:tcMar>
              <w:top w:w="0" w:type="dxa"/>
              <w:left w:w="108" w:type="dxa"/>
              <w:bottom w:w="0" w:type="dxa"/>
              <w:right w:w="108" w:type="dxa"/>
            </w:tcMar>
            <w:vAlign w:val="center"/>
            <w:hideMark/>
          </w:tcPr>
          <w:p w14:paraId="36DADB2B"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sz w:val="20"/>
                <w:szCs w:val="20"/>
              </w:rPr>
              <w:t>%</w:t>
            </w:r>
          </w:p>
        </w:tc>
        <w:tc>
          <w:tcPr>
            <w:tcW w:w="1102" w:type="dxa"/>
            <w:tcBorders>
              <w:bottom w:val="single" w:sz="6" w:space="0" w:color="auto"/>
            </w:tcBorders>
            <w:tcMar>
              <w:top w:w="0" w:type="dxa"/>
              <w:left w:w="108" w:type="dxa"/>
              <w:bottom w:w="0" w:type="dxa"/>
              <w:right w:w="108" w:type="dxa"/>
            </w:tcMar>
            <w:hideMark/>
          </w:tcPr>
          <w:p w14:paraId="0516CAE1"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n</w:t>
            </w:r>
          </w:p>
        </w:tc>
        <w:tc>
          <w:tcPr>
            <w:tcW w:w="1106" w:type="dxa"/>
            <w:tcBorders>
              <w:bottom w:val="single" w:sz="6" w:space="0" w:color="auto"/>
            </w:tcBorders>
            <w:tcMar>
              <w:top w:w="0" w:type="dxa"/>
              <w:left w:w="108" w:type="dxa"/>
              <w:bottom w:w="0" w:type="dxa"/>
              <w:right w:w="108" w:type="dxa"/>
            </w:tcMar>
            <w:hideMark/>
          </w:tcPr>
          <w:p w14:paraId="5671CD70"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sz w:val="20"/>
                <w:szCs w:val="20"/>
              </w:rPr>
              <w:t>%</w:t>
            </w:r>
          </w:p>
        </w:tc>
        <w:tc>
          <w:tcPr>
            <w:tcW w:w="1102" w:type="dxa"/>
            <w:gridSpan w:val="2"/>
            <w:tcBorders>
              <w:bottom w:val="single" w:sz="6" w:space="0" w:color="auto"/>
            </w:tcBorders>
            <w:tcMar>
              <w:top w:w="0" w:type="dxa"/>
              <w:left w:w="108" w:type="dxa"/>
              <w:bottom w:w="0" w:type="dxa"/>
              <w:right w:w="108" w:type="dxa"/>
            </w:tcMar>
            <w:hideMark/>
          </w:tcPr>
          <w:p w14:paraId="66E32843" w14:textId="77777777" w:rsidR="00EB66BC" w:rsidRPr="00EB66BC" w:rsidRDefault="00EB66BC" w:rsidP="00EB66BC">
            <w:pPr>
              <w:spacing w:after="0" w:line="240" w:lineRule="auto"/>
              <w:ind w:right="314"/>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7CFE8DC7" w14:textId="77777777" w:rsidTr="000610DC">
        <w:trPr>
          <w:trHeight w:val="327"/>
          <w:jc w:val="center"/>
        </w:trPr>
        <w:tc>
          <w:tcPr>
            <w:tcW w:w="1386" w:type="dxa"/>
            <w:vMerge w:val="restart"/>
            <w:tcBorders>
              <w:top w:val="single" w:sz="6" w:space="0" w:color="auto"/>
              <w:bottom w:val="single" w:sz="6" w:space="0" w:color="7F7F7F"/>
            </w:tcBorders>
            <w:tcMar>
              <w:top w:w="0" w:type="dxa"/>
              <w:left w:w="108" w:type="dxa"/>
              <w:bottom w:w="0" w:type="dxa"/>
              <w:right w:w="108" w:type="dxa"/>
            </w:tcMar>
            <w:hideMark/>
          </w:tcPr>
          <w:p w14:paraId="30F32649"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Protein Adequacy Level</w:t>
            </w:r>
          </w:p>
        </w:tc>
        <w:tc>
          <w:tcPr>
            <w:tcW w:w="1071" w:type="dxa"/>
            <w:tcBorders>
              <w:top w:val="single" w:sz="6" w:space="0" w:color="auto"/>
            </w:tcBorders>
            <w:tcMar>
              <w:top w:w="0" w:type="dxa"/>
              <w:left w:w="108" w:type="dxa"/>
              <w:bottom w:w="0" w:type="dxa"/>
              <w:right w:w="108" w:type="dxa"/>
            </w:tcMar>
            <w:hideMark/>
          </w:tcPr>
          <w:p w14:paraId="7B107FB4"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Not enough</w:t>
            </w:r>
          </w:p>
        </w:tc>
        <w:tc>
          <w:tcPr>
            <w:tcW w:w="775" w:type="dxa"/>
            <w:tcBorders>
              <w:top w:val="single" w:sz="6" w:space="0" w:color="auto"/>
            </w:tcBorders>
            <w:tcMar>
              <w:top w:w="0" w:type="dxa"/>
              <w:left w:w="108" w:type="dxa"/>
              <w:bottom w:w="0" w:type="dxa"/>
              <w:right w:w="108" w:type="dxa"/>
            </w:tcMar>
            <w:hideMark/>
          </w:tcPr>
          <w:p w14:paraId="43001DA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14</w:t>
            </w:r>
          </w:p>
        </w:tc>
        <w:tc>
          <w:tcPr>
            <w:tcW w:w="950" w:type="dxa"/>
            <w:tcBorders>
              <w:top w:val="single" w:sz="6" w:space="0" w:color="auto"/>
            </w:tcBorders>
            <w:tcMar>
              <w:top w:w="0" w:type="dxa"/>
              <w:left w:w="108" w:type="dxa"/>
              <w:bottom w:w="0" w:type="dxa"/>
              <w:right w:w="108" w:type="dxa"/>
            </w:tcMar>
            <w:hideMark/>
          </w:tcPr>
          <w:p w14:paraId="767E032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35</w:t>
            </w:r>
          </w:p>
        </w:tc>
        <w:tc>
          <w:tcPr>
            <w:tcW w:w="1102" w:type="dxa"/>
            <w:tcBorders>
              <w:top w:val="single" w:sz="6" w:space="0" w:color="auto"/>
            </w:tcBorders>
            <w:tcMar>
              <w:top w:w="0" w:type="dxa"/>
              <w:left w:w="108" w:type="dxa"/>
              <w:bottom w:w="0" w:type="dxa"/>
              <w:right w:w="108" w:type="dxa"/>
            </w:tcMar>
            <w:hideMark/>
          </w:tcPr>
          <w:p w14:paraId="5B4BE28E"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0</w:t>
            </w:r>
          </w:p>
        </w:tc>
        <w:tc>
          <w:tcPr>
            <w:tcW w:w="1106" w:type="dxa"/>
            <w:tcBorders>
              <w:top w:val="single" w:sz="6" w:space="0" w:color="auto"/>
            </w:tcBorders>
            <w:tcMar>
              <w:top w:w="0" w:type="dxa"/>
              <w:left w:w="108" w:type="dxa"/>
              <w:bottom w:w="0" w:type="dxa"/>
              <w:right w:w="108" w:type="dxa"/>
            </w:tcMar>
            <w:hideMark/>
          </w:tcPr>
          <w:p w14:paraId="093F574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0</w:t>
            </w:r>
          </w:p>
        </w:tc>
        <w:tc>
          <w:tcPr>
            <w:tcW w:w="1102" w:type="dxa"/>
            <w:gridSpan w:val="2"/>
            <w:tcBorders>
              <w:top w:val="single" w:sz="6" w:space="0" w:color="auto"/>
            </w:tcBorders>
            <w:tcMar>
              <w:top w:w="0" w:type="dxa"/>
              <w:left w:w="108" w:type="dxa"/>
              <w:bottom w:w="0" w:type="dxa"/>
              <w:right w:w="108" w:type="dxa"/>
            </w:tcMar>
            <w:hideMark/>
          </w:tcPr>
          <w:p w14:paraId="5E04E629"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0.000 </w:t>
            </w:r>
            <w:r w:rsidRPr="00EB66BC">
              <w:rPr>
                <w:rFonts w:ascii="Times New Roman" w:eastAsia="Times New Roman" w:hAnsi="Times New Roman" w:cs="Times New Roman"/>
                <w:sz w:val="13"/>
                <w:szCs w:val="13"/>
                <w:vertAlign w:val="superscript"/>
              </w:rPr>
              <w:t>a</w:t>
            </w:r>
          </w:p>
        </w:tc>
      </w:tr>
      <w:tr w:rsidR="00EB66BC" w:rsidRPr="00EB66BC" w14:paraId="575077D4" w14:textId="77777777" w:rsidTr="000610DC">
        <w:trPr>
          <w:trHeight w:val="276"/>
          <w:jc w:val="center"/>
        </w:trPr>
        <w:tc>
          <w:tcPr>
            <w:tcW w:w="0" w:type="auto"/>
            <w:vMerge/>
            <w:tcBorders>
              <w:top w:val="single" w:sz="6" w:space="0" w:color="auto"/>
              <w:bottom w:val="single" w:sz="6" w:space="0" w:color="7F7F7F"/>
            </w:tcBorders>
            <w:vAlign w:val="center"/>
            <w:hideMark/>
          </w:tcPr>
          <w:p w14:paraId="4C921828" w14:textId="77777777" w:rsidR="00EB66BC" w:rsidRPr="00EB66BC" w:rsidRDefault="00EB66BC" w:rsidP="00EB66BC">
            <w:pPr>
              <w:spacing w:after="0" w:line="240" w:lineRule="auto"/>
              <w:rPr>
                <w:rFonts w:ascii="Calibri" w:eastAsia="Times New Roman" w:hAnsi="Calibri" w:cs="Calibri"/>
                <w:sz w:val="20"/>
                <w:szCs w:val="20"/>
              </w:rPr>
            </w:pPr>
          </w:p>
        </w:tc>
        <w:tc>
          <w:tcPr>
            <w:tcW w:w="1071" w:type="dxa"/>
            <w:tcBorders>
              <w:bottom w:val="single" w:sz="6" w:space="0" w:color="7F7F7F"/>
            </w:tcBorders>
            <w:tcMar>
              <w:top w:w="0" w:type="dxa"/>
              <w:left w:w="108" w:type="dxa"/>
              <w:bottom w:w="0" w:type="dxa"/>
              <w:right w:w="108" w:type="dxa"/>
            </w:tcMar>
            <w:hideMark/>
          </w:tcPr>
          <w:p w14:paraId="1BB5A2F4"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Enough</w:t>
            </w:r>
          </w:p>
        </w:tc>
        <w:tc>
          <w:tcPr>
            <w:tcW w:w="775" w:type="dxa"/>
            <w:tcBorders>
              <w:bottom w:val="single" w:sz="6" w:space="0" w:color="7F7F7F"/>
            </w:tcBorders>
            <w:tcMar>
              <w:top w:w="0" w:type="dxa"/>
              <w:left w:w="108" w:type="dxa"/>
              <w:bottom w:w="0" w:type="dxa"/>
              <w:right w:w="108" w:type="dxa"/>
            </w:tcMar>
            <w:hideMark/>
          </w:tcPr>
          <w:p w14:paraId="22393E1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26</w:t>
            </w:r>
          </w:p>
        </w:tc>
        <w:tc>
          <w:tcPr>
            <w:tcW w:w="950" w:type="dxa"/>
            <w:tcBorders>
              <w:bottom w:val="single" w:sz="6" w:space="0" w:color="7F7F7F"/>
            </w:tcBorders>
            <w:tcMar>
              <w:top w:w="0" w:type="dxa"/>
              <w:left w:w="108" w:type="dxa"/>
              <w:bottom w:w="0" w:type="dxa"/>
              <w:right w:w="108" w:type="dxa"/>
            </w:tcMar>
            <w:hideMark/>
          </w:tcPr>
          <w:p w14:paraId="09109F5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65</w:t>
            </w:r>
          </w:p>
        </w:tc>
        <w:tc>
          <w:tcPr>
            <w:tcW w:w="1102" w:type="dxa"/>
            <w:tcBorders>
              <w:bottom w:val="single" w:sz="6" w:space="0" w:color="7F7F7F"/>
            </w:tcBorders>
            <w:tcMar>
              <w:top w:w="0" w:type="dxa"/>
              <w:left w:w="108" w:type="dxa"/>
              <w:bottom w:w="0" w:type="dxa"/>
              <w:right w:w="108" w:type="dxa"/>
            </w:tcMar>
            <w:hideMark/>
          </w:tcPr>
          <w:p w14:paraId="5DBDF7B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40</w:t>
            </w:r>
          </w:p>
        </w:tc>
        <w:tc>
          <w:tcPr>
            <w:tcW w:w="1106" w:type="dxa"/>
            <w:tcBorders>
              <w:bottom w:val="single" w:sz="6" w:space="0" w:color="7F7F7F"/>
            </w:tcBorders>
            <w:tcMar>
              <w:top w:w="0" w:type="dxa"/>
              <w:left w:w="108" w:type="dxa"/>
              <w:bottom w:w="0" w:type="dxa"/>
              <w:right w:w="108" w:type="dxa"/>
            </w:tcMar>
            <w:hideMark/>
          </w:tcPr>
          <w:p w14:paraId="5BD608C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1102" w:type="dxa"/>
            <w:gridSpan w:val="2"/>
            <w:tcBorders>
              <w:bottom w:val="single" w:sz="6" w:space="0" w:color="7F7F7F"/>
            </w:tcBorders>
            <w:tcMar>
              <w:top w:w="0" w:type="dxa"/>
              <w:left w:w="108" w:type="dxa"/>
              <w:bottom w:w="0" w:type="dxa"/>
              <w:right w:w="108" w:type="dxa"/>
            </w:tcMar>
            <w:hideMark/>
          </w:tcPr>
          <w:p w14:paraId="3D1B31C0"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032C1D11" w14:textId="77777777" w:rsidTr="000610DC">
        <w:trPr>
          <w:trHeight w:val="178"/>
          <w:jc w:val="center"/>
        </w:trPr>
        <w:tc>
          <w:tcPr>
            <w:tcW w:w="1386" w:type="dxa"/>
            <w:tcBorders>
              <w:bottom w:val="single" w:sz="6" w:space="0" w:color="auto"/>
            </w:tcBorders>
            <w:tcMar>
              <w:top w:w="0" w:type="dxa"/>
              <w:left w:w="108" w:type="dxa"/>
              <w:bottom w:w="0" w:type="dxa"/>
              <w:right w:w="108" w:type="dxa"/>
            </w:tcMar>
            <w:hideMark/>
          </w:tcPr>
          <w:p w14:paraId="4511DB21"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1071" w:type="dxa"/>
            <w:tcBorders>
              <w:bottom w:val="single" w:sz="6" w:space="0" w:color="auto"/>
            </w:tcBorders>
            <w:tcMar>
              <w:top w:w="0" w:type="dxa"/>
              <w:left w:w="108" w:type="dxa"/>
              <w:bottom w:w="0" w:type="dxa"/>
              <w:right w:w="108" w:type="dxa"/>
            </w:tcMar>
            <w:hideMark/>
          </w:tcPr>
          <w:p w14:paraId="59105608"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Total</w:t>
            </w:r>
          </w:p>
        </w:tc>
        <w:tc>
          <w:tcPr>
            <w:tcW w:w="775" w:type="dxa"/>
            <w:tcBorders>
              <w:bottom w:val="single" w:sz="6" w:space="0" w:color="auto"/>
            </w:tcBorders>
            <w:tcMar>
              <w:top w:w="0" w:type="dxa"/>
              <w:left w:w="108" w:type="dxa"/>
              <w:bottom w:w="0" w:type="dxa"/>
              <w:right w:w="108" w:type="dxa"/>
            </w:tcMar>
            <w:hideMark/>
          </w:tcPr>
          <w:p w14:paraId="62C150F6"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47</w:t>
            </w:r>
          </w:p>
        </w:tc>
        <w:tc>
          <w:tcPr>
            <w:tcW w:w="950" w:type="dxa"/>
            <w:tcBorders>
              <w:bottom w:val="single" w:sz="6" w:space="0" w:color="auto"/>
            </w:tcBorders>
            <w:tcMar>
              <w:top w:w="0" w:type="dxa"/>
              <w:left w:w="108" w:type="dxa"/>
              <w:bottom w:w="0" w:type="dxa"/>
              <w:right w:w="108" w:type="dxa"/>
            </w:tcMar>
            <w:hideMark/>
          </w:tcPr>
          <w:p w14:paraId="2D4BE85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1102" w:type="dxa"/>
            <w:tcBorders>
              <w:bottom w:val="single" w:sz="6" w:space="0" w:color="auto"/>
            </w:tcBorders>
            <w:tcMar>
              <w:top w:w="0" w:type="dxa"/>
              <w:left w:w="108" w:type="dxa"/>
              <w:bottom w:w="0" w:type="dxa"/>
              <w:right w:w="108" w:type="dxa"/>
            </w:tcMar>
            <w:hideMark/>
          </w:tcPr>
          <w:p w14:paraId="541C94C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47</w:t>
            </w:r>
          </w:p>
        </w:tc>
        <w:tc>
          <w:tcPr>
            <w:tcW w:w="1106" w:type="dxa"/>
            <w:tcBorders>
              <w:bottom w:val="single" w:sz="6" w:space="0" w:color="auto"/>
            </w:tcBorders>
            <w:tcMar>
              <w:top w:w="0" w:type="dxa"/>
              <w:left w:w="108" w:type="dxa"/>
              <w:bottom w:w="0" w:type="dxa"/>
              <w:right w:w="108" w:type="dxa"/>
            </w:tcMar>
            <w:hideMark/>
          </w:tcPr>
          <w:p w14:paraId="6783EA28"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1102" w:type="dxa"/>
            <w:gridSpan w:val="2"/>
            <w:tcBorders>
              <w:bottom w:val="single" w:sz="6" w:space="0" w:color="auto"/>
            </w:tcBorders>
            <w:tcMar>
              <w:top w:w="0" w:type="dxa"/>
              <w:left w:w="108" w:type="dxa"/>
              <w:bottom w:w="0" w:type="dxa"/>
              <w:right w:w="108" w:type="dxa"/>
            </w:tcMar>
            <w:hideMark/>
          </w:tcPr>
          <w:p w14:paraId="4ABB0142"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243186C5" w14:textId="77777777" w:rsidTr="000610DC">
        <w:trPr>
          <w:trHeight w:val="178"/>
          <w:jc w:val="center"/>
        </w:trPr>
        <w:tc>
          <w:tcPr>
            <w:tcW w:w="7196" w:type="dxa"/>
            <w:gridSpan w:val="7"/>
            <w:tcBorders>
              <w:top w:val="single" w:sz="6" w:space="0" w:color="auto"/>
            </w:tcBorders>
            <w:tcMar>
              <w:top w:w="0" w:type="dxa"/>
              <w:left w:w="108" w:type="dxa"/>
              <w:bottom w:w="0" w:type="dxa"/>
              <w:right w:w="108" w:type="dxa"/>
            </w:tcMar>
            <w:vAlign w:val="center"/>
            <w:hideMark/>
          </w:tcPr>
          <w:p w14:paraId="448DED3E" w14:textId="77777777" w:rsidR="00EB66BC" w:rsidRDefault="00EB66BC" w:rsidP="00EB66BC">
            <w:pPr>
              <w:spacing w:after="0" w:line="240" w:lineRule="auto"/>
              <w:rPr>
                <w:rFonts w:ascii="Times New Roman" w:eastAsia="Times New Roman" w:hAnsi="Times New Roman" w:cs="Times New Roman"/>
                <w:sz w:val="20"/>
                <w:szCs w:val="20"/>
              </w:rPr>
            </w:pPr>
            <w:proofErr w:type="gramStart"/>
            <w:r w:rsidRPr="00EB66BC">
              <w:rPr>
                <w:rFonts w:ascii="Times New Roman" w:eastAsia="Times New Roman" w:hAnsi="Times New Roman" w:cs="Times New Roman"/>
                <w:sz w:val="20"/>
                <w:szCs w:val="20"/>
              </w:rPr>
              <w:t>Description :</w:t>
            </w:r>
            <w:proofErr w:type="gramEnd"/>
            <w:r w:rsidRPr="00EB66BC">
              <w:rPr>
                <w:rFonts w:ascii="Times New Roman" w:eastAsia="Times New Roman" w:hAnsi="Times New Roman" w:cs="Times New Roman"/>
                <w:sz w:val="20"/>
                <w:szCs w:val="20"/>
              </w:rPr>
              <w:t> </w:t>
            </w:r>
            <w:r w:rsidRPr="00EB66BC">
              <w:rPr>
                <w:rFonts w:ascii="Times New Roman" w:eastAsia="Times New Roman" w:hAnsi="Times New Roman" w:cs="Times New Roman"/>
                <w:i/>
                <w:iCs/>
                <w:sz w:val="13"/>
                <w:szCs w:val="13"/>
                <w:vertAlign w:val="superscript"/>
              </w:rPr>
              <w:t>a </w:t>
            </w:r>
            <w:r w:rsidRPr="00EB66BC">
              <w:rPr>
                <w:rFonts w:ascii="Times New Roman" w:eastAsia="Times New Roman" w:hAnsi="Times New Roman" w:cs="Times New Roman"/>
                <w:i/>
                <w:iCs/>
                <w:sz w:val="20"/>
                <w:szCs w:val="20"/>
              </w:rPr>
              <w:t>Chi Square </w:t>
            </w:r>
            <w:r w:rsidRPr="00EB66BC">
              <w:rPr>
                <w:rFonts w:ascii="Times New Roman" w:eastAsia="Times New Roman" w:hAnsi="Times New Roman" w:cs="Times New Roman"/>
                <w:sz w:val="20"/>
                <w:szCs w:val="20"/>
              </w:rPr>
              <w:t>Test</w:t>
            </w:r>
          </w:p>
          <w:p w14:paraId="5A62AAF8" w14:textId="77777777" w:rsidR="000610DC" w:rsidRDefault="000610DC" w:rsidP="00EB66BC">
            <w:pPr>
              <w:spacing w:after="0" w:line="240" w:lineRule="auto"/>
              <w:rPr>
                <w:rFonts w:ascii="Times New Roman" w:eastAsia="Times New Roman" w:hAnsi="Times New Roman" w:cs="Times New Roman"/>
                <w:sz w:val="20"/>
                <w:szCs w:val="20"/>
              </w:rPr>
            </w:pPr>
          </w:p>
          <w:p w14:paraId="4E63D1B8" w14:textId="77777777" w:rsidR="000610DC" w:rsidRPr="00EB66BC" w:rsidRDefault="000610DC" w:rsidP="00EB66BC">
            <w:pPr>
              <w:spacing w:after="0" w:line="240" w:lineRule="auto"/>
              <w:rPr>
                <w:rFonts w:ascii="Calibri" w:eastAsia="Times New Roman" w:hAnsi="Calibri" w:cs="Calibri"/>
                <w:sz w:val="20"/>
                <w:szCs w:val="20"/>
              </w:rPr>
            </w:pPr>
          </w:p>
        </w:tc>
        <w:tc>
          <w:tcPr>
            <w:tcW w:w="296" w:type="dxa"/>
            <w:tcBorders>
              <w:top w:val="single" w:sz="6" w:space="0" w:color="auto"/>
            </w:tcBorders>
            <w:tcMar>
              <w:top w:w="0" w:type="dxa"/>
              <w:left w:w="108" w:type="dxa"/>
              <w:bottom w:w="0" w:type="dxa"/>
              <w:right w:w="108" w:type="dxa"/>
            </w:tcMar>
            <w:hideMark/>
          </w:tcPr>
          <w:p w14:paraId="667150B1"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60F517DE" w14:textId="77777777" w:rsidTr="006E5E16">
        <w:trPr>
          <w:jc w:val="center"/>
        </w:trPr>
        <w:tc>
          <w:tcPr>
            <w:tcW w:w="1386" w:type="dxa"/>
            <w:vAlign w:val="center"/>
            <w:hideMark/>
          </w:tcPr>
          <w:p w14:paraId="1B0BFFB2" w14:textId="77777777" w:rsidR="00EB66BC" w:rsidRPr="00EB66BC" w:rsidRDefault="00EB66BC" w:rsidP="00EB66BC">
            <w:pPr>
              <w:spacing w:after="0" w:line="240" w:lineRule="auto"/>
              <w:rPr>
                <w:rFonts w:ascii="Calibri" w:eastAsia="Times New Roman" w:hAnsi="Calibri" w:cs="Calibri"/>
                <w:sz w:val="20"/>
                <w:szCs w:val="20"/>
              </w:rPr>
            </w:pPr>
          </w:p>
        </w:tc>
        <w:tc>
          <w:tcPr>
            <w:tcW w:w="1071" w:type="dxa"/>
            <w:vAlign w:val="center"/>
            <w:hideMark/>
          </w:tcPr>
          <w:p w14:paraId="365D181F"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775" w:type="dxa"/>
            <w:vAlign w:val="center"/>
            <w:hideMark/>
          </w:tcPr>
          <w:p w14:paraId="2C73298A"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950" w:type="dxa"/>
            <w:vAlign w:val="center"/>
            <w:hideMark/>
          </w:tcPr>
          <w:p w14:paraId="590D6986"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1102" w:type="dxa"/>
            <w:vAlign w:val="center"/>
            <w:hideMark/>
          </w:tcPr>
          <w:p w14:paraId="72962413"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1106" w:type="dxa"/>
            <w:vAlign w:val="center"/>
            <w:hideMark/>
          </w:tcPr>
          <w:p w14:paraId="04F2EA69"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806" w:type="dxa"/>
            <w:vAlign w:val="center"/>
            <w:hideMark/>
          </w:tcPr>
          <w:p w14:paraId="76177B35" w14:textId="77777777" w:rsidR="00EB66BC" w:rsidRPr="00EB66BC" w:rsidRDefault="00EB66BC" w:rsidP="00EB66BC">
            <w:pPr>
              <w:spacing w:after="0" w:line="240" w:lineRule="auto"/>
              <w:rPr>
                <w:rFonts w:ascii="Times New Roman" w:eastAsia="Times New Roman" w:hAnsi="Times New Roman" w:cs="Times New Roman"/>
                <w:sz w:val="20"/>
                <w:szCs w:val="20"/>
              </w:rPr>
            </w:pPr>
          </w:p>
        </w:tc>
        <w:tc>
          <w:tcPr>
            <w:tcW w:w="296" w:type="dxa"/>
            <w:vAlign w:val="center"/>
            <w:hideMark/>
          </w:tcPr>
          <w:p w14:paraId="7DDEA1E0" w14:textId="77777777" w:rsidR="00EB66BC" w:rsidRPr="00EB66BC" w:rsidRDefault="00EB66BC" w:rsidP="00EB66BC">
            <w:pPr>
              <w:spacing w:after="0" w:line="240" w:lineRule="auto"/>
              <w:rPr>
                <w:rFonts w:ascii="Times New Roman" w:eastAsia="Times New Roman" w:hAnsi="Times New Roman" w:cs="Times New Roman"/>
                <w:sz w:val="20"/>
                <w:szCs w:val="20"/>
              </w:rPr>
            </w:pPr>
          </w:p>
        </w:tc>
      </w:tr>
    </w:tbl>
    <w:p w14:paraId="35A1857A" w14:textId="24E92684" w:rsidR="00EB66BC" w:rsidRPr="000610DC" w:rsidRDefault="000610DC" w:rsidP="00893450">
      <w:pPr>
        <w:spacing w:after="0" w:line="360" w:lineRule="auto"/>
        <w:ind w:firstLine="720"/>
        <w:jc w:val="both"/>
        <w:rPr>
          <w:rFonts w:ascii="Calibri" w:eastAsia="Times New Roman" w:hAnsi="Calibri" w:cs="Calibri"/>
          <w:color w:val="000000"/>
        </w:rPr>
      </w:pPr>
      <w:r w:rsidRPr="000610DC">
        <w:rPr>
          <w:rFonts w:ascii="Times New Roman" w:eastAsia="Times New Roman" w:hAnsi="Times New Roman" w:cs="Times New Roman"/>
          <w:color w:val="202124"/>
        </w:rPr>
        <w:t>Protein and iodine sufficiency levels showed a highly significant association with stunting (p = 0.000). In the case group, 35% of toddlers had insufficient protein intake, while all toddlers in the control group (100%) had sufficient protein intake. For the iodine variable, the proportion of toddlers with insufficient intake was found to be significantly higher in the case group (85%) than in the control group (25%)</w:t>
      </w:r>
      <w:r w:rsidRPr="000610DC">
        <w:rPr>
          <w:rFonts w:ascii="Times New Roman" w:eastAsia="Times New Roman" w:hAnsi="Times New Roman" w:cs="Times New Roman"/>
          <w:i/>
          <w:iCs/>
          <w:color w:val="202124"/>
        </w:rPr>
        <w:t>.</w:t>
      </w:r>
    </w:p>
    <w:p w14:paraId="108A6D65" w14:textId="77777777" w:rsidR="00EB66BC" w:rsidRDefault="00EB66BC" w:rsidP="00EB66BC">
      <w:pPr>
        <w:spacing w:after="0" w:line="360" w:lineRule="atLeast"/>
        <w:rPr>
          <w:rFonts w:ascii="Times New Roman" w:eastAsia="Times New Roman" w:hAnsi="Times New Roman" w:cs="Times New Roman"/>
          <w:color w:val="202124"/>
          <w:sz w:val="24"/>
          <w:szCs w:val="24"/>
        </w:rPr>
      </w:pPr>
      <w:r w:rsidRPr="00EB66BC">
        <w:rPr>
          <w:rFonts w:ascii="Times New Roman" w:eastAsia="Times New Roman" w:hAnsi="Times New Roman" w:cs="Times New Roman"/>
          <w:color w:val="202124"/>
          <w:sz w:val="24"/>
          <w:szCs w:val="24"/>
        </w:rPr>
        <w:t> </w:t>
      </w:r>
    </w:p>
    <w:p w14:paraId="3F2EC849" w14:textId="77777777" w:rsidR="000610DC" w:rsidRPr="00EB66BC" w:rsidRDefault="000610DC" w:rsidP="00EB66BC">
      <w:pPr>
        <w:spacing w:after="0" w:line="360" w:lineRule="atLeast"/>
        <w:rPr>
          <w:rFonts w:ascii="Calibri" w:eastAsia="Times New Roman" w:hAnsi="Calibri" w:cs="Calibri"/>
          <w:color w:val="000000"/>
          <w:sz w:val="24"/>
          <w:szCs w:val="24"/>
        </w:rPr>
      </w:pPr>
    </w:p>
    <w:p w14:paraId="29936787" w14:textId="77777777" w:rsidR="00EB66BC" w:rsidRPr="00EB66BC" w:rsidRDefault="00EB66BC" w:rsidP="006E5E16">
      <w:pPr>
        <w:spacing w:after="0" w:line="240" w:lineRule="auto"/>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Table 5. Relationship between Iodine Adequacy Level and </w:t>
      </w:r>
      <w:r w:rsidRPr="00EB66BC">
        <w:rPr>
          <w:rFonts w:ascii="Times New Roman" w:eastAsia="Times New Roman" w:hAnsi="Times New Roman" w:cs="Times New Roman"/>
          <w:b/>
          <w:bCs/>
          <w:i/>
          <w:iCs/>
          <w:color w:val="000000"/>
          <w:sz w:val="20"/>
          <w:szCs w:val="20"/>
        </w:rPr>
        <w:t>Stunting </w:t>
      </w:r>
      <w:r w:rsidRPr="00EB66BC">
        <w:rPr>
          <w:rFonts w:ascii="Times New Roman" w:eastAsia="Times New Roman" w:hAnsi="Times New Roman" w:cs="Times New Roman"/>
          <w:b/>
          <w:bCs/>
          <w:color w:val="000000"/>
          <w:sz w:val="20"/>
          <w:szCs w:val="20"/>
        </w:rPr>
        <w:t>Incidence</w:t>
      </w:r>
    </w:p>
    <w:tbl>
      <w:tblPr>
        <w:tblW w:w="7414" w:type="dxa"/>
        <w:jc w:val="center"/>
        <w:tblCellMar>
          <w:left w:w="0" w:type="dxa"/>
          <w:right w:w="0" w:type="dxa"/>
        </w:tblCellMar>
        <w:tblLook w:val="04A0" w:firstRow="1" w:lastRow="0" w:firstColumn="1" w:lastColumn="0" w:noHBand="0" w:noVBand="1"/>
      </w:tblPr>
      <w:tblGrid>
        <w:gridCol w:w="1228"/>
        <w:gridCol w:w="1125"/>
        <w:gridCol w:w="584"/>
        <w:gridCol w:w="1000"/>
        <w:gridCol w:w="929"/>
        <w:gridCol w:w="1620"/>
        <w:gridCol w:w="928"/>
      </w:tblGrid>
      <w:tr w:rsidR="00EB66BC" w:rsidRPr="00EB66BC" w14:paraId="42368E2A" w14:textId="77777777" w:rsidTr="006E5E16">
        <w:trPr>
          <w:trHeight w:val="297"/>
          <w:jc w:val="center"/>
        </w:trPr>
        <w:tc>
          <w:tcPr>
            <w:tcW w:w="2215" w:type="dxa"/>
            <w:gridSpan w:val="2"/>
            <w:vMerge w:val="restart"/>
            <w:tcBorders>
              <w:top w:val="single" w:sz="6" w:space="0" w:color="7F7F7F"/>
              <w:bottom w:val="single" w:sz="6" w:space="0" w:color="auto"/>
            </w:tcBorders>
            <w:tcMar>
              <w:top w:w="0" w:type="dxa"/>
              <w:left w:w="108" w:type="dxa"/>
              <w:bottom w:w="0" w:type="dxa"/>
              <w:right w:w="108" w:type="dxa"/>
            </w:tcMar>
            <w:vAlign w:val="center"/>
            <w:hideMark/>
          </w:tcPr>
          <w:p w14:paraId="16F7637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Variable</w:t>
            </w:r>
          </w:p>
        </w:tc>
        <w:tc>
          <w:tcPr>
            <w:tcW w:w="3676" w:type="dxa"/>
            <w:gridSpan w:val="4"/>
            <w:tcBorders>
              <w:top w:val="single" w:sz="6" w:space="0" w:color="7F7F7F"/>
            </w:tcBorders>
            <w:tcMar>
              <w:top w:w="0" w:type="dxa"/>
              <w:left w:w="108" w:type="dxa"/>
              <w:bottom w:w="0" w:type="dxa"/>
              <w:right w:w="108" w:type="dxa"/>
            </w:tcMar>
            <w:vAlign w:val="center"/>
            <w:hideMark/>
          </w:tcPr>
          <w:p w14:paraId="2BB063CA"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Stunting Incident</w:t>
            </w:r>
          </w:p>
        </w:tc>
        <w:tc>
          <w:tcPr>
            <w:tcW w:w="874" w:type="dxa"/>
            <w:vMerge w:val="restart"/>
            <w:tcBorders>
              <w:top w:val="single" w:sz="6" w:space="0" w:color="7F7F7F"/>
              <w:bottom w:val="single" w:sz="6" w:space="0" w:color="auto"/>
            </w:tcBorders>
            <w:tcMar>
              <w:top w:w="0" w:type="dxa"/>
              <w:left w:w="108" w:type="dxa"/>
              <w:bottom w:w="0" w:type="dxa"/>
              <w:right w:w="108" w:type="dxa"/>
            </w:tcMar>
            <w:vAlign w:val="center"/>
            <w:hideMark/>
          </w:tcPr>
          <w:p w14:paraId="28F10AC2" w14:textId="77777777" w:rsidR="00EB66BC" w:rsidRPr="00EB66BC" w:rsidRDefault="00EB66BC" w:rsidP="002536AD">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p value</w:t>
            </w:r>
          </w:p>
        </w:tc>
      </w:tr>
      <w:tr w:rsidR="00EB66BC" w:rsidRPr="00EB66BC" w14:paraId="75A2B7A4" w14:textId="77777777" w:rsidTr="006E5E16">
        <w:trPr>
          <w:trHeight w:val="91"/>
          <w:jc w:val="center"/>
        </w:trPr>
        <w:tc>
          <w:tcPr>
            <w:tcW w:w="0" w:type="auto"/>
            <w:gridSpan w:val="2"/>
            <w:vMerge/>
            <w:tcBorders>
              <w:top w:val="single" w:sz="6" w:space="0" w:color="7F7F7F"/>
              <w:bottom w:val="single" w:sz="6" w:space="0" w:color="auto"/>
            </w:tcBorders>
            <w:vAlign w:val="center"/>
            <w:hideMark/>
          </w:tcPr>
          <w:p w14:paraId="41F8CB5B" w14:textId="77777777" w:rsidR="00EB66BC" w:rsidRPr="00EB66BC" w:rsidRDefault="00EB66BC" w:rsidP="00EB66BC">
            <w:pPr>
              <w:spacing w:after="0" w:line="240" w:lineRule="auto"/>
              <w:rPr>
                <w:rFonts w:ascii="Calibri" w:eastAsia="Times New Roman" w:hAnsi="Calibri" w:cs="Calibri"/>
                <w:sz w:val="20"/>
                <w:szCs w:val="20"/>
              </w:rPr>
            </w:pPr>
          </w:p>
        </w:tc>
        <w:tc>
          <w:tcPr>
            <w:tcW w:w="1492" w:type="dxa"/>
            <w:gridSpan w:val="2"/>
            <w:tcBorders>
              <w:bottom w:val="single" w:sz="6" w:space="0" w:color="auto"/>
            </w:tcBorders>
            <w:tcMar>
              <w:top w:w="0" w:type="dxa"/>
              <w:left w:w="108" w:type="dxa"/>
              <w:bottom w:w="0" w:type="dxa"/>
              <w:right w:w="108" w:type="dxa"/>
            </w:tcMar>
            <w:vAlign w:val="center"/>
            <w:hideMark/>
          </w:tcPr>
          <w:p w14:paraId="009E43B2"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Case</w:t>
            </w:r>
          </w:p>
        </w:tc>
        <w:tc>
          <w:tcPr>
            <w:tcW w:w="1968" w:type="dxa"/>
            <w:gridSpan w:val="2"/>
            <w:tcBorders>
              <w:bottom w:val="single" w:sz="6" w:space="0" w:color="auto"/>
            </w:tcBorders>
            <w:tcMar>
              <w:top w:w="0" w:type="dxa"/>
              <w:left w:w="108" w:type="dxa"/>
              <w:bottom w:w="0" w:type="dxa"/>
              <w:right w:w="108" w:type="dxa"/>
            </w:tcMar>
            <w:vAlign w:val="center"/>
            <w:hideMark/>
          </w:tcPr>
          <w:p w14:paraId="5297AAC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Control</w:t>
            </w:r>
          </w:p>
        </w:tc>
        <w:tc>
          <w:tcPr>
            <w:tcW w:w="0" w:type="auto"/>
            <w:vMerge/>
            <w:tcBorders>
              <w:top w:val="single" w:sz="6" w:space="0" w:color="7F7F7F"/>
              <w:bottom w:val="single" w:sz="6" w:space="0" w:color="auto"/>
            </w:tcBorders>
            <w:vAlign w:val="center"/>
            <w:hideMark/>
          </w:tcPr>
          <w:p w14:paraId="1F7F6718" w14:textId="77777777" w:rsidR="00EB66BC" w:rsidRPr="00EB66BC" w:rsidRDefault="00EB66BC" w:rsidP="00EB66BC">
            <w:pPr>
              <w:spacing w:after="0" w:line="240" w:lineRule="auto"/>
              <w:rPr>
                <w:rFonts w:ascii="Calibri" w:eastAsia="Times New Roman" w:hAnsi="Calibri" w:cs="Calibri"/>
                <w:sz w:val="20"/>
                <w:szCs w:val="20"/>
              </w:rPr>
            </w:pPr>
          </w:p>
        </w:tc>
      </w:tr>
      <w:tr w:rsidR="00EB66BC" w:rsidRPr="00EB66BC" w14:paraId="3B2E3A74" w14:textId="77777777" w:rsidTr="006E5E16">
        <w:trPr>
          <w:trHeight w:val="177"/>
          <w:jc w:val="center"/>
        </w:trPr>
        <w:tc>
          <w:tcPr>
            <w:tcW w:w="1156" w:type="dxa"/>
            <w:tcBorders>
              <w:bottom w:val="single" w:sz="6" w:space="0" w:color="auto"/>
            </w:tcBorders>
            <w:tcMar>
              <w:top w:w="0" w:type="dxa"/>
              <w:left w:w="108" w:type="dxa"/>
              <w:bottom w:w="0" w:type="dxa"/>
              <w:right w:w="108" w:type="dxa"/>
            </w:tcMar>
            <w:hideMark/>
          </w:tcPr>
          <w:p w14:paraId="7E6C0A0E"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843" w:type="dxa"/>
            <w:tcBorders>
              <w:bottom w:val="single" w:sz="6" w:space="0" w:color="auto"/>
            </w:tcBorders>
            <w:tcMar>
              <w:top w:w="0" w:type="dxa"/>
              <w:left w:w="108" w:type="dxa"/>
              <w:bottom w:w="0" w:type="dxa"/>
              <w:right w:w="108" w:type="dxa"/>
            </w:tcMar>
            <w:hideMark/>
          </w:tcPr>
          <w:p w14:paraId="11CAC87B"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c>
          <w:tcPr>
            <w:tcW w:w="550" w:type="dxa"/>
            <w:tcBorders>
              <w:bottom w:val="single" w:sz="6" w:space="0" w:color="auto"/>
            </w:tcBorders>
            <w:tcMar>
              <w:top w:w="0" w:type="dxa"/>
              <w:left w:w="108" w:type="dxa"/>
              <w:bottom w:w="0" w:type="dxa"/>
              <w:right w:w="108" w:type="dxa"/>
            </w:tcMar>
            <w:hideMark/>
          </w:tcPr>
          <w:p w14:paraId="2B79C0DF"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n</w:t>
            </w:r>
          </w:p>
        </w:tc>
        <w:tc>
          <w:tcPr>
            <w:tcW w:w="725" w:type="dxa"/>
            <w:tcBorders>
              <w:bottom w:val="single" w:sz="6" w:space="0" w:color="auto"/>
            </w:tcBorders>
            <w:tcMar>
              <w:top w:w="0" w:type="dxa"/>
              <w:left w:w="108" w:type="dxa"/>
              <w:bottom w:w="0" w:type="dxa"/>
              <w:right w:w="108" w:type="dxa"/>
            </w:tcMar>
            <w:vAlign w:val="center"/>
            <w:hideMark/>
          </w:tcPr>
          <w:p w14:paraId="78E8E89A"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sz w:val="20"/>
                <w:szCs w:val="20"/>
              </w:rPr>
              <w:t>%</w:t>
            </w:r>
          </w:p>
        </w:tc>
        <w:tc>
          <w:tcPr>
            <w:tcW w:w="875" w:type="dxa"/>
            <w:tcBorders>
              <w:bottom w:val="single" w:sz="6" w:space="0" w:color="auto"/>
            </w:tcBorders>
            <w:tcMar>
              <w:top w:w="0" w:type="dxa"/>
              <w:left w:w="108" w:type="dxa"/>
              <w:bottom w:w="0" w:type="dxa"/>
              <w:right w:w="108" w:type="dxa"/>
            </w:tcMar>
            <w:hideMark/>
          </w:tcPr>
          <w:p w14:paraId="1A3041A0"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n</w:t>
            </w:r>
          </w:p>
        </w:tc>
        <w:tc>
          <w:tcPr>
            <w:tcW w:w="877" w:type="dxa"/>
            <w:tcBorders>
              <w:bottom w:val="single" w:sz="6" w:space="0" w:color="auto"/>
            </w:tcBorders>
            <w:tcMar>
              <w:top w:w="0" w:type="dxa"/>
              <w:left w:w="108" w:type="dxa"/>
              <w:bottom w:w="0" w:type="dxa"/>
              <w:right w:w="108" w:type="dxa"/>
            </w:tcMar>
            <w:hideMark/>
          </w:tcPr>
          <w:p w14:paraId="48525D55" w14:textId="77777777" w:rsidR="00EB66BC" w:rsidRPr="00EB66BC" w:rsidRDefault="00EB66BC" w:rsidP="00EB66BC">
            <w:pPr>
              <w:spacing w:after="0" w:line="240" w:lineRule="auto"/>
              <w:ind w:right="314"/>
              <w:jc w:val="center"/>
              <w:rPr>
                <w:rFonts w:ascii="Calibri" w:eastAsia="Times New Roman" w:hAnsi="Calibri" w:cs="Calibri"/>
                <w:sz w:val="20"/>
                <w:szCs w:val="20"/>
              </w:rPr>
            </w:pPr>
            <w:r w:rsidRPr="00EB66BC">
              <w:rPr>
                <w:rFonts w:ascii="Times New Roman" w:eastAsia="Times New Roman" w:hAnsi="Times New Roman" w:cs="Times New Roman"/>
                <w:sz w:val="20"/>
                <w:szCs w:val="20"/>
              </w:rPr>
              <w:t>%</w:t>
            </w:r>
          </w:p>
        </w:tc>
        <w:tc>
          <w:tcPr>
            <w:tcW w:w="874" w:type="dxa"/>
            <w:tcBorders>
              <w:bottom w:val="single" w:sz="6" w:space="0" w:color="auto"/>
            </w:tcBorders>
            <w:tcMar>
              <w:top w:w="0" w:type="dxa"/>
              <w:left w:w="108" w:type="dxa"/>
              <w:bottom w:w="0" w:type="dxa"/>
              <w:right w:w="108" w:type="dxa"/>
            </w:tcMar>
            <w:hideMark/>
          </w:tcPr>
          <w:p w14:paraId="1AD3674A" w14:textId="77777777" w:rsidR="00EB66BC" w:rsidRPr="00EB66BC" w:rsidRDefault="00EB66BC" w:rsidP="00EB66BC">
            <w:pPr>
              <w:spacing w:after="0" w:line="240" w:lineRule="auto"/>
              <w:ind w:right="314"/>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152F4072" w14:textId="77777777" w:rsidTr="006E5E16">
        <w:trPr>
          <w:trHeight w:val="247"/>
          <w:jc w:val="center"/>
        </w:trPr>
        <w:tc>
          <w:tcPr>
            <w:tcW w:w="1156" w:type="dxa"/>
            <w:vMerge w:val="restart"/>
            <w:tcBorders>
              <w:top w:val="single" w:sz="6" w:space="0" w:color="auto"/>
              <w:bottom w:val="single" w:sz="6" w:space="0" w:color="7F7F7F"/>
            </w:tcBorders>
            <w:tcMar>
              <w:top w:w="0" w:type="dxa"/>
              <w:left w:w="108" w:type="dxa"/>
              <w:bottom w:w="0" w:type="dxa"/>
              <w:right w:w="108" w:type="dxa"/>
            </w:tcMar>
            <w:hideMark/>
          </w:tcPr>
          <w:p w14:paraId="7785534C"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Iodine Adequacy Level</w:t>
            </w:r>
          </w:p>
        </w:tc>
        <w:tc>
          <w:tcPr>
            <w:tcW w:w="843" w:type="dxa"/>
            <w:tcBorders>
              <w:top w:val="single" w:sz="6" w:space="0" w:color="auto"/>
            </w:tcBorders>
            <w:tcMar>
              <w:top w:w="0" w:type="dxa"/>
              <w:left w:w="108" w:type="dxa"/>
              <w:bottom w:w="0" w:type="dxa"/>
              <w:right w:w="108" w:type="dxa"/>
            </w:tcMar>
            <w:hideMark/>
          </w:tcPr>
          <w:p w14:paraId="50D97EAC"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Not enough</w:t>
            </w:r>
          </w:p>
        </w:tc>
        <w:tc>
          <w:tcPr>
            <w:tcW w:w="550" w:type="dxa"/>
            <w:tcBorders>
              <w:top w:val="single" w:sz="6" w:space="0" w:color="auto"/>
            </w:tcBorders>
            <w:tcMar>
              <w:top w:w="0" w:type="dxa"/>
              <w:left w:w="108" w:type="dxa"/>
              <w:bottom w:w="0" w:type="dxa"/>
              <w:right w:w="108" w:type="dxa"/>
            </w:tcMar>
            <w:hideMark/>
          </w:tcPr>
          <w:p w14:paraId="42DD7443"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34</w:t>
            </w:r>
          </w:p>
        </w:tc>
        <w:tc>
          <w:tcPr>
            <w:tcW w:w="725" w:type="dxa"/>
            <w:tcBorders>
              <w:top w:val="single" w:sz="6" w:space="0" w:color="auto"/>
            </w:tcBorders>
            <w:tcMar>
              <w:top w:w="0" w:type="dxa"/>
              <w:left w:w="108" w:type="dxa"/>
              <w:bottom w:w="0" w:type="dxa"/>
              <w:right w:w="108" w:type="dxa"/>
            </w:tcMar>
            <w:hideMark/>
          </w:tcPr>
          <w:p w14:paraId="44C1F7C5"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85</w:t>
            </w:r>
          </w:p>
        </w:tc>
        <w:tc>
          <w:tcPr>
            <w:tcW w:w="875" w:type="dxa"/>
            <w:tcBorders>
              <w:top w:val="single" w:sz="6" w:space="0" w:color="auto"/>
            </w:tcBorders>
            <w:tcMar>
              <w:top w:w="0" w:type="dxa"/>
              <w:left w:w="108" w:type="dxa"/>
              <w:bottom w:w="0" w:type="dxa"/>
              <w:right w:w="108" w:type="dxa"/>
            </w:tcMar>
            <w:hideMark/>
          </w:tcPr>
          <w:p w14:paraId="604B1AB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w:t>
            </w:r>
          </w:p>
        </w:tc>
        <w:tc>
          <w:tcPr>
            <w:tcW w:w="877" w:type="dxa"/>
            <w:tcBorders>
              <w:top w:val="single" w:sz="6" w:space="0" w:color="auto"/>
            </w:tcBorders>
            <w:tcMar>
              <w:top w:w="0" w:type="dxa"/>
              <w:left w:w="108" w:type="dxa"/>
              <w:bottom w:w="0" w:type="dxa"/>
              <w:right w:w="108" w:type="dxa"/>
            </w:tcMar>
            <w:hideMark/>
          </w:tcPr>
          <w:p w14:paraId="3C4C58F0"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25</w:t>
            </w:r>
          </w:p>
        </w:tc>
        <w:tc>
          <w:tcPr>
            <w:tcW w:w="874" w:type="dxa"/>
            <w:tcBorders>
              <w:top w:val="single" w:sz="6" w:space="0" w:color="auto"/>
            </w:tcBorders>
            <w:tcMar>
              <w:top w:w="0" w:type="dxa"/>
              <w:left w:w="108" w:type="dxa"/>
              <w:bottom w:w="0" w:type="dxa"/>
              <w:right w:w="108" w:type="dxa"/>
            </w:tcMar>
            <w:hideMark/>
          </w:tcPr>
          <w:p w14:paraId="57FCB81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0.000 </w:t>
            </w:r>
            <w:r w:rsidRPr="00EB66BC">
              <w:rPr>
                <w:rFonts w:ascii="Times New Roman" w:eastAsia="Times New Roman" w:hAnsi="Times New Roman" w:cs="Times New Roman"/>
                <w:sz w:val="13"/>
                <w:szCs w:val="13"/>
                <w:vertAlign w:val="superscript"/>
              </w:rPr>
              <w:t>a</w:t>
            </w:r>
          </w:p>
        </w:tc>
      </w:tr>
      <w:tr w:rsidR="00EB66BC" w:rsidRPr="00EB66BC" w14:paraId="79B1A29E" w14:textId="77777777" w:rsidTr="006E5E16">
        <w:trPr>
          <w:trHeight w:val="208"/>
          <w:jc w:val="center"/>
        </w:trPr>
        <w:tc>
          <w:tcPr>
            <w:tcW w:w="0" w:type="auto"/>
            <w:vMerge/>
            <w:tcBorders>
              <w:top w:val="single" w:sz="6" w:space="0" w:color="auto"/>
              <w:bottom w:val="single" w:sz="6" w:space="0" w:color="7F7F7F"/>
            </w:tcBorders>
            <w:vAlign w:val="center"/>
            <w:hideMark/>
          </w:tcPr>
          <w:p w14:paraId="50C81314" w14:textId="77777777" w:rsidR="00EB66BC" w:rsidRPr="00EB66BC" w:rsidRDefault="00EB66BC" w:rsidP="00EB66BC">
            <w:pPr>
              <w:spacing w:after="0" w:line="240" w:lineRule="auto"/>
              <w:rPr>
                <w:rFonts w:ascii="Calibri" w:eastAsia="Times New Roman" w:hAnsi="Calibri" w:cs="Calibri"/>
                <w:sz w:val="20"/>
                <w:szCs w:val="20"/>
              </w:rPr>
            </w:pPr>
          </w:p>
        </w:tc>
        <w:tc>
          <w:tcPr>
            <w:tcW w:w="843" w:type="dxa"/>
            <w:tcBorders>
              <w:bottom w:val="single" w:sz="6" w:space="0" w:color="7F7F7F"/>
            </w:tcBorders>
            <w:tcMar>
              <w:top w:w="0" w:type="dxa"/>
              <w:left w:w="108" w:type="dxa"/>
              <w:bottom w:w="0" w:type="dxa"/>
              <w:right w:w="108" w:type="dxa"/>
            </w:tcMar>
            <w:hideMark/>
          </w:tcPr>
          <w:p w14:paraId="2690D2EA"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Enough</w:t>
            </w:r>
          </w:p>
        </w:tc>
        <w:tc>
          <w:tcPr>
            <w:tcW w:w="550" w:type="dxa"/>
            <w:tcBorders>
              <w:bottom w:val="single" w:sz="6" w:space="0" w:color="7F7F7F"/>
            </w:tcBorders>
            <w:tcMar>
              <w:top w:w="0" w:type="dxa"/>
              <w:left w:w="108" w:type="dxa"/>
              <w:bottom w:w="0" w:type="dxa"/>
              <w:right w:w="108" w:type="dxa"/>
            </w:tcMar>
            <w:hideMark/>
          </w:tcPr>
          <w:p w14:paraId="1CF81D06"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6</w:t>
            </w:r>
          </w:p>
        </w:tc>
        <w:tc>
          <w:tcPr>
            <w:tcW w:w="725" w:type="dxa"/>
            <w:tcBorders>
              <w:bottom w:val="single" w:sz="6" w:space="0" w:color="7F7F7F"/>
            </w:tcBorders>
            <w:tcMar>
              <w:top w:w="0" w:type="dxa"/>
              <w:left w:w="108" w:type="dxa"/>
              <w:bottom w:w="0" w:type="dxa"/>
              <w:right w:w="108" w:type="dxa"/>
            </w:tcMar>
            <w:hideMark/>
          </w:tcPr>
          <w:p w14:paraId="757E23A0"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15</w:t>
            </w:r>
          </w:p>
        </w:tc>
        <w:tc>
          <w:tcPr>
            <w:tcW w:w="875" w:type="dxa"/>
            <w:tcBorders>
              <w:bottom w:val="single" w:sz="6" w:space="0" w:color="7F7F7F"/>
            </w:tcBorders>
            <w:tcMar>
              <w:top w:w="0" w:type="dxa"/>
              <w:left w:w="108" w:type="dxa"/>
              <w:bottom w:w="0" w:type="dxa"/>
              <w:right w:w="108" w:type="dxa"/>
            </w:tcMar>
            <w:hideMark/>
          </w:tcPr>
          <w:p w14:paraId="0329B707"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30</w:t>
            </w:r>
          </w:p>
        </w:tc>
        <w:tc>
          <w:tcPr>
            <w:tcW w:w="877" w:type="dxa"/>
            <w:tcBorders>
              <w:bottom w:val="single" w:sz="6" w:space="0" w:color="7F7F7F"/>
            </w:tcBorders>
            <w:tcMar>
              <w:top w:w="0" w:type="dxa"/>
              <w:left w:w="108" w:type="dxa"/>
              <w:bottom w:w="0" w:type="dxa"/>
              <w:right w:w="108" w:type="dxa"/>
            </w:tcMar>
            <w:hideMark/>
          </w:tcPr>
          <w:p w14:paraId="725F2B6E"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75</w:t>
            </w:r>
          </w:p>
        </w:tc>
        <w:tc>
          <w:tcPr>
            <w:tcW w:w="874" w:type="dxa"/>
            <w:tcBorders>
              <w:bottom w:val="single" w:sz="6" w:space="0" w:color="7F7F7F"/>
            </w:tcBorders>
            <w:tcMar>
              <w:top w:w="0" w:type="dxa"/>
              <w:left w:w="108" w:type="dxa"/>
              <w:bottom w:w="0" w:type="dxa"/>
              <w:right w:w="108" w:type="dxa"/>
            </w:tcMar>
            <w:hideMark/>
          </w:tcPr>
          <w:p w14:paraId="48121B6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4BFE1614" w14:textId="77777777" w:rsidTr="006E5E16">
        <w:trPr>
          <w:trHeight w:val="134"/>
          <w:jc w:val="center"/>
        </w:trPr>
        <w:tc>
          <w:tcPr>
            <w:tcW w:w="1156" w:type="dxa"/>
            <w:tcBorders>
              <w:bottom w:val="single" w:sz="6" w:space="0" w:color="auto"/>
            </w:tcBorders>
            <w:tcMar>
              <w:top w:w="0" w:type="dxa"/>
              <w:left w:w="108" w:type="dxa"/>
              <w:bottom w:w="0" w:type="dxa"/>
              <w:right w:w="108" w:type="dxa"/>
            </w:tcMar>
            <w:hideMark/>
          </w:tcPr>
          <w:p w14:paraId="2EB878B1"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lastRenderedPageBreak/>
              <w:t> </w:t>
            </w:r>
          </w:p>
        </w:tc>
        <w:tc>
          <w:tcPr>
            <w:tcW w:w="843" w:type="dxa"/>
            <w:tcBorders>
              <w:bottom w:val="single" w:sz="6" w:space="0" w:color="auto"/>
            </w:tcBorders>
            <w:tcMar>
              <w:top w:w="0" w:type="dxa"/>
              <w:left w:w="108" w:type="dxa"/>
              <w:bottom w:w="0" w:type="dxa"/>
              <w:right w:w="108" w:type="dxa"/>
            </w:tcMar>
            <w:hideMark/>
          </w:tcPr>
          <w:p w14:paraId="75FAEA5A" w14:textId="77777777" w:rsidR="00EB66BC" w:rsidRPr="00EB66BC" w:rsidRDefault="00EB66BC" w:rsidP="00EB66BC">
            <w:pPr>
              <w:spacing w:after="0" w:line="240" w:lineRule="auto"/>
              <w:jc w:val="both"/>
              <w:rPr>
                <w:rFonts w:ascii="Calibri" w:eastAsia="Times New Roman" w:hAnsi="Calibri" w:cs="Calibri"/>
                <w:sz w:val="20"/>
                <w:szCs w:val="20"/>
              </w:rPr>
            </w:pPr>
            <w:r w:rsidRPr="00EB66BC">
              <w:rPr>
                <w:rFonts w:ascii="Times New Roman" w:eastAsia="Times New Roman" w:hAnsi="Times New Roman" w:cs="Times New Roman"/>
                <w:sz w:val="20"/>
                <w:szCs w:val="20"/>
              </w:rPr>
              <w:t>Total</w:t>
            </w:r>
          </w:p>
        </w:tc>
        <w:tc>
          <w:tcPr>
            <w:tcW w:w="550" w:type="dxa"/>
            <w:tcBorders>
              <w:bottom w:val="single" w:sz="6" w:space="0" w:color="auto"/>
            </w:tcBorders>
            <w:tcMar>
              <w:top w:w="0" w:type="dxa"/>
              <w:left w:w="108" w:type="dxa"/>
              <w:bottom w:w="0" w:type="dxa"/>
              <w:right w:w="108" w:type="dxa"/>
            </w:tcMar>
            <w:hideMark/>
          </w:tcPr>
          <w:p w14:paraId="35FD668C"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40</w:t>
            </w:r>
          </w:p>
        </w:tc>
        <w:tc>
          <w:tcPr>
            <w:tcW w:w="725" w:type="dxa"/>
            <w:tcBorders>
              <w:bottom w:val="single" w:sz="6" w:space="0" w:color="auto"/>
            </w:tcBorders>
            <w:tcMar>
              <w:top w:w="0" w:type="dxa"/>
              <w:left w:w="108" w:type="dxa"/>
              <w:bottom w:w="0" w:type="dxa"/>
              <w:right w:w="108" w:type="dxa"/>
            </w:tcMar>
            <w:hideMark/>
          </w:tcPr>
          <w:p w14:paraId="5553D968"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875" w:type="dxa"/>
            <w:tcBorders>
              <w:bottom w:val="single" w:sz="6" w:space="0" w:color="auto"/>
            </w:tcBorders>
            <w:tcMar>
              <w:top w:w="0" w:type="dxa"/>
              <w:left w:w="108" w:type="dxa"/>
              <w:bottom w:w="0" w:type="dxa"/>
              <w:right w:w="108" w:type="dxa"/>
            </w:tcMar>
            <w:hideMark/>
          </w:tcPr>
          <w:p w14:paraId="0CC84EBD"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40</w:t>
            </w:r>
          </w:p>
        </w:tc>
        <w:tc>
          <w:tcPr>
            <w:tcW w:w="877" w:type="dxa"/>
            <w:tcBorders>
              <w:bottom w:val="single" w:sz="6" w:space="0" w:color="auto"/>
            </w:tcBorders>
            <w:tcMar>
              <w:top w:w="0" w:type="dxa"/>
              <w:left w:w="108" w:type="dxa"/>
              <w:bottom w:w="0" w:type="dxa"/>
              <w:right w:w="108" w:type="dxa"/>
            </w:tcMar>
            <w:hideMark/>
          </w:tcPr>
          <w:p w14:paraId="7B8167F9"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100</w:t>
            </w:r>
          </w:p>
        </w:tc>
        <w:tc>
          <w:tcPr>
            <w:tcW w:w="874" w:type="dxa"/>
            <w:tcBorders>
              <w:bottom w:val="single" w:sz="6" w:space="0" w:color="auto"/>
            </w:tcBorders>
            <w:tcMar>
              <w:top w:w="0" w:type="dxa"/>
              <w:left w:w="108" w:type="dxa"/>
              <w:bottom w:w="0" w:type="dxa"/>
              <w:right w:w="108" w:type="dxa"/>
            </w:tcMar>
            <w:hideMark/>
          </w:tcPr>
          <w:p w14:paraId="2E7EA7F4"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r w:rsidR="00EB66BC" w:rsidRPr="00EB66BC" w14:paraId="65AF40B3" w14:textId="77777777" w:rsidTr="006E5E16">
        <w:trPr>
          <w:trHeight w:val="134"/>
          <w:jc w:val="center"/>
        </w:trPr>
        <w:tc>
          <w:tcPr>
            <w:tcW w:w="6108" w:type="dxa"/>
            <w:gridSpan w:val="6"/>
            <w:tcBorders>
              <w:top w:val="single" w:sz="6" w:space="0" w:color="auto"/>
            </w:tcBorders>
            <w:tcMar>
              <w:top w:w="0" w:type="dxa"/>
              <w:left w:w="108" w:type="dxa"/>
              <w:bottom w:w="0" w:type="dxa"/>
              <w:right w:w="108" w:type="dxa"/>
            </w:tcMar>
            <w:vAlign w:val="center"/>
            <w:hideMark/>
          </w:tcPr>
          <w:p w14:paraId="6DA1E052"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Description: </w:t>
            </w:r>
            <w:r w:rsidRPr="00EB66BC">
              <w:rPr>
                <w:rFonts w:ascii="Times New Roman" w:eastAsia="Times New Roman" w:hAnsi="Times New Roman" w:cs="Times New Roman"/>
                <w:sz w:val="13"/>
                <w:szCs w:val="13"/>
                <w:vertAlign w:val="superscript"/>
              </w:rPr>
              <w:t>a </w:t>
            </w:r>
            <w:r w:rsidRPr="00EB66BC">
              <w:rPr>
                <w:rFonts w:ascii="Times New Roman" w:eastAsia="Times New Roman" w:hAnsi="Times New Roman" w:cs="Times New Roman"/>
                <w:i/>
                <w:iCs/>
                <w:sz w:val="20"/>
                <w:szCs w:val="20"/>
              </w:rPr>
              <w:t>chi square </w:t>
            </w:r>
            <w:r w:rsidRPr="00EB66BC">
              <w:rPr>
                <w:rFonts w:ascii="Times New Roman" w:eastAsia="Times New Roman" w:hAnsi="Times New Roman" w:cs="Times New Roman"/>
                <w:sz w:val="20"/>
                <w:szCs w:val="20"/>
              </w:rPr>
              <w:t>test</w:t>
            </w:r>
          </w:p>
        </w:tc>
        <w:tc>
          <w:tcPr>
            <w:tcW w:w="874" w:type="dxa"/>
            <w:tcBorders>
              <w:top w:val="single" w:sz="6" w:space="0" w:color="auto"/>
            </w:tcBorders>
            <w:tcMar>
              <w:top w:w="0" w:type="dxa"/>
              <w:left w:w="108" w:type="dxa"/>
              <w:bottom w:w="0" w:type="dxa"/>
              <w:right w:w="108" w:type="dxa"/>
            </w:tcMar>
            <w:hideMark/>
          </w:tcPr>
          <w:p w14:paraId="76278892" w14:textId="77777777" w:rsidR="00EB66BC" w:rsidRPr="00EB66BC" w:rsidRDefault="00EB66BC" w:rsidP="00EB66BC">
            <w:pPr>
              <w:spacing w:after="0"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bl>
    <w:p w14:paraId="0F51F004" w14:textId="77777777" w:rsidR="00EB66BC" w:rsidRPr="00EB66BC" w:rsidRDefault="00EB66BC" w:rsidP="00EB66BC">
      <w:pPr>
        <w:spacing w:after="0" w:line="360" w:lineRule="atLeast"/>
        <w:jc w:val="both"/>
        <w:rPr>
          <w:rFonts w:ascii="Calibri" w:eastAsia="Times New Roman" w:hAnsi="Calibri" w:cs="Calibri"/>
          <w:color w:val="000000"/>
          <w:sz w:val="24"/>
          <w:szCs w:val="24"/>
        </w:rPr>
      </w:pPr>
      <w:r w:rsidRPr="00EB66BC">
        <w:rPr>
          <w:rFonts w:ascii="Times New Roman" w:eastAsia="Times New Roman" w:hAnsi="Times New Roman" w:cs="Times New Roman"/>
          <w:color w:val="000000"/>
          <w:sz w:val="24"/>
          <w:szCs w:val="24"/>
        </w:rPr>
        <w:t> </w:t>
      </w:r>
    </w:p>
    <w:p w14:paraId="55718CE3" w14:textId="0307E98A" w:rsidR="002536AD" w:rsidRPr="006E5E16" w:rsidRDefault="00EB66BC" w:rsidP="00893450">
      <w:pPr>
        <w:spacing w:after="0" w:line="360" w:lineRule="auto"/>
        <w:ind w:firstLine="720"/>
        <w:jc w:val="both"/>
        <w:rPr>
          <w:rFonts w:ascii="Times New Roman" w:eastAsia="Times New Roman" w:hAnsi="Times New Roman" w:cs="Times New Roman"/>
          <w:color w:val="000000"/>
        </w:rPr>
      </w:pPr>
      <w:r w:rsidRPr="00A80BE2">
        <w:rPr>
          <w:rFonts w:ascii="Times New Roman" w:eastAsia="Times New Roman" w:hAnsi="Times New Roman" w:cs="Times New Roman"/>
          <w:color w:val="000000"/>
        </w:rPr>
        <w:t>The results showed that there was a significant relationship between the variable level of iodine adequacy and the incidence of </w:t>
      </w:r>
      <w:r w:rsidRPr="00A80BE2">
        <w:rPr>
          <w:rFonts w:ascii="Times New Roman" w:eastAsia="Times New Roman" w:hAnsi="Times New Roman" w:cs="Times New Roman"/>
          <w:i/>
          <w:iCs/>
          <w:color w:val="000000"/>
        </w:rPr>
        <w:t>stunting in </w:t>
      </w:r>
      <w:r w:rsidR="002536AD" w:rsidRPr="00A80BE2">
        <w:rPr>
          <w:rFonts w:ascii="Times New Roman" w:eastAsia="Times New Roman" w:hAnsi="Times New Roman" w:cs="Times New Roman"/>
          <w:iCs/>
          <w:color w:val="000000"/>
        </w:rPr>
        <w:t>in</w:t>
      </w:r>
      <w:r w:rsidR="002536AD" w:rsidRPr="00A80BE2">
        <w:rPr>
          <w:rFonts w:ascii="Times New Roman" w:eastAsia="Times New Roman" w:hAnsi="Times New Roman" w:cs="Times New Roman"/>
          <w:i/>
          <w:iCs/>
          <w:color w:val="000000"/>
        </w:rPr>
        <w:t xml:space="preserve"> </w:t>
      </w:r>
      <w:proofErr w:type="gramStart"/>
      <w:r w:rsidR="002536AD" w:rsidRPr="00A80BE2">
        <w:rPr>
          <w:rFonts w:ascii="Times New Roman" w:eastAsia="Times New Roman" w:hAnsi="Times New Roman" w:cs="Times New Roman"/>
          <w:i/>
          <w:iCs/>
          <w:color w:val="000000"/>
        </w:rPr>
        <w:t>2-4 </w:t>
      </w:r>
      <w:r w:rsidR="002536AD" w:rsidRPr="00A80BE2">
        <w:rPr>
          <w:rFonts w:ascii="Times New Roman" w:eastAsia="Times New Roman" w:hAnsi="Times New Roman" w:cs="Times New Roman"/>
          <w:color w:val="000000"/>
        </w:rPr>
        <w:t>year</w:t>
      </w:r>
      <w:r w:rsidR="002536AD" w:rsidRPr="00A80BE2">
        <w:rPr>
          <w:rFonts w:ascii="Times New Roman" w:eastAsia="Times New Roman" w:hAnsi="Times New Roman" w:cs="Times New Roman"/>
          <w:color w:val="000000"/>
          <w:lang w:val="id-ID"/>
        </w:rPr>
        <w:t xml:space="preserve"> </w:t>
      </w:r>
      <w:r w:rsidR="002536AD" w:rsidRPr="00A80BE2">
        <w:rPr>
          <w:rFonts w:ascii="Times New Roman" w:eastAsia="Times New Roman" w:hAnsi="Times New Roman" w:cs="Times New Roman"/>
          <w:color w:val="000000"/>
        </w:rPr>
        <w:t>old</w:t>
      </w:r>
      <w:proofErr w:type="gramEnd"/>
      <w:r w:rsidR="002536AD" w:rsidRPr="00A80BE2">
        <w:rPr>
          <w:rFonts w:ascii="Times New Roman" w:eastAsia="Times New Roman" w:hAnsi="Times New Roman" w:cs="Times New Roman"/>
          <w:color w:val="000000"/>
        </w:rPr>
        <w:t xml:space="preserve"> </w:t>
      </w:r>
      <w:r w:rsidRPr="00A80BE2">
        <w:rPr>
          <w:rFonts w:ascii="Times New Roman" w:eastAsia="Times New Roman" w:hAnsi="Times New Roman" w:cs="Times New Roman"/>
          <w:color w:val="000000"/>
        </w:rPr>
        <w:t xml:space="preserve">children in the Bulu </w:t>
      </w:r>
      <w:r w:rsidR="002536AD" w:rsidRPr="00A80BE2">
        <w:rPr>
          <w:rFonts w:ascii="Times New Roman" w:eastAsia="Times New Roman" w:hAnsi="Times New Roman" w:cs="Times New Roman"/>
          <w:color w:val="000000"/>
          <w:lang w:val="id-ID"/>
        </w:rPr>
        <w:t xml:space="preserve">Comunity </w:t>
      </w:r>
      <w:r w:rsidRPr="00A80BE2">
        <w:rPr>
          <w:rFonts w:ascii="Times New Roman" w:eastAsia="Times New Roman" w:hAnsi="Times New Roman" w:cs="Times New Roman"/>
          <w:color w:val="000000"/>
        </w:rPr>
        <w:t xml:space="preserve">Health Center, </w:t>
      </w:r>
      <w:proofErr w:type="spellStart"/>
      <w:r w:rsidRPr="00A80BE2">
        <w:rPr>
          <w:rFonts w:ascii="Times New Roman" w:eastAsia="Times New Roman" w:hAnsi="Times New Roman" w:cs="Times New Roman"/>
          <w:color w:val="000000"/>
        </w:rPr>
        <w:t>Temanggung</w:t>
      </w:r>
      <w:proofErr w:type="spellEnd"/>
      <w:r w:rsidRPr="00A80BE2">
        <w:rPr>
          <w:rFonts w:ascii="Times New Roman" w:eastAsia="Times New Roman" w:hAnsi="Times New Roman" w:cs="Times New Roman"/>
          <w:color w:val="000000"/>
        </w:rPr>
        <w:t xml:space="preserve"> Regency, with a </w:t>
      </w:r>
      <w:r w:rsidRPr="00A80BE2">
        <w:rPr>
          <w:rFonts w:ascii="Times New Roman" w:eastAsia="Times New Roman" w:hAnsi="Times New Roman" w:cs="Times New Roman"/>
          <w:i/>
          <w:iCs/>
          <w:color w:val="000000"/>
        </w:rPr>
        <w:t>p </w:t>
      </w:r>
      <w:r w:rsidRPr="00A80BE2">
        <w:rPr>
          <w:rFonts w:ascii="Times New Roman" w:eastAsia="Times New Roman" w:hAnsi="Times New Roman" w:cs="Times New Roman"/>
          <w:color w:val="000000"/>
        </w:rPr>
        <w:t xml:space="preserve">value of 0.000. The proportion of </w:t>
      </w:r>
      <w:r w:rsidR="002536AD" w:rsidRPr="00A80BE2">
        <w:rPr>
          <w:rFonts w:ascii="Times New Roman" w:eastAsia="Times New Roman" w:hAnsi="Times New Roman" w:cs="Times New Roman"/>
          <w:color w:val="000000"/>
          <w:lang w:val="id-ID"/>
        </w:rPr>
        <w:t>toddlers</w:t>
      </w:r>
      <w:r w:rsidRPr="00A80BE2">
        <w:rPr>
          <w:rFonts w:ascii="Times New Roman" w:eastAsia="Times New Roman" w:hAnsi="Times New Roman" w:cs="Times New Roman"/>
          <w:color w:val="000000"/>
        </w:rPr>
        <w:t xml:space="preserve"> with adequate levels of iodine was greater in the case group (85%) (Table 5). These results are in line with </w:t>
      </w:r>
      <w:r w:rsidR="002536AD" w:rsidRPr="00A80BE2">
        <w:rPr>
          <w:rFonts w:ascii="Times New Roman" w:eastAsia="Times New Roman" w:hAnsi="Times New Roman" w:cs="Times New Roman"/>
          <w:color w:val="000000"/>
          <w:lang w:val="id-ID"/>
        </w:rPr>
        <w:t xml:space="preserve">the </w:t>
      </w:r>
      <w:r w:rsidRPr="00A80BE2">
        <w:rPr>
          <w:rFonts w:ascii="Times New Roman" w:eastAsia="Times New Roman" w:hAnsi="Times New Roman" w:cs="Times New Roman"/>
          <w:color w:val="000000"/>
        </w:rPr>
        <w:t xml:space="preserve">research in Bengkulu </w:t>
      </w:r>
      <w:r w:rsidR="002536AD" w:rsidRPr="00A80BE2">
        <w:rPr>
          <w:rFonts w:ascii="Times New Roman" w:eastAsia="Times New Roman" w:hAnsi="Times New Roman" w:cs="Times New Roman"/>
          <w:color w:val="000000"/>
          <w:lang w:val="id-ID"/>
        </w:rPr>
        <w:t xml:space="preserve">showing </w:t>
      </w:r>
      <w:r w:rsidRPr="00A80BE2">
        <w:rPr>
          <w:rFonts w:ascii="Times New Roman" w:eastAsia="Times New Roman" w:hAnsi="Times New Roman" w:cs="Times New Roman"/>
          <w:color w:val="000000"/>
        </w:rPr>
        <w:t>that low levels of iodine adequacy are associated with </w:t>
      </w:r>
      <w:proofErr w:type="gramStart"/>
      <w:r w:rsidRPr="00A80BE2">
        <w:rPr>
          <w:rFonts w:ascii="Times New Roman" w:eastAsia="Times New Roman" w:hAnsi="Times New Roman" w:cs="Times New Roman"/>
          <w:i/>
          <w:iCs/>
          <w:color w:val="000000"/>
        </w:rPr>
        <w:t>stunting </w:t>
      </w:r>
      <w:r w:rsidRPr="00A80BE2">
        <w:rPr>
          <w:rFonts w:ascii="Times New Roman" w:eastAsia="Times New Roman" w:hAnsi="Times New Roman" w:cs="Times New Roman"/>
          <w:color w:val="000000"/>
        </w:rPr>
        <w:t>.</w:t>
      </w:r>
      <w:proofErr w:type="gramEnd"/>
      <w:r w:rsidRPr="00A80BE2">
        <w:rPr>
          <w:rFonts w:ascii="Times New Roman" w:eastAsia="Times New Roman" w:hAnsi="Times New Roman" w:cs="Times New Roman"/>
          <w:color w:val="000000"/>
        </w:rPr>
        <w:t> Low levels of iodine consumptio</w:t>
      </w:r>
      <w:r w:rsidR="00B956A1">
        <w:rPr>
          <w:rFonts w:ascii="Times New Roman" w:eastAsia="Times New Roman" w:hAnsi="Times New Roman" w:cs="Times New Roman"/>
          <w:color w:val="000000"/>
        </w:rPr>
        <w:t>n correlate with linear growth</w:t>
      </w:r>
      <w:r w:rsidR="00B956A1">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{"citationItems":[{"id":"ITEM-1","itemData":{"DOI":"10.15294/kemas.v14i1.13005","ISSN":"1858-1196","abstract":"The high prevalence of stunting is influenced by nutritional intake. Iodine is an important micronutrient for growth. Bengkulu City is located along coastal area, hence it has potentially high iodine food sources. However, stunting prevalence was still high. This was a cross-sectional study conducted from March to July 2016 which aimed to determine the relationship between iodine consumption and linear growth of children under five years old in Malabero coastal area of Bengkulu City. The population were children aged 2-5 years old with a sample of 73 children. Measurement of linear growth was based on AHZ index using microtoice with capacity of 200 cm and accuracy of 0.1 cm. Iodine intake was measured based on semiquantitative Food Frequency Questionnaire (FFQ). The results showed that 71.2% of children under five years old did not had sufficient iodine consumption with average percentage of iodine sufficiency 47.7% ± 0.456. There were 53.5% of children under five years old who experienced stunting. Low iodine consumption was shown to be associated with stunting. There were 73.1% children under five years old with insufficient iodine intake who were stunted while only 4.8% children under five years old with sufficient iodine intake who were stunted.","author":[{"dropping-particle":"","family":"Simbolon","given":"Demsa","non-dropping-particle":"","parse-names":false,"suffix":""},{"dropping-particle":"","family":"Hapsari","given":"Tri","non-dropping-particle":"","parse-names":false,"suffix":""}],"container-title":"Jurnal Kesehatan Masyarakat","id":"ITEM-1","issue":"1","issued":{"date-parts":[["2018"]]},"page":"140-146","title":"Iodine Consumption and Linear Growth of Children Under Five Years Old in Malabero Coastal Area, Bengkulu City","type":"article-journal","volume":"14"},"uris":["http://www.mendeley.com/documents/?uuid=a1e1f097-920a-48fa-8dcb-c0c3ac475df6"]}],"mendeley":{"formattedCitation":"&lt;sup&gt;13&lt;/sup&gt;","plainTextFormattedCitation":"13","previouslyFormattedCitation":"(Simbolon and Hapsari, 2018)"},"properties":{"noteIndex":0},"schema":"https://github.com/citation-style-language/schema/raw/master/csl-citation.json"}</w:instrText>
      </w:r>
      <w:r w:rsidR="00B956A1">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13</w:t>
      </w:r>
      <w:r w:rsidR="00B956A1">
        <w:rPr>
          <w:rFonts w:ascii="Times New Roman" w:eastAsia="Times New Roman" w:hAnsi="Times New Roman" w:cs="Times New Roman"/>
          <w:color w:val="000000"/>
        </w:rPr>
        <w:fldChar w:fldCharType="end"/>
      </w:r>
      <w:r w:rsidR="00D86844">
        <w:rPr>
          <w:rFonts w:ascii="Times New Roman" w:eastAsia="Times New Roman" w:hAnsi="Times New Roman" w:cs="Times New Roman"/>
          <w:color w:val="000000"/>
        </w:rPr>
        <w:t>.</w:t>
      </w:r>
    </w:p>
    <w:p w14:paraId="0036CC97" w14:textId="77777777" w:rsidR="002536AD" w:rsidRDefault="002536AD" w:rsidP="00EB66BC">
      <w:pPr>
        <w:spacing w:after="0" w:line="240" w:lineRule="auto"/>
        <w:ind w:left="1134" w:hanging="1134"/>
        <w:jc w:val="both"/>
        <w:rPr>
          <w:rFonts w:ascii="Times New Roman" w:eastAsia="Times New Roman" w:hAnsi="Times New Roman" w:cs="Times New Roman"/>
          <w:b/>
          <w:bCs/>
          <w:color w:val="000000"/>
          <w:sz w:val="20"/>
          <w:szCs w:val="20"/>
        </w:rPr>
      </w:pPr>
    </w:p>
    <w:p w14:paraId="51537474" w14:textId="77777777" w:rsidR="00EB66BC" w:rsidRPr="00EB66BC" w:rsidRDefault="00EB66BC" w:rsidP="006E5E16">
      <w:pPr>
        <w:spacing w:after="0" w:line="240" w:lineRule="auto"/>
        <w:ind w:left="1134" w:hanging="1134"/>
        <w:jc w:val="center"/>
        <w:rPr>
          <w:rFonts w:ascii="Calibri" w:eastAsia="Times New Roman" w:hAnsi="Calibri" w:cs="Calibri"/>
          <w:color w:val="000000"/>
          <w:sz w:val="20"/>
          <w:szCs w:val="20"/>
        </w:rPr>
      </w:pPr>
      <w:r w:rsidRPr="00EB66BC">
        <w:rPr>
          <w:rFonts w:ascii="Times New Roman" w:eastAsia="Times New Roman" w:hAnsi="Times New Roman" w:cs="Times New Roman"/>
          <w:b/>
          <w:bCs/>
          <w:color w:val="000000"/>
          <w:sz w:val="20"/>
          <w:szCs w:val="20"/>
        </w:rPr>
        <w:t>Table 6. Logistics Regression Test Results Risk Factors Affecting </w:t>
      </w:r>
      <w:r w:rsidRPr="00EB66BC">
        <w:rPr>
          <w:rFonts w:ascii="Times New Roman" w:eastAsia="Times New Roman" w:hAnsi="Times New Roman" w:cs="Times New Roman"/>
          <w:b/>
          <w:bCs/>
          <w:i/>
          <w:iCs/>
          <w:color w:val="000000"/>
          <w:sz w:val="20"/>
          <w:szCs w:val="20"/>
        </w:rPr>
        <w:t>Stunting </w:t>
      </w:r>
      <w:r w:rsidRPr="00EB66BC">
        <w:rPr>
          <w:rFonts w:ascii="Times New Roman" w:eastAsia="Times New Roman" w:hAnsi="Times New Roman" w:cs="Times New Roman"/>
          <w:b/>
          <w:bCs/>
          <w:color w:val="000000"/>
          <w:sz w:val="20"/>
          <w:szCs w:val="20"/>
        </w:rPr>
        <w:t xml:space="preserve">Incidence in </w:t>
      </w:r>
      <w:proofErr w:type="gramStart"/>
      <w:r w:rsidR="002536AD" w:rsidRPr="00EB66BC">
        <w:rPr>
          <w:rFonts w:ascii="Times New Roman" w:eastAsia="Times New Roman" w:hAnsi="Times New Roman" w:cs="Times New Roman"/>
          <w:b/>
          <w:bCs/>
          <w:color w:val="000000"/>
          <w:sz w:val="20"/>
          <w:szCs w:val="20"/>
        </w:rPr>
        <w:t xml:space="preserve">2-4 </w:t>
      </w:r>
      <w:r w:rsidR="002536AD">
        <w:rPr>
          <w:rFonts w:ascii="Times New Roman" w:eastAsia="Times New Roman" w:hAnsi="Times New Roman" w:cs="Times New Roman"/>
          <w:b/>
          <w:bCs/>
          <w:color w:val="000000"/>
          <w:sz w:val="20"/>
          <w:szCs w:val="20"/>
        </w:rPr>
        <w:t>Year Old</w:t>
      </w:r>
      <w:proofErr w:type="gramEnd"/>
      <w:r w:rsidR="002536AD">
        <w:rPr>
          <w:rFonts w:ascii="Times New Roman" w:eastAsia="Times New Roman" w:hAnsi="Times New Roman" w:cs="Times New Roman"/>
          <w:b/>
          <w:bCs/>
          <w:color w:val="000000"/>
          <w:sz w:val="20"/>
          <w:szCs w:val="20"/>
        </w:rPr>
        <w:t xml:space="preserve"> Toddlers</w:t>
      </w:r>
    </w:p>
    <w:tbl>
      <w:tblPr>
        <w:tblW w:w="8220" w:type="dxa"/>
        <w:jc w:val="center"/>
        <w:tblCellMar>
          <w:left w:w="0" w:type="dxa"/>
          <w:right w:w="0" w:type="dxa"/>
        </w:tblCellMar>
        <w:tblLook w:val="04A0" w:firstRow="1" w:lastRow="0" w:firstColumn="1" w:lastColumn="0" w:noHBand="0" w:noVBand="1"/>
      </w:tblPr>
      <w:tblGrid>
        <w:gridCol w:w="1828"/>
        <w:gridCol w:w="892"/>
        <w:gridCol w:w="801"/>
        <w:gridCol w:w="921"/>
        <w:gridCol w:w="474"/>
        <w:gridCol w:w="808"/>
        <w:gridCol w:w="921"/>
        <w:gridCol w:w="1575"/>
      </w:tblGrid>
      <w:tr w:rsidR="00EB66BC" w:rsidRPr="00EB66BC" w14:paraId="3756888C" w14:textId="77777777" w:rsidTr="006E5E16">
        <w:trPr>
          <w:trHeight w:val="838"/>
          <w:tblHeader/>
          <w:jc w:val="center"/>
        </w:trPr>
        <w:tc>
          <w:tcPr>
            <w:tcW w:w="1519" w:type="dxa"/>
            <w:tcBorders>
              <w:top w:val="single" w:sz="6" w:space="0" w:color="auto"/>
              <w:bottom w:val="single" w:sz="6" w:space="0" w:color="auto"/>
            </w:tcBorders>
            <w:tcMar>
              <w:top w:w="0" w:type="dxa"/>
              <w:left w:w="108" w:type="dxa"/>
              <w:bottom w:w="0" w:type="dxa"/>
              <w:right w:w="108" w:type="dxa"/>
            </w:tcMar>
            <w:vAlign w:val="center"/>
            <w:hideMark/>
          </w:tcPr>
          <w:p w14:paraId="09A75771"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 </w:t>
            </w:r>
          </w:p>
        </w:tc>
        <w:tc>
          <w:tcPr>
            <w:tcW w:w="742" w:type="dxa"/>
            <w:tcBorders>
              <w:top w:val="single" w:sz="6" w:space="0" w:color="auto"/>
              <w:bottom w:val="single" w:sz="6" w:space="0" w:color="auto"/>
            </w:tcBorders>
            <w:tcMar>
              <w:top w:w="0" w:type="dxa"/>
              <w:left w:w="108" w:type="dxa"/>
              <w:bottom w:w="0" w:type="dxa"/>
              <w:right w:w="108" w:type="dxa"/>
            </w:tcMar>
            <w:vAlign w:val="center"/>
            <w:hideMark/>
          </w:tcPr>
          <w:p w14:paraId="73D24EFB"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B</w:t>
            </w:r>
          </w:p>
        </w:tc>
        <w:tc>
          <w:tcPr>
            <w:tcW w:w="540" w:type="dxa"/>
            <w:tcBorders>
              <w:top w:val="single" w:sz="6" w:space="0" w:color="auto"/>
              <w:bottom w:val="single" w:sz="6" w:space="0" w:color="auto"/>
            </w:tcBorders>
            <w:tcMar>
              <w:top w:w="0" w:type="dxa"/>
              <w:left w:w="108" w:type="dxa"/>
              <w:bottom w:w="0" w:type="dxa"/>
              <w:right w:w="108" w:type="dxa"/>
            </w:tcMar>
            <w:vAlign w:val="center"/>
            <w:hideMark/>
          </w:tcPr>
          <w:p w14:paraId="662CF794"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SE</w:t>
            </w:r>
          </w:p>
        </w:tc>
        <w:tc>
          <w:tcPr>
            <w:tcW w:w="729" w:type="dxa"/>
            <w:tcBorders>
              <w:top w:val="single" w:sz="6" w:space="0" w:color="auto"/>
              <w:bottom w:val="single" w:sz="6" w:space="0" w:color="auto"/>
            </w:tcBorders>
            <w:tcMar>
              <w:top w:w="0" w:type="dxa"/>
              <w:left w:w="108" w:type="dxa"/>
              <w:bottom w:w="0" w:type="dxa"/>
              <w:right w:w="108" w:type="dxa"/>
            </w:tcMar>
            <w:vAlign w:val="center"/>
            <w:hideMark/>
          </w:tcPr>
          <w:p w14:paraId="6622E778"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Wald</w:t>
            </w:r>
          </w:p>
        </w:tc>
        <w:tc>
          <w:tcPr>
            <w:tcW w:w="351" w:type="dxa"/>
            <w:tcBorders>
              <w:top w:val="single" w:sz="6" w:space="0" w:color="auto"/>
              <w:bottom w:val="single" w:sz="6" w:space="0" w:color="auto"/>
            </w:tcBorders>
            <w:tcMar>
              <w:top w:w="0" w:type="dxa"/>
              <w:left w:w="108" w:type="dxa"/>
              <w:bottom w:w="0" w:type="dxa"/>
              <w:right w:w="108" w:type="dxa"/>
            </w:tcMar>
            <w:vAlign w:val="center"/>
            <w:hideMark/>
          </w:tcPr>
          <w:p w14:paraId="6416C65A" w14:textId="77777777" w:rsidR="00EB66BC" w:rsidRPr="00EB66BC" w:rsidRDefault="00EB66BC" w:rsidP="00EB66BC">
            <w:pPr>
              <w:spacing w:line="240" w:lineRule="auto"/>
              <w:jc w:val="center"/>
              <w:rPr>
                <w:rFonts w:ascii="Calibri" w:eastAsia="Times New Roman" w:hAnsi="Calibri" w:cs="Calibri"/>
                <w:sz w:val="20"/>
                <w:szCs w:val="20"/>
              </w:rPr>
            </w:pPr>
            <w:proofErr w:type="spellStart"/>
            <w:r w:rsidRPr="00EB66BC">
              <w:rPr>
                <w:rFonts w:ascii="Times New Roman" w:eastAsia="Times New Roman" w:hAnsi="Times New Roman" w:cs="Times New Roman"/>
                <w:b/>
                <w:bCs/>
                <w:sz w:val="20"/>
                <w:szCs w:val="20"/>
              </w:rPr>
              <w:t>df</w:t>
            </w:r>
            <w:proofErr w:type="spellEnd"/>
          </w:p>
        </w:tc>
        <w:tc>
          <w:tcPr>
            <w:tcW w:w="635" w:type="dxa"/>
            <w:tcBorders>
              <w:top w:val="single" w:sz="6" w:space="0" w:color="auto"/>
              <w:bottom w:val="single" w:sz="6" w:space="0" w:color="auto"/>
            </w:tcBorders>
            <w:tcMar>
              <w:top w:w="0" w:type="dxa"/>
              <w:left w:w="108" w:type="dxa"/>
              <w:bottom w:w="0" w:type="dxa"/>
              <w:right w:w="108" w:type="dxa"/>
            </w:tcMar>
            <w:vAlign w:val="center"/>
            <w:hideMark/>
          </w:tcPr>
          <w:p w14:paraId="58C449C7" w14:textId="77777777" w:rsidR="00EB66BC" w:rsidRPr="00EB66BC" w:rsidRDefault="00EB66BC" w:rsidP="002536AD">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p value</w:t>
            </w:r>
          </w:p>
        </w:tc>
        <w:tc>
          <w:tcPr>
            <w:tcW w:w="668" w:type="dxa"/>
            <w:tcBorders>
              <w:top w:val="single" w:sz="6" w:space="0" w:color="auto"/>
              <w:bottom w:val="single" w:sz="6" w:space="0" w:color="auto"/>
            </w:tcBorders>
            <w:tcMar>
              <w:top w:w="0" w:type="dxa"/>
              <w:left w:w="108" w:type="dxa"/>
              <w:bottom w:w="0" w:type="dxa"/>
              <w:right w:w="108" w:type="dxa"/>
            </w:tcMar>
            <w:vAlign w:val="center"/>
            <w:hideMark/>
          </w:tcPr>
          <w:p w14:paraId="7D4F4463"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OR</w:t>
            </w:r>
          </w:p>
        </w:tc>
        <w:tc>
          <w:tcPr>
            <w:tcW w:w="1310" w:type="dxa"/>
            <w:tcBorders>
              <w:top w:val="single" w:sz="6" w:space="0" w:color="auto"/>
              <w:bottom w:val="single" w:sz="6" w:space="0" w:color="auto"/>
            </w:tcBorders>
            <w:tcMar>
              <w:top w:w="0" w:type="dxa"/>
              <w:left w:w="108" w:type="dxa"/>
              <w:bottom w:w="0" w:type="dxa"/>
              <w:right w:w="108" w:type="dxa"/>
            </w:tcMar>
            <w:vAlign w:val="center"/>
            <w:hideMark/>
          </w:tcPr>
          <w:p w14:paraId="64FF75C9"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b/>
                <w:bCs/>
                <w:sz w:val="20"/>
                <w:szCs w:val="20"/>
              </w:rPr>
              <w:t>95% CI</w:t>
            </w:r>
          </w:p>
        </w:tc>
      </w:tr>
      <w:tr w:rsidR="00EB66BC" w:rsidRPr="00EB66BC" w14:paraId="2407A2B0" w14:textId="77777777" w:rsidTr="006E5E16">
        <w:trPr>
          <w:trHeight w:val="340"/>
          <w:jc w:val="center"/>
        </w:trPr>
        <w:tc>
          <w:tcPr>
            <w:tcW w:w="1519" w:type="dxa"/>
            <w:tcBorders>
              <w:top w:val="single" w:sz="6" w:space="0" w:color="auto"/>
            </w:tcBorders>
            <w:tcMar>
              <w:top w:w="0" w:type="dxa"/>
              <w:left w:w="108" w:type="dxa"/>
              <w:bottom w:w="0" w:type="dxa"/>
              <w:right w:w="108" w:type="dxa"/>
            </w:tcMar>
            <w:vAlign w:val="center"/>
            <w:hideMark/>
          </w:tcPr>
          <w:p w14:paraId="0DC12540" w14:textId="77777777" w:rsidR="00EB66BC" w:rsidRPr="00EB66BC" w:rsidRDefault="00EB66BC" w:rsidP="00EB66BC">
            <w:pPr>
              <w:spacing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District Level. Protein</w:t>
            </w:r>
          </w:p>
        </w:tc>
        <w:tc>
          <w:tcPr>
            <w:tcW w:w="742" w:type="dxa"/>
            <w:tcBorders>
              <w:top w:val="single" w:sz="6" w:space="0" w:color="auto"/>
            </w:tcBorders>
            <w:tcMar>
              <w:top w:w="0" w:type="dxa"/>
              <w:left w:w="108" w:type="dxa"/>
              <w:bottom w:w="0" w:type="dxa"/>
              <w:right w:w="108" w:type="dxa"/>
            </w:tcMar>
            <w:vAlign w:val="center"/>
            <w:hideMark/>
          </w:tcPr>
          <w:p w14:paraId="45BEB92E"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3,593</w:t>
            </w:r>
          </w:p>
        </w:tc>
        <w:tc>
          <w:tcPr>
            <w:tcW w:w="540" w:type="dxa"/>
            <w:tcBorders>
              <w:top w:val="single" w:sz="6" w:space="0" w:color="auto"/>
            </w:tcBorders>
            <w:tcMar>
              <w:top w:w="0" w:type="dxa"/>
              <w:left w:w="108" w:type="dxa"/>
              <w:bottom w:w="0" w:type="dxa"/>
              <w:right w:w="108" w:type="dxa"/>
            </w:tcMar>
            <w:vAlign w:val="center"/>
            <w:hideMark/>
          </w:tcPr>
          <w:p w14:paraId="40D2E4A4"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1226</w:t>
            </w:r>
          </w:p>
        </w:tc>
        <w:tc>
          <w:tcPr>
            <w:tcW w:w="729" w:type="dxa"/>
            <w:tcBorders>
              <w:top w:val="single" w:sz="6" w:space="0" w:color="auto"/>
            </w:tcBorders>
            <w:tcMar>
              <w:top w:w="0" w:type="dxa"/>
              <w:left w:w="108" w:type="dxa"/>
              <w:bottom w:w="0" w:type="dxa"/>
              <w:right w:w="108" w:type="dxa"/>
            </w:tcMar>
            <w:vAlign w:val="center"/>
            <w:hideMark/>
          </w:tcPr>
          <w:p w14:paraId="759A33A1"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8,585</w:t>
            </w:r>
          </w:p>
        </w:tc>
        <w:tc>
          <w:tcPr>
            <w:tcW w:w="351" w:type="dxa"/>
            <w:tcBorders>
              <w:top w:val="single" w:sz="6" w:space="0" w:color="auto"/>
            </w:tcBorders>
            <w:tcMar>
              <w:top w:w="0" w:type="dxa"/>
              <w:left w:w="108" w:type="dxa"/>
              <w:bottom w:w="0" w:type="dxa"/>
              <w:right w:w="108" w:type="dxa"/>
            </w:tcMar>
            <w:vAlign w:val="center"/>
            <w:hideMark/>
          </w:tcPr>
          <w:p w14:paraId="37BB8F57"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w:t>
            </w:r>
          </w:p>
        </w:tc>
        <w:tc>
          <w:tcPr>
            <w:tcW w:w="635" w:type="dxa"/>
            <w:tcBorders>
              <w:top w:val="single" w:sz="6" w:space="0" w:color="auto"/>
            </w:tcBorders>
            <w:tcMar>
              <w:top w:w="0" w:type="dxa"/>
              <w:left w:w="108" w:type="dxa"/>
              <w:bottom w:w="0" w:type="dxa"/>
              <w:right w:w="108" w:type="dxa"/>
            </w:tcMar>
            <w:vAlign w:val="center"/>
            <w:hideMark/>
          </w:tcPr>
          <w:p w14:paraId="3176CD28"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0.003</w:t>
            </w:r>
          </w:p>
        </w:tc>
        <w:tc>
          <w:tcPr>
            <w:tcW w:w="668" w:type="dxa"/>
            <w:tcBorders>
              <w:top w:val="single" w:sz="6" w:space="0" w:color="auto"/>
            </w:tcBorders>
            <w:tcMar>
              <w:top w:w="0" w:type="dxa"/>
              <w:left w:w="108" w:type="dxa"/>
              <w:bottom w:w="0" w:type="dxa"/>
              <w:right w:w="108" w:type="dxa"/>
            </w:tcMar>
            <w:vAlign w:val="center"/>
            <w:hideMark/>
          </w:tcPr>
          <w:p w14:paraId="35A93520"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36,358</w:t>
            </w:r>
          </w:p>
        </w:tc>
        <w:tc>
          <w:tcPr>
            <w:tcW w:w="1310" w:type="dxa"/>
            <w:tcBorders>
              <w:top w:val="single" w:sz="6" w:space="0" w:color="auto"/>
            </w:tcBorders>
            <w:tcMar>
              <w:top w:w="0" w:type="dxa"/>
              <w:left w:w="108" w:type="dxa"/>
              <w:bottom w:w="0" w:type="dxa"/>
              <w:right w:w="108" w:type="dxa"/>
            </w:tcMar>
            <w:vAlign w:val="center"/>
            <w:hideMark/>
          </w:tcPr>
          <w:p w14:paraId="3767CBF1" w14:textId="77777777" w:rsidR="00EB66BC" w:rsidRPr="00EB66BC" w:rsidRDefault="00EB66BC" w:rsidP="00EB66BC">
            <w:pPr>
              <w:spacing w:after="0"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3,286-402,255</w:t>
            </w:r>
          </w:p>
        </w:tc>
      </w:tr>
      <w:tr w:rsidR="00EB66BC" w:rsidRPr="00EB66BC" w14:paraId="68AD9257" w14:textId="77777777" w:rsidTr="006E5E16">
        <w:trPr>
          <w:trHeight w:val="340"/>
          <w:jc w:val="center"/>
        </w:trPr>
        <w:tc>
          <w:tcPr>
            <w:tcW w:w="1519" w:type="dxa"/>
            <w:tcMar>
              <w:top w:w="0" w:type="dxa"/>
              <w:left w:w="108" w:type="dxa"/>
              <w:bottom w:w="0" w:type="dxa"/>
              <w:right w:w="108" w:type="dxa"/>
            </w:tcMar>
            <w:vAlign w:val="center"/>
            <w:hideMark/>
          </w:tcPr>
          <w:p w14:paraId="53F8EE03" w14:textId="77777777" w:rsidR="00EB66BC" w:rsidRPr="00EB66BC" w:rsidRDefault="00EB66BC" w:rsidP="00EB66BC">
            <w:pPr>
              <w:spacing w:line="240" w:lineRule="auto"/>
              <w:rPr>
                <w:rFonts w:ascii="Calibri" w:eastAsia="Times New Roman" w:hAnsi="Calibri" w:cs="Calibri"/>
                <w:sz w:val="20"/>
                <w:szCs w:val="20"/>
              </w:rPr>
            </w:pPr>
            <w:r w:rsidRPr="00EB66BC">
              <w:rPr>
                <w:rFonts w:ascii="Times New Roman" w:eastAsia="Times New Roman" w:hAnsi="Times New Roman" w:cs="Times New Roman"/>
                <w:sz w:val="20"/>
                <w:szCs w:val="20"/>
              </w:rPr>
              <w:t>District Level. Iodine</w:t>
            </w:r>
          </w:p>
        </w:tc>
        <w:tc>
          <w:tcPr>
            <w:tcW w:w="742" w:type="dxa"/>
            <w:tcMar>
              <w:top w:w="0" w:type="dxa"/>
              <w:left w:w="108" w:type="dxa"/>
              <w:bottom w:w="0" w:type="dxa"/>
              <w:right w:w="108" w:type="dxa"/>
            </w:tcMar>
            <w:vAlign w:val="center"/>
            <w:hideMark/>
          </w:tcPr>
          <w:p w14:paraId="0FCFCC26"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3.168</w:t>
            </w:r>
          </w:p>
        </w:tc>
        <w:tc>
          <w:tcPr>
            <w:tcW w:w="540" w:type="dxa"/>
            <w:tcMar>
              <w:top w:w="0" w:type="dxa"/>
              <w:left w:w="108" w:type="dxa"/>
              <w:bottom w:w="0" w:type="dxa"/>
              <w:right w:w="108" w:type="dxa"/>
            </w:tcMar>
            <w:vAlign w:val="center"/>
            <w:hideMark/>
          </w:tcPr>
          <w:p w14:paraId="31D7863A"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0.706</w:t>
            </w:r>
          </w:p>
        </w:tc>
        <w:tc>
          <w:tcPr>
            <w:tcW w:w="729" w:type="dxa"/>
            <w:tcMar>
              <w:top w:w="0" w:type="dxa"/>
              <w:left w:w="108" w:type="dxa"/>
              <w:bottom w:w="0" w:type="dxa"/>
              <w:right w:w="108" w:type="dxa"/>
            </w:tcMar>
            <w:vAlign w:val="center"/>
            <w:hideMark/>
          </w:tcPr>
          <w:p w14:paraId="3445304B"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20,110</w:t>
            </w:r>
          </w:p>
        </w:tc>
        <w:tc>
          <w:tcPr>
            <w:tcW w:w="351" w:type="dxa"/>
            <w:tcMar>
              <w:top w:w="0" w:type="dxa"/>
              <w:left w:w="108" w:type="dxa"/>
              <w:bottom w:w="0" w:type="dxa"/>
              <w:right w:w="108" w:type="dxa"/>
            </w:tcMar>
            <w:vAlign w:val="center"/>
            <w:hideMark/>
          </w:tcPr>
          <w:p w14:paraId="5D5A8330"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w:t>
            </w:r>
          </w:p>
        </w:tc>
        <w:tc>
          <w:tcPr>
            <w:tcW w:w="635" w:type="dxa"/>
            <w:tcMar>
              <w:top w:w="0" w:type="dxa"/>
              <w:left w:w="108" w:type="dxa"/>
              <w:bottom w:w="0" w:type="dxa"/>
              <w:right w:w="108" w:type="dxa"/>
            </w:tcMar>
            <w:vAlign w:val="center"/>
            <w:hideMark/>
          </w:tcPr>
          <w:p w14:paraId="7467AF63"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0.000</w:t>
            </w:r>
          </w:p>
        </w:tc>
        <w:tc>
          <w:tcPr>
            <w:tcW w:w="668" w:type="dxa"/>
            <w:tcMar>
              <w:top w:w="0" w:type="dxa"/>
              <w:left w:w="108" w:type="dxa"/>
              <w:bottom w:w="0" w:type="dxa"/>
              <w:right w:w="108" w:type="dxa"/>
            </w:tcMar>
            <w:vAlign w:val="center"/>
            <w:hideMark/>
          </w:tcPr>
          <w:p w14:paraId="48C058D5"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23.756</w:t>
            </w:r>
          </w:p>
        </w:tc>
        <w:tc>
          <w:tcPr>
            <w:tcW w:w="1310" w:type="dxa"/>
            <w:tcMar>
              <w:top w:w="0" w:type="dxa"/>
              <w:left w:w="108" w:type="dxa"/>
              <w:bottom w:w="0" w:type="dxa"/>
              <w:right w:w="108" w:type="dxa"/>
            </w:tcMar>
            <w:vAlign w:val="center"/>
            <w:hideMark/>
          </w:tcPr>
          <w:p w14:paraId="161CC490"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5,950-94,858</w:t>
            </w:r>
          </w:p>
        </w:tc>
      </w:tr>
      <w:tr w:rsidR="00EB66BC" w:rsidRPr="00EB66BC" w14:paraId="1C3D71B0" w14:textId="77777777" w:rsidTr="006E5E16">
        <w:trPr>
          <w:trHeight w:val="340"/>
          <w:jc w:val="center"/>
        </w:trPr>
        <w:tc>
          <w:tcPr>
            <w:tcW w:w="1519" w:type="dxa"/>
            <w:tcBorders>
              <w:bottom w:val="single" w:sz="6" w:space="0" w:color="auto"/>
            </w:tcBorders>
            <w:tcMar>
              <w:top w:w="0" w:type="dxa"/>
              <w:left w:w="108" w:type="dxa"/>
              <w:bottom w:w="0" w:type="dxa"/>
              <w:right w:w="108" w:type="dxa"/>
            </w:tcMar>
            <w:vAlign w:val="center"/>
            <w:hideMark/>
          </w:tcPr>
          <w:p w14:paraId="65D3FF20" w14:textId="77777777" w:rsidR="00EB66BC" w:rsidRPr="00EB66BC" w:rsidRDefault="002536AD" w:rsidP="00EB66BC">
            <w:pPr>
              <w:spacing w:line="240" w:lineRule="auto"/>
              <w:rPr>
                <w:rFonts w:ascii="Calibri" w:eastAsia="Times New Roman" w:hAnsi="Calibri" w:cs="Calibri"/>
                <w:sz w:val="20"/>
                <w:szCs w:val="20"/>
              </w:rPr>
            </w:pPr>
            <w:r>
              <w:rPr>
                <w:rFonts w:ascii="Times New Roman" w:eastAsia="Times New Roman" w:hAnsi="Times New Roman" w:cs="Times New Roman"/>
                <w:sz w:val="20"/>
                <w:szCs w:val="20"/>
              </w:rPr>
              <w:t>C</w:t>
            </w:r>
            <w:r w:rsidR="00EB66BC" w:rsidRPr="00EB66BC">
              <w:rPr>
                <w:rFonts w:ascii="Times New Roman" w:eastAsia="Times New Roman" w:hAnsi="Times New Roman" w:cs="Times New Roman"/>
                <w:sz w:val="20"/>
                <w:szCs w:val="20"/>
              </w:rPr>
              <w:t>onstant</w:t>
            </w:r>
          </w:p>
        </w:tc>
        <w:tc>
          <w:tcPr>
            <w:tcW w:w="742" w:type="dxa"/>
            <w:tcBorders>
              <w:bottom w:val="single" w:sz="6" w:space="0" w:color="auto"/>
            </w:tcBorders>
            <w:tcMar>
              <w:top w:w="0" w:type="dxa"/>
              <w:left w:w="108" w:type="dxa"/>
              <w:bottom w:w="0" w:type="dxa"/>
              <w:right w:w="108" w:type="dxa"/>
            </w:tcMar>
            <w:vAlign w:val="center"/>
            <w:hideMark/>
          </w:tcPr>
          <w:p w14:paraId="10EF6191"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-2,317</w:t>
            </w:r>
          </w:p>
        </w:tc>
        <w:tc>
          <w:tcPr>
            <w:tcW w:w="540" w:type="dxa"/>
            <w:tcBorders>
              <w:bottom w:val="single" w:sz="6" w:space="0" w:color="auto"/>
            </w:tcBorders>
            <w:tcMar>
              <w:top w:w="0" w:type="dxa"/>
              <w:left w:w="108" w:type="dxa"/>
              <w:bottom w:w="0" w:type="dxa"/>
              <w:right w:w="108" w:type="dxa"/>
            </w:tcMar>
            <w:vAlign w:val="center"/>
            <w:hideMark/>
          </w:tcPr>
          <w:p w14:paraId="4A7EC394"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0.606</w:t>
            </w:r>
          </w:p>
        </w:tc>
        <w:tc>
          <w:tcPr>
            <w:tcW w:w="729" w:type="dxa"/>
            <w:tcBorders>
              <w:bottom w:val="single" w:sz="6" w:space="0" w:color="auto"/>
            </w:tcBorders>
            <w:tcMar>
              <w:top w:w="0" w:type="dxa"/>
              <w:left w:w="108" w:type="dxa"/>
              <w:bottom w:w="0" w:type="dxa"/>
              <w:right w:w="108" w:type="dxa"/>
            </w:tcMar>
            <w:vAlign w:val="center"/>
            <w:hideMark/>
          </w:tcPr>
          <w:p w14:paraId="7C21DEAD"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14,593</w:t>
            </w:r>
          </w:p>
        </w:tc>
        <w:tc>
          <w:tcPr>
            <w:tcW w:w="351" w:type="dxa"/>
            <w:tcBorders>
              <w:bottom w:val="single" w:sz="6" w:space="0" w:color="auto"/>
            </w:tcBorders>
            <w:tcMar>
              <w:top w:w="0" w:type="dxa"/>
              <w:left w:w="108" w:type="dxa"/>
              <w:bottom w:w="0" w:type="dxa"/>
              <w:right w:w="108" w:type="dxa"/>
            </w:tcMar>
            <w:vAlign w:val="center"/>
            <w:hideMark/>
          </w:tcPr>
          <w:p w14:paraId="3A6891DA" w14:textId="77777777" w:rsidR="00EB66BC" w:rsidRPr="00EB66BC" w:rsidRDefault="00EB66BC" w:rsidP="00EB66BC">
            <w:pPr>
              <w:spacing w:line="240" w:lineRule="auto"/>
              <w:jc w:val="center"/>
              <w:rPr>
                <w:rFonts w:ascii="Calibri" w:eastAsia="Times New Roman" w:hAnsi="Calibri" w:cs="Calibri"/>
                <w:sz w:val="20"/>
                <w:szCs w:val="20"/>
              </w:rPr>
            </w:pPr>
            <w:r w:rsidRPr="00EB66BC">
              <w:rPr>
                <w:rFonts w:ascii="Times New Roman" w:eastAsia="Times New Roman" w:hAnsi="Times New Roman" w:cs="Times New Roman"/>
                <w:sz w:val="20"/>
                <w:szCs w:val="20"/>
              </w:rPr>
              <w:t>1</w:t>
            </w:r>
          </w:p>
        </w:tc>
        <w:tc>
          <w:tcPr>
            <w:tcW w:w="635" w:type="dxa"/>
            <w:tcBorders>
              <w:bottom w:val="single" w:sz="6" w:space="0" w:color="auto"/>
            </w:tcBorders>
            <w:tcMar>
              <w:top w:w="0" w:type="dxa"/>
              <w:left w:w="108" w:type="dxa"/>
              <w:bottom w:w="0" w:type="dxa"/>
              <w:right w:w="108" w:type="dxa"/>
            </w:tcMar>
            <w:vAlign w:val="center"/>
            <w:hideMark/>
          </w:tcPr>
          <w:p w14:paraId="58B02D8A"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0.000</w:t>
            </w:r>
          </w:p>
        </w:tc>
        <w:tc>
          <w:tcPr>
            <w:tcW w:w="668" w:type="dxa"/>
            <w:tcBorders>
              <w:bottom w:val="single" w:sz="6" w:space="0" w:color="auto"/>
            </w:tcBorders>
            <w:tcMar>
              <w:top w:w="0" w:type="dxa"/>
              <w:left w:w="108" w:type="dxa"/>
              <w:bottom w:w="0" w:type="dxa"/>
              <w:right w:w="108" w:type="dxa"/>
            </w:tcMar>
            <w:vAlign w:val="center"/>
            <w:hideMark/>
          </w:tcPr>
          <w:p w14:paraId="79CFDCB3"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0.099</w:t>
            </w:r>
          </w:p>
        </w:tc>
        <w:tc>
          <w:tcPr>
            <w:tcW w:w="1310" w:type="dxa"/>
            <w:tcBorders>
              <w:bottom w:val="single" w:sz="6" w:space="0" w:color="auto"/>
            </w:tcBorders>
            <w:tcMar>
              <w:top w:w="0" w:type="dxa"/>
              <w:left w:w="108" w:type="dxa"/>
              <w:bottom w:w="0" w:type="dxa"/>
              <w:right w:w="108" w:type="dxa"/>
            </w:tcMar>
            <w:vAlign w:val="center"/>
            <w:hideMark/>
          </w:tcPr>
          <w:p w14:paraId="3652A980" w14:textId="77777777" w:rsidR="00EB66BC" w:rsidRPr="00EB66BC" w:rsidRDefault="00EB66BC" w:rsidP="00EB66BC">
            <w:pPr>
              <w:spacing w:after="0" w:line="240" w:lineRule="auto"/>
              <w:jc w:val="right"/>
              <w:rPr>
                <w:rFonts w:ascii="Calibri" w:eastAsia="Times New Roman" w:hAnsi="Calibri" w:cs="Calibri"/>
                <w:sz w:val="20"/>
                <w:szCs w:val="20"/>
              </w:rPr>
            </w:pPr>
            <w:r w:rsidRPr="00EB66BC">
              <w:rPr>
                <w:rFonts w:ascii="Times New Roman" w:eastAsia="Times New Roman" w:hAnsi="Times New Roman" w:cs="Times New Roman"/>
                <w:sz w:val="20"/>
                <w:szCs w:val="20"/>
              </w:rPr>
              <w:t> </w:t>
            </w:r>
          </w:p>
        </w:tc>
      </w:tr>
    </w:tbl>
    <w:p w14:paraId="7C3F2CC6" w14:textId="77777777" w:rsidR="00EB66BC" w:rsidRPr="00EB66BC" w:rsidRDefault="00EB66BC" w:rsidP="00EB66BC">
      <w:pPr>
        <w:spacing w:after="0" w:line="330" w:lineRule="atLeast"/>
        <w:ind w:firstLine="720"/>
        <w:jc w:val="both"/>
        <w:rPr>
          <w:rFonts w:ascii="Calibri" w:eastAsia="Times New Roman" w:hAnsi="Calibri" w:cs="Calibri"/>
          <w:color w:val="000000"/>
        </w:rPr>
      </w:pPr>
      <w:r w:rsidRPr="00EB66BC">
        <w:rPr>
          <w:rFonts w:ascii="Times New Roman" w:eastAsia="Times New Roman" w:hAnsi="Times New Roman" w:cs="Times New Roman"/>
          <w:color w:val="000000"/>
        </w:rPr>
        <w:t> </w:t>
      </w:r>
    </w:p>
    <w:p w14:paraId="52CB8222" w14:textId="0C05429F" w:rsidR="00EB66BC" w:rsidRDefault="000610DC" w:rsidP="000610DC">
      <w:pPr>
        <w:spacing w:after="0" w:line="360" w:lineRule="auto"/>
        <w:ind w:firstLine="720"/>
        <w:jc w:val="both"/>
        <w:rPr>
          <w:rFonts w:ascii="Times New Roman" w:eastAsia="Times New Roman" w:hAnsi="Times New Roman" w:cs="Times New Roman"/>
          <w:color w:val="000000"/>
        </w:rPr>
      </w:pPr>
      <w:r w:rsidRPr="000610DC">
        <w:rPr>
          <w:rFonts w:ascii="Times New Roman" w:eastAsia="Times New Roman" w:hAnsi="Times New Roman" w:cs="Times New Roman"/>
          <w:color w:val="000000"/>
        </w:rPr>
        <w:t>Logistic regression analysis showed that protein and iodine adequacy were the dominant risk factors for stunting in this region. Toddlers with insufficient protein intake had a 36.36-fold greater risk of stunting compared to toddlers with sufficient protein intake (OR = 36.36; 95% CI: 3.28–402.25). Meanwhile, toddlers with insufficient iodine intake had a 23.76-fold greater risk of stunting (OR = 23.76; 95% CI: 5.95–94.85). Cigarette smoke exposure and urinary cotinine levels were not proven to be risk factors in this multivariate model.</w:t>
      </w:r>
    </w:p>
    <w:p w14:paraId="5180C749" w14:textId="77777777" w:rsidR="00977168" w:rsidRDefault="00977168" w:rsidP="000610DC">
      <w:pPr>
        <w:spacing w:after="0" w:line="360" w:lineRule="auto"/>
        <w:ind w:firstLine="720"/>
        <w:jc w:val="both"/>
        <w:rPr>
          <w:rFonts w:ascii="Times New Roman" w:eastAsia="Times New Roman" w:hAnsi="Times New Roman" w:cs="Times New Roman"/>
          <w:b/>
          <w:bCs/>
          <w:color w:val="000000"/>
        </w:rPr>
      </w:pPr>
    </w:p>
    <w:p w14:paraId="644C3EFF" w14:textId="77777777" w:rsidR="00EB66BC" w:rsidRDefault="00EB66BC" w:rsidP="00893450">
      <w:pPr>
        <w:spacing w:after="0" w:line="360" w:lineRule="auto"/>
        <w:rPr>
          <w:rFonts w:ascii="Times New Roman" w:eastAsia="Times New Roman" w:hAnsi="Times New Roman" w:cs="Times New Roman"/>
          <w:b/>
          <w:bCs/>
          <w:color w:val="000000"/>
        </w:rPr>
      </w:pPr>
      <w:r w:rsidRPr="00A80BE2">
        <w:rPr>
          <w:rFonts w:ascii="Times New Roman" w:eastAsia="Times New Roman" w:hAnsi="Times New Roman" w:cs="Times New Roman"/>
          <w:b/>
          <w:bCs/>
          <w:color w:val="000000"/>
        </w:rPr>
        <w:t>DISCUSSION</w:t>
      </w:r>
    </w:p>
    <w:p w14:paraId="6F5D35D0" w14:textId="619702B6" w:rsidR="006443CF" w:rsidRDefault="006443CF" w:rsidP="006443CF">
      <w:pPr>
        <w:spacing w:after="0" w:line="360" w:lineRule="auto"/>
        <w:ind w:firstLine="720"/>
        <w:jc w:val="both"/>
        <w:rPr>
          <w:rFonts w:ascii="Times New Roman" w:eastAsia="Times New Roman" w:hAnsi="Times New Roman" w:cs="Times New Roman"/>
          <w:color w:val="000000"/>
        </w:rPr>
      </w:pPr>
      <w:r w:rsidRPr="006443CF">
        <w:rPr>
          <w:rFonts w:ascii="Times New Roman" w:eastAsia="Times New Roman" w:hAnsi="Times New Roman" w:cs="Times New Roman"/>
          <w:color w:val="000000"/>
        </w:rPr>
        <w:t xml:space="preserve">The study results show that protein and iodine adequacy are the primary determinants of stunting among toddlers in the agricultural area of ​​Bulu District, </w:t>
      </w:r>
      <w:proofErr w:type="spellStart"/>
      <w:r w:rsidRPr="006443CF">
        <w:rPr>
          <w:rFonts w:ascii="Times New Roman" w:eastAsia="Times New Roman" w:hAnsi="Times New Roman" w:cs="Times New Roman"/>
          <w:color w:val="000000"/>
        </w:rPr>
        <w:t>Temanggung</w:t>
      </w:r>
      <w:proofErr w:type="spellEnd"/>
      <w:r w:rsidRPr="006443CF">
        <w:rPr>
          <w:rFonts w:ascii="Times New Roman" w:eastAsia="Times New Roman" w:hAnsi="Times New Roman" w:cs="Times New Roman"/>
          <w:color w:val="000000"/>
        </w:rPr>
        <w:t xml:space="preserve"> Regency. These findings confirm that despite high levels of cigarette smoke exposure among tobacco farmers, macro- and micronutrient interventions remain key to preventing linear growth failure</w:t>
      </w:r>
      <w:r w:rsidR="005D6709">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10.20473/amnt.v6i1SP.2022.25-31","author":[{"dropping-particle":"","family":"Tembakau","given":"Perkebunan","non-dropping-particle":"","parse-names":false,"suffix":""},{"dropping-particle":"","family":"Jember","given":"Kabupaten","non-dropping-particle":"","parse-names":false,"suffix":""},{"dropping-particle":"","family":"Rokhmah","given":"Dewi","non-dropping-particle":"","parse-names":false,"suffix":""},{"dropping-particle":"","family":"Moelyaningrum","given":"Anita Dewi","non-dropping-particle":"","parse-names":false,"suffix":""},{"dropping-particle":"","family":"Ma","given":"Isa","non-dropping-particle":"","parse-names":false,"suffix":""},{"dropping-particle":"","family":"Rohmawati","given":"Ninna","non-dropping-particle":"","parse-names":false,"suffix":""}],"id":"ITEM-1","issue":"1","issued":{"date-parts":[["2022"]]},"title":"Sociodemographic Factors Associated with Stunting Cases Among Tobacco Plantation Society in Jember District , Indonesia Faktor Demografi dan Sosial Terkait Kasus Stunting di Masyarakat","type":"article-journal","volume":"6"},"uris":["http://www.mendeley.com/documents/?uuid=9ca4ac8f-41fc-4edb-8077-d57c6ca86e08"]}],"mendeley":{"formattedCitation":"&lt;sup&gt;14&lt;/sup&gt;","plainTextFormattedCitation":"14","previouslyFormattedCitation":"(Tembakau &lt;i&gt;et al.&lt;/i&gt;, 2022)"},"properties":{"noteIndex":0},"schema":"https://github.com/citation-style-language/schema/raw/master/csl-citation.json"}</w:instrText>
      </w:r>
      <w:r w:rsidR="005D6709">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14</w:t>
      </w:r>
      <w:r w:rsidR="005D6709">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w:t>
      </w:r>
    </w:p>
    <w:p w14:paraId="45ADDAF3" w14:textId="77777777" w:rsidR="006443CF" w:rsidRPr="006443CF" w:rsidRDefault="006443CF" w:rsidP="006443CF">
      <w:pPr>
        <w:spacing w:after="0" w:line="360" w:lineRule="auto"/>
        <w:ind w:firstLine="720"/>
        <w:jc w:val="both"/>
        <w:rPr>
          <w:rFonts w:ascii="Times New Roman" w:eastAsia="Times New Roman" w:hAnsi="Times New Roman" w:cs="Times New Roman"/>
          <w:color w:val="000000"/>
        </w:rPr>
      </w:pPr>
    </w:p>
    <w:p w14:paraId="07D8C5D3" w14:textId="77777777" w:rsidR="006443CF" w:rsidRDefault="006443CF" w:rsidP="006443CF">
      <w:pPr>
        <w:spacing w:after="0" w:line="360" w:lineRule="auto"/>
        <w:jc w:val="both"/>
        <w:rPr>
          <w:rFonts w:ascii="Times New Roman" w:eastAsia="Times New Roman" w:hAnsi="Times New Roman" w:cs="Times New Roman"/>
          <w:b/>
          <w:bCs/>
          <w:color w:val="000000"/>
        </w:rPr>
      </w:pPr>
      <w:r w:rsidRPr="006443CF">
        <w:rPr>
          <w:rFonts w:ascii="Times New Roman" w:eastAsia="Times New Roman" w:hAnsi="Times New Roman" w:cs="Times New Roman"/>
          <w:b/>
          <w:bCs/>
          <w:color w:val="000000"/>
        </w:rPr>
        <w:t>The Critical Role of Protein and Growth Mechanisms</w:t>
      </w:r>
    </w:p>
    <w:p w14:paraId="5E9F4351" w14:textId="09607E0D" w:rsidR="00EB66BC" w:rsidRPr="006443CF" w:rsidRDefault="006443CF" w:rsidP="006443CF">
      <w:pPr>
        <w:spacing w:after="0" w:line="360" w:lineRule="auto"/>
        <w:ind w:firstLine="720"/>
        <w:jc w:val="both"/>
        <w:rPr>
          <w:rFonts w:ascii="Times New Roman" w:eastAsia="Times New Roman" w:hAnsi="Times New Roman" w:cs="Times New Roman"/>
          <w:b/>
          <w:bCs/>
          <w:color w:val="000000"/>
        </w:rPr>
      </w:pPr>
      <w:r w:rsidRPr="006443CF">
        <w:rPr>
          <w:rFonts w:ascii="Times New Roman" w:eastAsia="Times New Roman" w:hAnsi="Times New Roman" w:cs="Times New Roman"/>
          <w:color w:val="000000"/>
        </w:rPr>
        <w:t>Protein intake was found to be the strongest risk factor with an OR of 36.36. This is in line with the theory that essential amino acids from protein play a role in activating the mechanistic Target of Rapamycin Complex 1 (mTORC1) pathway, a nutrient sensor that regulates cellular protein synthesis and long bone growth</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{"citationItems":[{"id":"ITEM-1","itemData":{"DOI":"https://doi.org/10.3945/an.116.013276","ISSN":"2161-8313","abstract":"Abstract Stunting is the best summary measure of chronic malnutrition in children. Approximately one-quarter of children under age 5 worldwide are stunted. Lipid-based or micronutrient supplementation has little to no impact in reducing stunting, which suggests that other critical dietary nutrients are missing. A dietary pattern of poor-quality protein is associated with stunting. Stunted children have significantly lower circulating essential amino acids than do nonstunted children. Inadequate dietary intakes of essential amino acids could adversely affect growth, because amino acids are required for synthesis of proteins. The master growth regulation pathway, the mechanistic target of rapamycin complex 1 (mTORC1) pathway, is exquisitely sensitive to amino acid availability. mTORC1 integrates cues such as nutrients, growth factors, oxygen, and energy to regulate growth of bone, skeletal muscle, nervous system, gastrointestinal tract, hematopoietic cells, immune effector cells, organ size, and whole-body energy balance. mTORC1 represses protein and lipid synthesis and cell and organismal growth when amino acids are deficient. Over the past 4 decades, the main paradigm for child nutrition in developing countries has been micronutrient malnutrition, with relatively less attention paid to protein. In this Perspective, we present the view that essential amino acids and the mTORC1 pathway play a key role in child growth. The current assumption that total dietary protein intake is adequate for growth among most children in developing countries needs re-evaluation.","author":[{"dropping-particle":"","family":"Semba","given":"Richard D","non-dropping-particle":"","parse-names":false,"suffix":""},{"dropping-particle":"","family":"Trehan","given":"Indi","non-dropping-particle":"","parse-names":false,"suffix":""},{"dropping-particle":"","family":"Gonzalez-Freire","given":"Marta","non-dropping-particle":"","parse-names":false,"suffix":""},{"dropping-particle":"","family":"Kraemer","given":"Klaus","non-dropping-particle":"","parse-names":false,"suffix":""},{"dropping-particle":"","family":"Moaddel","given":"Ruin","non-dropping-particle":"","parse-names":false,"suffix":""},{"dropping-particle":"","family":"Ordiz","given":"M Isabel","non-dropping-particle":"","parse-names":false,"suffix":""},{"dropping-particle":"","family":"Ferrucci","given":"Luigi","non-dropping-particle":"","parse-names":false,"suffix":""},{"dropping-particle":"","family":"Manary","given":"Mark J","non-dropping-particle":"","parse-names":false,"suffix":""}],"container-title":"Advances in Nutrition","id":"ITEM-1","issue":"5","issued":{"date-parts":[["2016"]]},"page":"853-865","title":"Perspective: The Potential Role of Essential Amino Acids and the Mechanistic Target of Rapamycin Complex 1 (mTORC1) Pathway in the Pathogenesis of Child Stunting","type":"article-journal","volume":"7"},"uris":["http://www.mendeley.com/documents/?uuid=5beaa71e-0ea4-4b14-b2a6-e124efb2c8c4"]}],"mendeley":{"formattedCitation":"&lt;sup&gt;8&lt;/sup&gt;","plainTextFormattedCitation":"8","previouslyFormattedCitation":"(Semba &lt;i&gt;et al.&lt;/i&gt;, 2016)"},"properties":{"noteIndex":0},"schema":"https://github.com/citation-style-language/schema/raw/master/csl-citation.json"}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8</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 xml:space="preserve">. Long-term protein deficiency suppresses this pathway, which systemically inhibits linear growth. In the study area, low protein intake in the case group was likely influenced by </w:t>
      </w:r>
      <w:r w:rsidRPr="006443CF">
        <w:rPr>
          <w:rFonts w:ascii="Times New Roman" w:eastAsia="Times New Roman" w:hAnsi="Times New Roman" w:cs="Times New Roman"/>
          <w:color w:val="000000"/>
        </w:rPr>
        <w:lastRenderedPageBreak/>
        <w:t>parenting styles and household spending priorities, which prioritized other basic needs or agricultural production costs over high-quality animal-based foods</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{"citationItems":[{"id":"ITEM-1","itemData":{"DOI":"10.1038/s41556-024-01523-7","ISSN":"1476-4679","abstract":"Amino acid (AA) availability is a robust determinant of cell growth through controlling mechanistic/mammalian target of rapamycin complex 1 (mTORC1) activity. According to the predominant model in the field, AA sufficiency drives the recruitment and activation of mTORC1 on the lysosomal surface by the heterodimeric Rag GTPases, from where it coordinates the majority of cellular processes. Importantly, however, the teleonomy of the proposed lysosomal regulation of mTORC1 and where mTORC1 acts on its effector proteins remain enigmatic. Here, by using multiple pharmacological and genetic means to perturb the lysosomal AA-sensing and protein recycling machineries, we describe the spatial separation of mTORC1 regulation and downstream functions in mammalian cells, with lysosomal and non-lysosomal mTORC1 phosphorylating distinct substrates in response to different AA sources. Moreover, we reveal that a fraction of mTOR localizes at lysosomes owing to basal lysosomal proteolysis that locally supplies new AAs, even in cells grown in the presence of extracellular nutrients, whereas cytoplasmic mTORC1 is regulated by exogenous AAs. Overall, our study substantially expands our knowledge about the topology of mTORC1 regulation by AAs and hints at the existence of distinct, Rag- and lysosome-independent mechanisms that control its activity at other subcellular locations. Given the importance of mTORC1 signalling and AA sensing for human ageing and disease, our findings will probably pave the way towards the identification of function-specific mTORC1 regulators and thus highlight more effective targets for drug discovery against conditions with dysregulated mTORC1 activity in the future.","author":[{"dropping-particle":"","family":"Fernandes","given":"Stephanie A","non-dropping-particle":"","parse-names":false,"suffix":""},{"dropping-particle":"","family":"Angelidaki","given":"Danai-Dimitra","non-dropping-particle":"","parse-names":false,"suffix":""},{"dropping-particle":"","family":"Nüchel","given":"Julian","non-dropping-particle":"","parse-names":false,"suffix":""},{"dropping-particle":"","family":"Pan","given":"Jiyoung","non-dropping-particle":"","parse-names":false,"suffix":""},{"dropping-particle":"","family":"Gollwitzer","given":"Peter","non-dropping-particle":"","parse-names":false,"suffix":""},{"dropping-particle":"","family":"Elkis","given":"Yoav","non-dropping-particle":"","parse-names":false,"suffix":""},{"dropping-particle":"","family":"Artoni","given":"Filippo","non-dropping-particle":"","parse-names":false,"suffix":""},{"dropping-particle":"","family":"Wilhelm","given":"Sabine","non-dropping-particle":"","parse-names":false,"suffix":""},{"dropping-particle":"","family":"Kovacevic-Sarmiento","given":"Marija","non-dropping-particle":"","parse-names":false,"suffix":""},{"dropping-particle":"","family":"Demetriades","given":"Constantinos","non-dropping-particle":"","parse-names":false,"suffix":""}],"container-title":"Nature Cell Biology","id":"ITEM-1","issue":"11","issued":{"date-parts":[["2024"]]},"page":"1918-1933","title":"Spatial and functional separation of mTORC1 signalling in response to different amino acid sources","type":"article-journal","volume":"26"},"uris":["http://www.mendeley.com/documents/?uuid=d4a0f9ec-119d-4c90-b98c-9672f280edba"]},{"id":"ITEM-2","itemData":{"DOI":"10.1016/j.aninu.2021.05.003","ISSN":"2405-6383 (Electronic)","PMID":"34738031","abstract":"The mechanistic target of rapamycin complex 1 (mTORC1) integrates various types  of signal inputs, such as energy, growth factors, and amino acids to regulate cell growth and proliferation mainly through the 2 direct downstream targets, eukaryotic translation initiation factor 4E-binding protein 1 (4EBP1) and ribosomal protein S6 kinase 1 (S6K1). Most of the signal arms upstream of mTORC1 including energy status, stress signals, and growth factors converge on the tuberous sclerosis complex (TSC) - Ras homologue enriched in brain (Rheb) axis. Amino acids, however, are distinct from other signals and modulate mTORC1 using a unique pathway. In recent years, the transmission mechanism of amino acid signals upstream of mTORC1 has been gradually elucidated, and some sensors or signal transmission pathways for individual amino acids have also been discovered. With the help of these findings, we propose a general picture of recent advances, which demonstrates that various amino acids from lysosomes, cytoplasm, and Golgi are sensed by their respective sensors. These signals converge on mTORC1 and form a huge and complicated signal network with multiple synergies, antagonisms, and feedback mechanisms.","author":[{"dropping-particle":"","family":"Zhang","given":"Shizhe","non-dropping-particle":"","parse-names":false,"suffix":""},{"dropping-particle":"","family":"Lin","given":"Xueyan","non-dropping-particle":"","parse-names":false,"suffix":""},{"dropping-particle":"","family":"Hou","given":"Qiuling","non-dropping-particle":"","parse-names":false,"suffix":""},{"dropping-particle":"","family":"Hu","given":"Zhiyong","non-dropping-particle":"","parse-names":false,"suffix":""},{"dropping-particle":"","family":"Wang","given":"Yun","non-dropping-particle":"","parse-names":false,"suffix":""},{"dropping-particle":"","family":"Wang","given":"Zhonghua","non-dropping-particle":"","parse-names":false,"suffix":""}],"container-title":"Animal nutrition (Zhongguo xu mu shou yi xue hui)","id":"ITEM-2","issue":"4","issued":{"date-parts":[["2021","12"]]},"language":"eng","page":"1009-1023","publisher-place":"China","title":"Regulation of mTORC1 by amino acids in mammalian cells: A general picture of  recent advances.","type":"article-journal","volume":"7"},"uris":["http://www.mendeley.com/documents/?uuid=1fa93e32-9b22-4aeb-b1e3-bbdfac8d46c7"]}],"mendeley":{"formattedCitation":"&lt;sup&gt;15,16&lt;/sup&gt;","plainTextFormattedCitation":"15,16","previouslyFormattedCitation":"(Zhang &lt;i&gt;et al.&lt;/i&gt;, 2021; Fernandes &lt;i&gt;et al.&lt;/i&gt;, 2024)"},"properties":{"noteIndex":0},"schema":"https://github.com/citation-style-language/schema/raw/master/csl-citation.json"}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15,16</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w:t>
      </w:r>
      <w:r w:rsidR="00EB66BC" w:rsidRPr="00A80BE2">
        <w:rPr>
          <w:rFonts w:ascii="Times New Roman" w:eastAsia="Times New Roman" w:hAnsi="Times New Roman" w:cs="Times New Roman"/>
          <w:color w:val="000000"/>
        </w:rPr>
        <w:t> </w:t>
      </w:r>
    </w:p>
    <w:p w14:paraId="609FF689" w14:textId="77777777" w:rsidR="006443CF" w:rsidRDefault="006443CF" w:rsidP="006443CF">
      <w:pPr>
        <w:spacing w:after="0" w:line="360" w:lineRule="auto"/>
        <w:jc w:val="both"/>
        <w:rPr>
          <w:rFonts w:ascii="Times New Roman" w:eastAsia="Times New Roman" w:hAnsi="Times New Roman" w:cs="Times New Roman"/>
          <w:b/>
          <w:bCs/>
          <w:color w:val="000000"/>
        </w:rPr>
      </w:pPr>
      <w:r w:rsidRPr="006443CF">
        <w:rPr>
          <w:rFonts w:ascii="Times New Roman" w:eastAsia="Times New Roman" w:hAnsi="Times New Roman" w:cs="Times New Roman"/>
          <w:b/>
          <w:bCs/>
          <w:color w:val="000000"/>
        </w:rPr>
        <w:t>Iodine as a Determinant of Growth in Agricultural Areas</w:t>
      </w:r>
    </w:p>
    <w:p w14:paraId="765A367E" w14:textId="78CE3A8A" w:rsidR="00EB66BC" w:rsidRDefault="006443CF" w:rsidP="006443CF">
      <w:pPr>
        <w:spacing w:after="0" w:line="360" w:lineRule="auto"/>
        <w:ind w:firstLine="720"/>
        <w:jc w:val="both"/>
        <w:rPr>
          <w:rFonts w:ascii="Times New Roman" w:eastAsia="Times New Roman" w:hAnsi="Times New Roman" w:cs="Times New Roman"/>
          <w:b/>
          <w:bCs/>
          <w:color w:val="000000"/>
        </w:rPr>
      </w:pPr>
      <w:r w:rsidRPr="006443CF">
        <w:rPr>
          <w:rFonts w:ascii="Times New Roman" w:eastAsia="Times New Roman" w:hAnsi="Times New Roman" w:cs="Times New Roman"/>
          <w:color w:val="000000"/>
        </w:rPr>
        <w:t>Iodine sufficiency was also a significant risk factor (OR 23.76). Iodine is an essential component of thyroid hormone, which regulates basal metabolic rate and stimulates growth hormone secretion</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10.36590/akg.v1i2.1074","author":[{"dropping-particle":"","family":"Scholar","given":"Google","non-dropping-particle":"","parse-names":false,"suffix":""},{"dropping-particle":"","family":"Books","given":"Google","non-dropping-particle":"","parse-names":false,"suffix":""}],"id":"ITEM-1","issue":"2","issued":{"date-parts":[["2024"]]},"page":"89-97","title":"PERAN MINERAL YODIUM TERHADAP STUNTING The role of iodine in stunting Fifin Dian Safitri, Siti Haryati *","type":"article-journal","volume":"1"},"uris":["http://www.mendeley.com/documents/?uuid=e9ca876c-b5ce-4890-b5bf-d93c12243014"]}],"mendeley":{"formattedCitation":"&lt;sup&gt;17&lt;/sup&gt;","plainTextFormattedCitation":"17","previouslyFormattedCitation":"(Scholar and Books, 2024)"},"properties":{"noteIndex":0},"schema":"https://github.com/citation-style-language/schema/raw/master/csl-citation.json"}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17</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 xml:space="preserve">. This finding is interesting because </w:t>
      </w:r>
      <w:proofErr w:type="spellStart"/>
      <w:r w:rsidRPr="006443CF">
        <w:rPr>
          <w:rFonts w:ascii="Times New Roman" w:eastAsia="Times New Roman" w:hAnsi="Times New Roman" w:cs="Times New Roman"/>
          <w:color w:val="000000"/>
        </w:rPr>
        <w:t>Temanggung</w:t>
      </w:r>
      <w:proofErr w:type="spellEnd"/>
      <w:r w:rsidRPr="006443CF">
        <w:rPr>
          <w:rFonts w:ascii="Times New Roman" w:eastAsia="Times New Roman" w:hAnsi="Times New Roman" w:cs="Times New Roman"/>
          <w:color w:val="000000"/>
        </w:rPr>
        <w:t xml:space="preserve"> Regency is not geographically endemic for Iodine Deficiency Disorders (IDD), but inconsistent consumption of iodized salt or improper salt storage in farming households can reduce effective iodine intake in toddlers</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{"citationItems":[{"id":"ITEM-1","itemData":{"DOI":"10.1063/5.0125253","ISSN":"0094-243X","abstract":"In Indonesia, more than 6.3 million children under the age of 5 are stunted. The Iodine Deficiency Disorders (IDD) are well described and can be as severe as permanent cognitive loss and stunted growth. It is interesting to know about the parental role and efforts to access health programs about the risk of stunting. This study aimed to analyze the relationship between morbidity, nutritional care, and utilization of posyandu with the proportions of stunting in children under the age of five. A cross-sectional study was conducted among 379 toddlers aged 6 – 48 months (251 stunted, 128 normal) living in IDD crowded areas. Subject characteristics are obtained by interview. Anthropometric measurements’ toddler calculated the nutritional status. This study shows a high proportion of stunting (60.1%) in toddlers who have a risk of growth delay. Logistic regression results showed that toddlers often had had a fever (AOR 2.399; 95% CI: 1.176-4.894; p&amp;lt;0.05) and no exclusive breastfeeding (AOR 2.126; 95% CI; 1.034-4.374; p &amp;lt;0.05) are more at risk of experiencing stunting. Morbidity and no exclusive breastfeeding increase the risk of stunting.","author":[{"dropping-particle":"","family":"Nurcahyani","given":"Yusi Dwi","non-dropping-particle":"","parse-names":false,"suffix":""},{"dropping-particle":"","family":"Latifah","given":"Leny","non-dropping-particle":"","parse-names":false,"suffix":""},{"dropping-particle":"","family":"Yunitawati","given":"Diah","non-dropping-particle":"","parse-names":false,"suffix":""},{"dropping-particle":"","family":"Kumorowulan","given":"Suryati","non-dropping-particle":"","parse-names":false,"suffix":""}],"container-title":"AIP Conference Proceedings","id":"ITEM-1","issue":"1","issued":{"date-parts":[["2023","5","16"]]},"page":"40023","title":"Morbidity, nutritional care and utilization of posyandu with stunting in iodine deficiency disorders replete area","type":"article-journal","volume":"2683"},"uris":["http://www.mendeley.com/documents/?uuid=354baf5d-7729-4123-874f-62da9d88a6a6"]}],"mendeley":{"formattedCitation":"&lt;sup&gt;18&lt;/sup&gt;","plainTextFormattedCitation":"18","previouslyFormattedCitation":"(Nurcahyani &lt;i&gt;et al.&lt;/i&gt;, 2023)"},"properties":{"noteIndex":0},"schema":"https://github.com/citation-style-language/schema/raw/master/csl-citation.json"}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18</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 Iodine deficiency, combined with low protein intake, creates a double barrier to bone ossification in toddlers</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{"citationItems":[{"id":"ITEM-1","itemData":{"DOI":"10.3390/nu13061802","ISSN":"2072-6643 (Electronic)","PMID":"34073270","abstract":"Micronutrient deficiencies and stunting are known as a significant problem in  most developing countries, including Indonesia. The objective of this study was to analyze the association between micronutrient deficiencies and stunting with socioeconomic status (SES) among Indonesian children aged 6-59 months. This cross-sectional study was part of the South East Asian Nutrition Surveys (SEANUTS). A total of 1008 Indonesian children were included in the study. Anemia, iron deficiency, vitamin A deficiency, vitamin D deficiency, and stunting were identified in this study. Structured questionnaires were used to measure SES. Differences between micronutrient parameters and anthropometric indicators with the SES groups were tested using one-way ANOVA with post-hoc test after adjusted for age, area resident (rural and urban), and sex. The highest prevalence of anemia, stunting, and severe stunting were found to be most significant in the lowest SES group at 45.6%, 29.3%, and 54.5%, respectively. Children from the lowest SES group had significantly lower means of Hb, ferritin, retinol, and HAZ. Severely stunted children had a significantly lower mean of Hb concentration compared to stunted and normal height children. Micronutrient deficiencies, except vitamin D, and stunting, were associated with low SES among Indonesian children aged 6-59 months.","author":[{"dropping-particle":"","family":"Ernawati","given":"Fitrah","non-dropping-particle":"","parse-names":false,"suffix":""},{"dropping-particle":"","family":"Syauqy","given":"Ahmad","non-dropping-particle":"","parse-names":false,"suffix":""},{"dropping-particle":"","family":"Arifin","given":"Aya Yuriestia","non-dropping-particle":"","parse-names":false,"suffix":""},{"dropping-particle":"","family":"Soekatri","given":"Moesijanti Y E","non-dropping-particle":"","parse-names":false,"suffix":""},{"dropping-particle":"","family":"Sandjaja","given":"Sandjaja","non-dropping-particle":"","parse-names":false,"suffix":""}],"container-title":"Nutrients","id":"ITEM-1","issue":"6","issued":{"date-parts":[["2021","5"]]},"language":"eng","publisher-place":"Switzerland","title":"Micronutrient Deficiencies and Stunting Were Associated with Socioeconomic Status  in Indonesian Children Aged 6-59 Months.","type":"article-journal","volume":"13"},"uris":["http://www.mendeley.com/documents/?uuid=90a6ea8e-1c51-45d6-9dca-bbe4ba6225fc"]}],"mendeley":{"formattedCitation":"&lt;sup&gt;19&lt;/sup&gt;","plainTextFormattedCitation":"19","previouslyFormattedCitation":"(Ernawati &lt;i&gt;et al.&lt;/i&gt;, 2021)"},"properties":{"noteIndex":0},"schema":"https://github.com/citation-style-language/schema/raw/master/csl-citation.json"}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19</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w:t>
      </w:r>
      <w:r w:rsidR="00EB66BC" w:rsidRPr="00EB66BC">
        <w:rPr>
          <w:rFonts w:ascii="Times New Roman" w:eastAsia="Times New Roman" w:hAnsi="Times New Roman" w:cs="Times New Roman"/>
          <w:b/>
          <w:bCs/>
          <w:color w:val="000000"/>
        </w:rPr>
        <w:t> </w:t>
      </w:r>
    </w:p>
    <w:p w14:paraId="45686235" w14:textId="0F334D07" w:rsidR="006443CF" w:rsidRDefault="006443CF" w:rsidP="006443CF">
      <w:pPr>
        <w:spacing w:after="0" w:line="360" w:lineRule="auto"/>
        <w:jc w:val="both"/>
        <w:rPr>
          <w:rFonts w:ascii="Times New Roman" w:eastAsia="Times New Roman" w:hAnsi="Times New Roman" w:cs="Times New Roman"/>
          <w:b/>
          <w:bCs/>
          <w:color w:val="000000"/>
        </w:rPr>
      </w:pPr>
      <w:r w:rsidRPr="006443CF">
        <w:rPr>
          <w:rFonts w:ascii="Times New Roman" w:eastAsia="Times New Roman" w:hAnsi="Times New Roman" w:cs="Times New Roman"/>
          <w:b/>
          <w:bCs/>
          <w:color w:val="000000"/>
        </w:rPr>
        <w:t>Anomalies Between Cigarette Smoke Exposure and Cotinine Levels</w:t>
      </w:r>
    </w:p>
    <w:p w14:paraId="3A90334B" w14:textId="35A40585" w:rsidR="006443CF" w:rsidRPr="00213ED0" w:rsidRDefault="006443CF" w:rsidP="006443CF">
      <w:pPr>
        <w:spacing w:after="0" w:line="360" w:lineRule="auto"/>
        <w:ind w:firstLine="720"/>
        <w:jc w:val="both"/>
        <w:rPr>
          <w:rFonts w:ascii="Times New Roman" w:eastAsia="Times New Roman" w:hAnsi="Times New Roman" w:cs="Times New Roman"/>
          <w:b/>
          <w:bCs/>
          <w:color w:val="000000"/>
        </w:rPr>
      </w:pPr>
      <w:r w:rsidRPr="006443CF">
        <w:rPr>
          <w:rFonts w:ascii="Times New Roman" w:eastAsia="Times New Roman" w:hAnsi="Times New Roman" w:cs="Times New Roman"/>
          <w:color w:val="000000"/>
        </w:rPr>
        <w:t>Interestingly, cigarette smoke exposure and urinary cotinine levels did not show a significant association with stunting in this study (p &gt; 0.05). This contrasts with several studies in urban areas that have shown a strong correlation</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{"citationItems":[{"id":"ITEM-1","itemData":{"DOI":"10.1177/11786302231185210","ISSN":"1178-6302 (Print)","PMID":"37434666","abstract":"Cigarette smoke exposure in mothers and children is highly prevalent in Asia,  especially among rural and poor families. Second-hand smoke exposure might affect the nutritional status of children. Despite the emerging double burden of malnutrition and the very high prevalence of smoking in Indonesia, few studies have examined the effects of parental smoking on children's nutritional status. This study aims to measure the relationship between family smoking behavior and the occurrence of stunting in children under 5 years. This cross-sectional study used a purposive sampling technique, with 221 households with children aged 0 to 59 months from poor areas in Indonesia. Exposure to cigarette smoke is assessed using The Secondhand Smoke Exposure Scale questionnaire. The outcome measured is child stunting (height-for-age Z-score). The prevalence of stunting was estimated at 145 (65.6%). Children living with smoking parents were counted for 157 (71%), and most smoking exposure comes from fathers 147 (67.4%). The predictors of stunting in children under 5 years were a smoker father with (AOR 1.8; 95% CI 1.281-4.641), both parents are smokers increasing the risk of stunting with (COR 3.591; 95% CI 1.67-3.77), being exposed of smoke for more than 3 hours a day increase the risk of stunted children (COR 2.05; 95% CI 1.214-3.629), and using traditional cigarette or kretek expand the risk of stunting (AOR 3.19; 95% CI 1.139-67.785). The findings demonstrate the negative impact of parental smoking on children's growth, reinforcing the importance of reducing smoking prevalence by imposing a smoke-free home policy in the stunting prevention strategy.","author":[{"dropping-particle":"","family":"Muchlis","given":"Nurmiati","non-dropping-particle":"","parse-names":false,"suffix":""},{"dropping-particle":"","family":"Yusuf","given":"Rezky Aulia","non-dropping-particle":"","parse-names":false,"suffix":""},{"dropping-particle":"","family":"Rusydi","given":"Arni Rizqiani","non-dropping-particle":"","parse-names":false,"suffix":""},{"dropping-particle":"","family":"Mahmud","given":"Nur Ulmy","non-dropping-particle":"","parse-names":false,"suffix":""},{"dropping-particle":"","family":"Hikmah","given":"Nurul","non-dropping-particle":"","parse-names":false,"suffix":""},{"dropping-particle":"","family":"Qanitha","given":"Andriany","non-dropping-particle":"","parse-names":false,"suffix":""},{"dropping-particle":"","family":"Ahsan","given":"Abdillah","non-dropping-particle":"","parse-names":false,"suffix":""}],"container-title":"Environmental health insights","id":"ITEM-1","issued":{"date-parts":[["2023"]]},"language":"eng","page":"11786302231185210","publisher-place":"United States","title":"Cigarette Smoke Exposure and Stunting Among Under-five Children in Rural and Poor  Families in Indonesia.","type":"article-journal","volume":"17"},"uris":["http://www.mendeley.com/documents/?uuid=ea3d638a-ed70-4041-9e87-7d353b9cb985"]}],"mendeley":{"formattedCitation":"&lt;sup&gt;6&lt;/sup&gt;","plainTextFormattedCitation":"6","previouslyFormattedCitation":"(Muchlis &lt;i&gt;et al.&lt;/i&gt;, 2023)"},"properties":{"noteIndex":0},"schema":"https://github.com/citation-style-language/schema/raw/master/csl-citation.json"}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6</w:t>
      </w:r>
      <w:r w:rsidR="000840D0">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 This insignificant result is likely due to the homogeneity of exposure in Bulu District; almost all toddlers, both case and control groups, were extensively exposed to cigarette smoke due to their social environment of tobacco farmers</w:t>
      </w:r>
      <w:r w:rsidR="00F94F72">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{"citationItems":[{"id":"ITEM-1","itemData":{"DOI":"10.1016/j.eclinm.2022.101320","ISSN":"2589-5370 (Electronic)","PMID":"35308896","abstract":"BACKGROUND: Stunting during childhood has long-term consequences on human  capital, including decreased physical growth, and lower educational attainment, cognition, workforce productivity and wages. Previous research has quantified the costs of stunting to national economies however beyond a few single-country datasets there has been a limited number of which have used diverse datasets and have had a dedicated focus on the private sector, which employs nearly 90% of the workforce in many low- and middle-income countries (LMICs). We aimed to examine (i) the impact of childhood stunting on income loss of private sector workforce in LMICs; (ii) to quantify losses in sales to private firms in LMICs due to childhood stunting; and (iii) to estimate potential gains (benefit-cost ratios) if stunting levels are reduced in select high prevalence countries. METHODS: This multiple-methods study engaged multi-disciplinary technical advisers, executed several literature reviews, used innovative statistical methods, and implemented health and labor economic models. We analyzed data from seven longitudinal datasets (up to 30+ years of follow-up; 1982-2016; Peru, Ethiopia, India, Vietnam, Philippines, Tanzania, Brazil), 108 private firm datasets (spanning 2008-2020), and many global datasets including Joint Malnutrition Estimates, and World Development Indicators to produce estimates for 120+ LMICs (with estimates up to 2021). We studied the impact of childhood stunting on adult cognition, education, and height as pathways to wages/productivity in adulthood. We employed cloud-based artificial intelligence (AI) platforms, and conducted comparative analyses using three analytic approaches: traditional frequentist statistics, Bayesian inferential statistics and machine learning. We employed labour and health economic models to estimate wage losses to the private sector worker and firm revenue losses due to stunting. We also estimated benefit-cost ratios for countries investing in nutrition-specific interventions to prevent stunting. FINDINGS: Across 95 LMICs, childhood stunting costs the private sector at least US$135.4 billion in sales annually. Firms from countries in Latin America and the Caribbean and East Asia and Pacific regions had the greatest losses. Totals sales losses to the private sector accumulated to 0.01% to 1.2% of national GDP across countries. Sectors most affected by childhood stunting were manufacturing (non-metallic mineral, fabricated metal, other),…","author":[{"dropping-particle":"","family":"Akseer","given":"Nadia","non-dropping-particle":"","parse-names":false,"suffix":""},{"dropping-particle":"","family":"Tasic","given":"Hana","non-dropping-particle":"","parse-names":false,"suffix":""},{"dropping-particle":"","family":"Nnachebe Onah","given":"Michael","non-dropping-particle":"","parse-names":false,"suffix":""},{"dropping-particle":"","family":"Wigle","given":"Jannah","non-dropping-particle":"","parse-names":false,"suffix":""},{"dropping-particle":"","family":"Rajakumar","given":"Ramraj","non-dropping-particle":"","parse-names":false,"suffix":""},{"dropping-particle":"","family":"Sanchez-Hernandez","given":"Diana","non-dropping-particle":"","parse-names":false,"suffix":""},{"dropping-particle":"","family":"Akuoku","given":"Jonathan","non-dropping-particle":"","parse-names":false,"suffix":""},{"dropping-particle":"","family":"Black","given":"Robert E","non-dropping-particle":"","parse-names":false,"suffix":""},{"dropping-particle":"","family":"Horta","given":"Bernardo L","non-dropping-particle":"","parse-names":false,"suffix":""},{"dropping-particle":"","family":"Nwuneli","given":"Ndidi","non-dropping-particle":"","parse-names":false,"suffix":""},{"dropping-particle":"","family":"Shine","given":"Ritta","non-dropping-particle":"","parse-names":false,"suffix":""},{"dropping-particle":"","family":"Wazny","given":"Kerri","non-dropping-particle":"","parse-names":false,"suffix":""},{"dropping-particle":"","family":"Japra","given":"Nikita","non-dropping-particle":"","parse-names":false,"suffix":""},{"dropping-particle":"","family":"Shekar","given":"Meera","non-dropping-particle":"","parse-names":false,"suffix":""},{"dropping-particle":"","family":"Hoddinott","given":"John","non-dropping-particle":"","parse-names":false,"suffix":""}],"container-title":"EClinicalMedicine","id":"ITEM-1","issued":{"date-parts":[["2022","3"]]},"language":"eng","page":"101320","publisher-place":"England","title":"Economic costs of childhood stunting to the private sector in low- and  middle-income countries.","type":"article-journal","volume":"45"},"uris":["http://www.mendeley.com/documents/?uuid=b9d0c44b-06fc-4540-942f-53049334ab42"]}],"mendeley":{"formattedCitation":"&lt;sup&gt;20&lt;/sup&gt;","plainTextFormattedCitation":"20","previouslyFormattedCitation":"(Akseer &lt;i&gt;et al.&lt;/i&gt;, 2022)"},"properties":{"noteIndex":0},"schema":"https://github.com/citation-style-language/schema/raw/master/csl-citation.json"}</w:instrText>
      </w:r>
      <w:r w:rsidR="00F94F72">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20</w:t>
      </w:r>
      <w:r w:rsidR="00F94F72">
        <w:rPr>
          <w:rFonts w:ascii="Times New Roman" w:eastAsia="Times New Roman" w:hAnsi="Times New Roman" w:cs="Times New Roman"/>
          <w:color w:val="000000"/>
        </w:rPr>
        <w:fldChar w:fldCharType="end"/>
      </w:r>
      <w:r w:rsidRPr="006443CF">
        <w:rPr>
          <w:rFonts w:ascii="Times New Roman" w:eastAsia="Times New Roman" w:hAnsi="Times New Roman" w:cs="Times New Roman"/>
          <w:color w:val="000000"/>
        </w:rPr>
        <w:t xml:space="preserve">. Furthermore, the high cotinine levels in both groups indicate that environmental exposure in this area is chronic and widespread, so differences in nutritional status are more determined by variations in nutrient intake as a protective factor than by the </w:t>
      </w:r>
      <w:r w:rsidRPr="00213ED0">
        <w:rPr>
          <w:rFonts w:ascii="Times New Roman" w:eastAsia="Times New Roman" w:hAnsi="Times New Roman" w:cs="Times New Roman"/>
          <w:color w:val="000000"/>
        </w:rPr>
        <w:t>level of exposure</w:t>
      </w:r>
      <w:r w:rsidR="000840D0">
        <w:rPr>
          <w:rFonts w:ascii="Times New Roman" w:eastAsia="Times New Roman" w:hAnsi="Times New Roman" w:cs="Times New Roman"/>
          <w:color w:val="000000"/>
        </w:rPr>
        <w:fldChar w:fldCharType="begin" w:fldLock="1"/>
      </w:r>
      <w:r w:rsidR="00D86844">
        <w:rPr>
          <w:rFonts w:ascii="Times New Roman" w:eastAsia="Times New Roman" w:hAnsi="Times New Roman" w:cs="Times New Roman"/>
          <w:color w:val="000000"/>
        </w:rPr>
        <w:instrText>ADDIN CSL_CITATION {"citationItems":[{"id":"ITEM-1","itemData":{"author":[{"dropping-particle":"","family":"Stan-","given":"W H O Child Growth","non-dropping-particle":"","parse-names":false,"suffix":""},{"dropping-particle":"","family":"Targets","given":"Global Nutrition","non-dropping-particle":"","parse-names":false,"suffix":""}],"id":"ITEM-1","issue":"June","issued":{"date-parts":[["2025"]]},"title":"Tobacco and stunting ▪","type":"article-journal"},"uris":["http://www.mendeley.com/documents/?uuid=da2572a0-b4af-48c0-b0fe-16ae83fa8d5a"]}],"mendeley":{"formattedCitation":"&lt;sup&gt;4&lt;/sup&gt;","plainTextFormattedCitation":"4","previouslyFormattedCitation":"(Stan- and Targets, 2025)"},"properties":{"noteIndex":0},"schema":"https://github.com/citation-style-language/schema/raw/master/csl-citation.json"}</w:instrText>
      </w:r>
      <w:r w:rsidR="000840D0">
        <w:rPr>
          <w:rFonts w:ascii="Times New Roman" w:eastAsia="Times New Roman" w:hAnsi="Times New Roman" w:cs="Times New Roman"/>
          <w:color w:val="000000"/>
        </w:rPr>
        <w:fldChar w:fldCharType="separate"/>
      </w:r>
      <w:r w:rsidR="00D86844" w:rsidRPr="00D86844">
        <w:rPr>
          <w:rFonts w:ascii="Times New Roman" w:eastAsia="Times New Roman" w:hAnsi="Times New Roman" w:cs="Times New Roman"/>
          <w:noProof/>
          <w:color w:val="000000"/>
          <w:vertAlign w:val="superscript"/>
        </w:rPr>
        <w:t>4</w:t>
      </w:r>
      <w:r w:rsidR="000840D0">
        <w:rPr>
          <w:rFonts w:ascii="Times New Roman" w:eastAsia="Times New Roman" w:hAnsi="Times New Roman" w:cs="Times New Roman"/>
          <w:color w:val="000000"/>
        </w:rPr>
        <w:fldChar w:fldCharType="end"/>
      </w:r>
      <w:r w:rsidRPr="00213ED0">
        <w:rPr>
          <w:rFonts w:ascii="Times New Roman" w:eastAsia="Times New Roman" w:hAnsi="Times New Roman" w:cs="Times New Roman"/>
          <w:color w:val="000000"/>
        </w:rPr>
        <w:t>.</w:t>
      </w:r>
    </w:p>
    <w:p w14:paraId="0FF47733" w14:textId="39961E56" w:rsidR="00213ED0" w:rsidRDefault="00213ED0" w:rsidP="00213ED0">
      <w:pPr>
        <w:spacing w:after="0" w:line="360" w:lineRule="auto"/>
        <w:jc w:val="both"/>
        <w:rPr>
          <w:rFonts w:ascii="Times New Roman" w:eastAsia="Times New Roman" w:hAnsi="Times New Roman" w:cs="Times New Roman"/>
          <w:b/>
          <w:bCs/>
          <w:color w:val="000000"/>
        </w:rPr>
      </w:pPr>
      <w:r w:rsidRPr="00213ED0">
        <w:rPr>
          <w:rFonts w:ascii="Times New Roman" w:eastAsia="Times New Roman" w:hAnsi="Times New Roman" w:cs="Times New Roman"/>
          <w:b/>
          <w:bCs/>
          <w:color w:val="000000"/>
        </w:rPr>
        <w:t>Research Limitations and Implications</w:t>
      </w:r>
    </w:p>
    <w:p w14:paraId="341EDB6C" w14:textId="5906B420" w:rsidR="00213ED0" w:rsidRDefault="00213ED0" w:rsidP="00213ED0">
      <w:pPr>
        <w:spacing w:after="0" w:line="360" w:lineRule="auto"/>
        <w:ind w:firstLine="720"/>
        <w:jc w:val="both"/>
        <w:rPr>
          <w:rFonts w:ascii="Times New Roman" w:eastAsia="Times New Roman" w:hAnsi="Times New Roman" w:cs="Times New Roman"/>
          <w:color w:val="000000"/>
        </w:rPr>
      </w:pPr>
      <w:r w:rsidRPr="00213ED0">
        <w:rPr>
          <w:rFonts w:ascii="Times New Roman" w:eastAsia="Times New Roman" w:hAnsi="Times New Roman" w:cs="Times New Roman"/>
          <w:color w:val="000000"/>
        </w:rPr>
        <w:t>This study is limited by its sample size, which results in a relatively wide confidence interval for the protein variable. Although the data were collected in 2019, these findings remain crucial as baseline data for evaluating the effectiveness of the national stunting reduction acceleration program toward the 2026 target. These results imply the importance of strengthening nutrition education regarding animal protein and monitoring iodine consumption, in addition to tobacco control efforts at the rural household level.</w:t>
      </w:r>
    </w:p>
    <w:p w14:paraId="38519C2F" w14:textId="77777777" w:rsidR="00213ED0" w:rsidRPr="00213ED0" w:rsidRDefault="00213ED0" w:rsidP="00213ED0">
      <w:pPr>
        <w:spacing w:after="0" w:line="360" w:lineRule="auto"/>
        <w:ind w:firstLine="720"/>
        <w:jc w:val="both"/>
        <w:rPr>
          <w:rFonts w:ascii="Times New Roman" w:eastAsia="Times New Roman" w:hAnsi="Times New Roman" w:cs="Times New Roman"/>
          <w:color w:val="000000"/>
        </w:rPr>
      </w:pPr>
    </w:p>
    <w:p w14:paraId="7DE97BED" w14:textId="77777777" w:rsidR="00EB66BC" w:rsidRPr="00EB66BC" w:rsidRDefault="00EB66BC" w:rsidP="00893450">
      <w:pPr>
        <w:spacing w:after="0" w:line="360" w:lineRule="auto"/>
        <w:rPr>
          <w:rFonts w:ascii="Calibri" w:eastAsia="Times New Roman" w:hAnsi="Calibri" w:cs="Calibri"/>
          <w:color w:val="000000"/>
        </w:rPr>
      </w:pPr>
      <w:r w:rsidRPr="00EB66BC">
        <w:rPr>
          <w:rFonts w:ascii="Times New Roman" w:eastAsia="Times New Roman" w:hAnsi="Times New Roman" w:cs="Times New Roman"/>
          <w:b/>
          <w:bCs/>
          <w:color w:val="000000"/>
        </w:rPr>
        <w:t>CONCLUSION</w:t>
      </w:r>
    </w:p>
    <w:p w14:paraId="30542404" w14:textId="09405166" w:rsidR="00893450" w:rsidRDefault="00213ED0" w:rsidP="00893450">
      <w:pPr>
        <w:spacing w:after="0" w:line="360" w:lineRule="auto"/>
        <w:ind w:firstLine="720"/>
        <w:jc w:val="both"/>
        <w:rPr>
          <w:rFonts w:ascii="Times New Roman" w:eastAsia="Times New Roman" w:hAnsi="Times New Roman" w:cs="Times New Roman"/>
          <w:color w:val="000000"/>
        </w:rPr>
      </w:pPr>
      <w:r w:rsidRPr="00213ED0">
        <w:rPr>
          <w:rFonts w:ascii="Times New Roman" w:eastAsia="Times New Roman" w:hAnsi="Times New Roman" w:cs="Times New Roman"/>
          <w:color w:val="000000"/>
        </w:rPr>
        <w:t xml:space="preserve">This study concluded that protein and iodine adequacy were the dominant risk factors for stunting in toddlers aged 24–48 months in the agricultural area of ​​Bulu District, </w:t>
      </w:r>
      <w:proofErr w:type="spellStart"/>
      <w:r w:rsidRPr="00213ED0">
        <w:rPr>
          <w:rFonts w:ascii="Times New Roman" w:eastAsia="Times New Roman" w:hAnsi="Times New Roman" w:cs="Times New Roman"/>
          <w:color w:val="000000"/>
        </w:rPr>
        <w:t>Temanggung</w:t>
      </w:r>
      <w:proofErr w:type="spellEnd"/>
      <w:r w:rsidRPr="00213ED0">
        <w:rPr>
          <w:rFonts w:ascii="Times New Roman" w:eastAsia="Times New Roman" w:hAnsi="Times New Roman" w:cs="Times New Roman"/>
          <w:color w:val="000000"/>
        </w:rPr>
        <w:t xml:space="preserve"> Regency. Toddlers with insufficient protein intake had a 36.36-fold greater risk of stunting, while insufficient iodine intake increased the risk by 23.76-fold. Interestingly, cigarette smoke exposure and urinary cotinine levels did not show a statistically significant relationship in this study, which is thought to be due to the high homogeneity of cigarette smoke exposure in the tobacco farming family environment. These results imply that specific nutritional interventions through the provision of animal protein and education on iodized salt consumption are urgent priorities to reduce stunting rates in the region.</w:t>
      </w:r>
    </w:p>
    <w:p w14:paraId="49A73C16" w14:textId="77777777" w:rsidR="00213ED0" w:rsidRDefault="00213ED0" w:rsidP="00893450">
      <w:pPr>
        <w:spacing w:after="0" w:line="360" w:lineRule="auto"/>
        <w:ind w:firstLine="720"/>
        <w:jc w:val="both"/>
        <w:rPr>
          <w:rFonts w:ascii="Calibri" w:eastAsia="Times New Roman" w:hAnsi="Calibri" w:cs="Calibri"/>
          <w:color w:val="000000"/>
        </w:rPr>
      </w:pPr>
    </w:p>
    <w:p w14:paraId="436F4D5A" w14:textId="77777777" w:rsidR="00D86844" w:rsidRPr="00EB66BC" w:rsidRDefault="00D86844" w:rsidP="00893450">
      <w:pPr>
        <w:spacing w:after="0" w:line="360" w:lineRule="auto"/>
        <w:ind w:firstLine="720"/>
        <w:jc w:val="both"/>
        <w:rPr>
          <w:rFonts w:ascii="Calibri" w:eastAsia="Times New Roman" w:hAnsi="Calibri" w:cs="Calibri"/>
          <w:color w:val="000000"/>
        </w:rPr>
      </w:pPr>
    </w:p>
    <w:p w14:paraId="26F66A4C" w14:textId="77777777" w:rsidR="00A80BE2" w:rsidRDefault="00EB66BC" w:rsidP="00893450">
      <w:pPr>
        <w:spacing w:after="0" w:line="360" w:lineRule="auto"/>
        <w:jc w:val="both"/>
        <w:rPr>
          <w:rFonts w:ascii="Times New Roman" w:hAnsi="Times New Roman" w:cs="Times New Roman"/>
          <w:b/>
          <w:bCs/>
        </w:rPr>
      </w:pPr>
      <w:r w:rsidRPr="00EB66BC">
        <w:rPr>
          <w:rFonts w:ascii="Times New Roman" w:eastAsia="Times New Roman" w:hAnsi="Times New Roman" w:cs="Times New Roman"/>
          <w:color w:val="000000"/>
        </w:rPr>
        <w:lastRenderedPageBreak/>
        <w:t> </w:t>
      </w:r>
      <w:r w:rsidR="00A80BE2" w:rsidRPr="00A80BE2">
        <w:rPr>
          <w:rFonts w:ascii="Times New Roman" w:hAnsi="Times New Roman" w:cs="Times New Roman"/>
          <w:b/>
          <w:bCs/>
        </w:rPr>
        <w:t xml:space="preserve">ACKNOWLEDGMENT </w:t>
      </w:r>
    </w:p>
    <w:p w14:paraId="5658B778" w14:textId="77777777" w:rsidR="00EB66BC" w:rsidRPr="00EB66BC" w:rsidRDefault="00EB66BC" w:rsidP="00893450">
      <w:pPr>
        <w:spacing w:after="0" w:line="360" w:lineRule="auto"/>
        <w:ind w:firstLine="720"/>
        <w:jc w:val="both"/>
        <w:rPr>
          <w:rFonts w:ascii="Calibri" w:eastAsia="Times New Roman" w:hAnsi="Calibri" w:cs="Calibri"/>
          <w:color w:val="000000"/>
        </w:rPr>
      </w:pPr>
      <w:r w:rsidRPr="00EB66BC">
        <w:rPr>
          <w:rFonts w:ascii="Times New Roman" w:eastAsia="Times New Roman" w:hAnsi="Times New Roman" w:cs="Times New Roman"/>
          <w:color w:val="000000"/>
        </w:rPr>
        <w:t xml:space="preserve">The researcher would like to thank </w:t>
      </w:r>
      <w:proofErr w:type="spellStart"/>
      <w:r w:rsidRPr="00EB66BC">
        <w:rPr>
          <w:rFonts w:ascii="Times New Roman" w:eastAsia="Times New Roman" w:hAnsi="Times New Roman" w:cs="Times New Roman"/>
          <w:color w:val="000000"/>
        </w:rPr>
        <w:t>Temanggung</w:t>
      </w:r>
      <w:proofErr w:type="spellEnd"/>
      <w:r w:rsidRPr="00EB66BC">
        <w:rPr>
          <w:rFonts w:ascii="Times New Roman" w:eastAsia="Times New Roman" w:hAnsi="Times New Roman" w:cs="Times New Roman"/>
          <w:color w:val="000000"/>
        </w:rPr>
        <w:t xml:space="preserve"> District Health Office and Bulu </w:t>
      </w:r>
      <w:r w:rsidR="007A5886">
        <w:rPr>
          <w:rFonts w:ascii="Times New Roman" w:eastAsia="Times New Roman" w:hAnsi="Times New Roman" w:cs="Times New Roman"/>
          <w:color w:val="000000"/>
          <w:lang w:val="id-ID"/>
        </w:rPr>
        <w:t xml:space="preserve">Community </w:t>
      </w:r>
      <w:r w:rsidRPr="00EB66BC">
        <w:rPr>
          <w:rFonts w:ascii="Times New Roman" w:eastAsia="Times New Roman" w:hAnsi="Times New Roman" w:cs="Times New Roman"/>
          <w:color w:val="000000"/>
        </w:rPr>
        <w:t xml:space="preserve">Health Center for collaborating and providing facilities to carry out this research, </w:t>
      </w:r>
      <w:r w:rsidR="007A5886">
        <w:rPr>
          <w:rFonts w:ascii="Times New Roman" w:eastAsia="Times New Roman" w:hAnsi="Times New Roman" w:cs="Times New Roman"/>
          <w:color w:val="000000"/>
          <w:lang w:val="id-ID"/>
        </w:rPr>
        <w:t xml:space="preserve">also thanks </w:t>
      </w:r>
      <w:r w:rsidRPr="00EB66BC">
        <w:rPr>
          <w:rFonts w:ascii="Times New Roman" w:eastAsia="Times New Roman" w:hAnsi="Times New Roman" w:cs="Times New Roman"/>
          <w:color w:val="000000"/>
        </w:rPr>
        <w:t xml:space="preserve">to the cadres and respondents in Bulu District </w:t>
      </w:r>
      <w:r w:rsidR="007A5886">
        <w:rPr>
          <w:rFonts w:ascii="Times New Roman" w:eastAsia="Times New Roman" w:hAnsi="Times New Roman" w:cs="Times New Roman"/>
          <w:color w:val="000000"/>
          <w:lang w:val="id-ID"/>
        </w:rPr>
        <w:t xml:space="preserve">for having been </w:t>
      </w:r>
      <w:r w:rsidRPr="00EB66BC">
        <w:rPr>
          <w:rFonts w:ascii="Times New Roman" w:eastAsia="Times New Roman" w:hAnsi="Times New Roman" w:cs="Times New Roman"/>
          <w:color w:val="000000"/>
        </w:rPr>
        <w:t>willing to help and participate in this research. </w:t>
      </w:r>
    </w:p>
    <w:p w14:paraId="24834E39" w14:textId="77777777" w:rsidR="00EB66BC" w:rsidRPr="00EB66BC" w:rsidRDefault="00EB66BC" w:rsidP="00893450">
      <w:pPr>
        <w:spacing w:after="0" w:line="360" w:lineRule="auto"/>
        <w:jc w:val="both"/>
        <w:rPr>
          <w:rFonts w:ascii="Calibri" w:eastAsia="Times New Roman" w:hAnsi="Calibri" w:cs="Calibri"/>
          <w:color w:val="000000"/>
          <w:sz w:val="24"/>
          <w:szCs w:val="24"/>
        </w:rPr>
      </w:pPr>
      <w:r w:rsidRPr="00EB66BC">
        <w:rPr>
          <w:rFonts w:ascii="Times New Roman" w:eastAsia="Times New Roman" w:hAnsi="Times New Roman" w:cs="Times New Roman"/>
          <w:color w:val="000000"/>
          <w:sz w:val="24"/>
          <w:szCs w:val="24"/>
        </w:rPr>
        <w:t> </w:t>
      </w:r>
    </w:p>
    <w:p w14:paraId="5C5CB7C6" w14:textId="77777777" w:rsidR="003D7127" w:rsidRDefault="003D7127" w:rsidP="003D7127">
      <w:pPr>
        <w:pStyle w:val="BodyTextIndent"/>
        <w:spacing w:after="0"/>
        <w:ind w:firstLine="0"/>
        <w:rPr>
          <w:b/>
          <w:color w:val="000000" w:themeColor="text1"/>
          <w:sz w:val="22"/>
          <w:szCs w:val="22"/>
        </w:rPr>
      </w:pPr>
      <w:r w:rsidRPr="003A7477">
        <w:rPr>
          <w:b/>
          <w:color w:val="000000" w:themeColor="text1"/>
          <w:sz w:val="22"/>
          <w:szCs w:val="22"/>
        </w:rPr>
        <w:t>REFERENCES</w:t>
      </w:r>
    </w:p>
    <w:p w14:paraId="79145FFD" w14:textId="58385E14" w:rsidR="00D86844" w:rsidRPr="00D86844" w:rsidRDefault="000840D0"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Pr>
          <w:rFonts w:ascii="Times New Roman" w:eastAsia="Times New Roman" w:hAnsi="Times New Roman" w:cs="Times New Roman"/>
          <w:color w:val="000000"/>
        </w:rPr>
        <w:fldChar w:fldCharType="begin" w:fldLock="1"/>
      </w:r>
      <w:r>
        <w:rPr>
          <w:rFonts w:ascii="Times New Roman" w:eastAsia="Times New Roman" w:hAnsi="Times New Roman" w:cs="Times New Roman"/>
          <w:color w:val="000000"/>
        </w:rPr>
        <w:instrText xml:space="preserve">ADDIN Mendeley Bibliography CSL_BIBLIOGRAPHY </w:instrText>
      </w:r>
      <w:r>
        <w:rPr>
          <w:rFonts w:ascii="Times New Roman" w:eastAsia="Times New Roman" w:hAnsi="Times New Roman" w:cs="Times New Roman"/>
          <w:color w:val="000000"/>
        </w:rPr>
        <w:fldChar w:fldCharType="separate"/>
      </w:r>
      <w:r w:rsidR="00D86844" w:rsidRPr="00D86844">
        <w:rPr>
          <w:rFonts w:ascii="Times New Roman" w:hAnsi="Times New Roman" w:cs="Times New Roman"/>
          <w:noProof/>
        </w:rPr>
        <w:t xml:space="preserve">1. </w:t>
      </w:r>
      <w:r w:rsidR="00D86844" w:rsidRPr="00D86844">
        <w:rPr>
          <w:rFonts w:ascii="Times New Roman" w:hAnsi="Times New Roman" w:cs="Times New Roman"/>
          <w:noProof/>
        </w:rPr>
        <w:tab/>
        <w:t xml:space="preserve">Raghavendra P, T UR, Cp AJ, Cs SG, M MK, M RS. Nutritional Status of Female Children in Comparison to Their Male Siblings in India – A Secondary Analysis of National Family Health Survey ( NFHS-5 ) Data. 2023;14(08):470–6. </w:t>
      </w:r>
    </w:p>
    <w:p w14:paraId="1DB35DAE"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2. </w:t>
      </w:r>
      <w:r w:rsidRPr="00D86844">
        <w:rPr>
          <w:rFonts w:ascii="Times New Roman" w:hAnsi="Times New Roman" w:cs="Times New Roman"/>
          <w:noProof/>
        </w:rPr>
        <w:tab/>
        <w:t>Khasanah U, Suhaeni E, Fariz A, Zamzam M, Shafira W. The Effect of Secondhand smoke exposure on Stunting Incidence in Cirebon , Indonesia [Internet]. Atlantis Press International BV; Available from: http://dx.doi.org/10.2991/978-94-6463-421-1_16</w:t>
      </w:r>
    </w:p>
    <w:p w14:paraId="051D9DED"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3. </w:t>
      </w:r>
      <w:r w:rsidRPr="00D86844">
        <w:rPr>
          <w:rFonts w:ascii="Times New Roman" w:hAnsi="Times New Roman" w:cs="Times New Roman"/>
          <w:noProof/>
        </w:rPr>
        <w:tab/>
        <w:t>Astuti DD, Handayani TW, Astuti DP. Cigarette smoke exposure and increased risks of stunting among under-five children. Clin Epidemiol Glob Heal [Internet]. 2020;8(3):943–8. Available from: https://www.sciencedirect.com/science/article/pii/S2213398420300671</w:t>
      </w:r>
    </w:p>
    <w:p w14:paraId="5C404C09"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4. </w:t>
      </w:r>
      <w:r w:rsidRPr="00D86844">
        <w:rPr>
          <w:rFonts w:ascii="Times New Roman" w:hAnsi="Times New Roman" w:cs="Times New Roman"/>
          <w:noProof/>
        </w:rPr>
        <w:tab/>
        <w:t xml:space="preserve">Stan- WHOCG, Targets GN. Tobacco and stunting ▪. 2025;(June). </w:t>
      </w:r>
    </w:p>
    <w:p w14:paraId="29B1E54A"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5. </w:t>
      </w:r>
      <w:r w:rsidRPr="00D86844">
        <w:rPr>
          <w:rFonts w:ascii="Times New Roman" w:hAnsi="Times New Roman" w:cs="Times New Roman"/>
          <w:noProof/>
        </w:rPr>
        <w:tab/>
        <w:t xml:space="preserve">Rahmiwati A. Passive Smoking and Its Correlation with Stunting in Children : A Systematic Review Passive Smoking and Its Correlation with Stunting in Children : A Systematic Review. 2024;19(5):97–104. </w:t>
      </w:r>
    </w:p>
    <w:p w14:paraId="28B61091"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6. </w:t>
      </w:r>
      <w:r w:rsidRPr="00D86844">
        <w:rPr>
          <w:rFonts w:ascii="Times New Roman" w:hAnsi="Times New Roman" w:cs="Times New Roman"/>
          <w:noProof/>
        </w:rPr>
        <w:tab/>
        <w:t xml:space="preserve">Muchlis N, Yusuf RA, Rusydi AR, Mahmud NU, Hikmah N, Qanitha A, et al. Cigarette Smoke Exposure and Stunting Among Under-five Children in Rural and Poor  Families in Indonesia. Environ Health Insights. 2023;17:11786302231185210. </w:t>
      </w:r>
    </w:p>
    <w:p w14:paraId="6BA6457E"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7. </w:t>
      </w:r>
      <w:r w:rsidRPr="00D86844">
        <w:rPr>
          <w:rFonts w:ascii="Times New Roman" w:hAnsi="Times New Roman" w:cs="Times New Roman"/>
          <w:noProof/>
        </w:rPr>
        <w:tab/>
        <w:t xml:space="preserve">Suryani D. Asupan zat gizi makro dan mikro pada anak sekolah dasar yang stunting di Kota Bengkulu Macro and micro nutrient intake of stunting elementary school children in Bengkulu city Abstrak Pendahuluan Metode. 2021;6(1):93–9. </w:t>
      </w:r>
    </w:p>
    <w:p w14:paraId="64C4E32A"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8. </w:t>
      </w:r>
      <w:r w:rsidRPr="00D86844">
        <w:rPr>
          <w:rFonts w:ascii="Times New Roman" w:hAnsi="Times New Roman" w:cs="Times New Roman"/>
          <w:noProof/>
        </w:rPr>
        <w:tab/>
        <w:t>Semba RD, Trehan I, Gonzalez-Freire M, Kraemer K, Moaddel R, Ordiz MI, et al. Perspective: The Potential Role of Essential Amino Acids and the Mechanistic Target of Rapamycin Complex 1 (mTORC1) Pathway in the Pathogenesis of Child Stunting. Adv Nutr [Internet]. 2016;7(5):853–65. Available from: https://www.sciencedirect.com/science/article/pii/S2161831322007736</w:t>
      </w:r>
    </w:p>
    <w:p w14:paraId="704BADC7"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9. </w:t>
      </w:r>
      <w:r w:rsidRPr="00D86844">
        <w:rPr>
          <w:rFonts w:ascii="Times New Roman" w:hAnsi="Times New Roman" w:cs="Times New Roman"/>
          <w:noProof/>
        </w:rPr>
        <w:tab/>
        <w:t xml:space="preserve">Yuniastuti A. Nutrisi Mikronutrien dan Kesehatan. Semarang: Unnes Press; 2014. </w:t>
      </w:r>
    </w:p>
    <w:p w14:paraId="22569E3C"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10. </w:t>
      </w:r>
      <w:r w:rsidRPr="00D86844">
        <w:rPr>
          <w:rFonts w:ascii="Times New Roman" w:hAnsi="Times New Roman" w:cs="Times New Roman"/>
          <w:noProof/>
        </w:rPr>
        <w:tab/>
        <w:t xml:space="preserve">Kementerian Kesehatan RI. Survei Status Gizi Indonesia (SSGI) 2023. Badan Kebijakan Pembangunan Kesehatan. Jakarta; 2023. </w:t>
      </w:r>
    </w:p>
    <w:p w14:paraId="70012FD9"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11. </w:t>
      </w:r>
      <w:r w:rsidRPr="00D86844">
        <w:rPr>
          <w:rFonts w:ascii="Times New Roman" w:hAnsi="Times New Roman" w:cs="Times New Roman"/>
          <w:noProof/>
        </w:rPr>
        <w:tab/>
        <w:t xml:space="preserve">Nisrina MY, Sinaga ES. Received : April , 14 , 2025 Available online : August , 30 , 2025 at : https://e-jurnal.iphorr.com/index.php/minh Urban-rural disparities and determinants of stunting among children under five in Indonesia. 2025;8(6):733–44. </w:t>
      </w:r>
    </w:p>
    <w:p w14:paraId="78957FAE"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12. </w:t>
      </w:r>
      <w:r w:rsidRPr="00D86844">
        <w:rPr>
          <w:rFonts w:ascii="Times New Roman" w:hAnsi="Times New Roman" w:cs="Times New Roman"/>
          <w:noProof/>
        </w:rPr>
        <w:tab/>
        <w:t xml:space="preserve">Arief YS, Yunita FC, Efendi F, Murti FAK, Pradipta RO, McKenna L. Social and Environmental </w:t>
      </w:r>
      <w:r w:rsidRPr="00D86844">
        <w:rPr>
          <w:rFonts w:ascii="Times New Roman" w:hAnsi="Times New Roman" w:cs="Times New Roman"/>
          <w:noProof/>
        </w:rPr>
        <w:lastRenderedPageBreak/>
        <w:t xml:space="preserve">Determinants of Childhood Stunting in Indonesia:  National Cross-Sectional Study. JMIR Pediatr Parent. 2025 Oct;8:e68918. </w:t>
      </w:r>
    </w:p>
    <w:p w14:paraId="1A502D20"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13. </w:t>
      </w:r>
      <w:r w:rsidRPr="00D86844">
        <w:rPr>
          <w:rFonts w:ascii="Times New Roman" w:hAnsi="Times New Roman" w:cs="Times New Roman"/>
          <w:noProof/>
        </w:rPr>
        <w:tab/>
        <w:t xml:space="preserve">Simbolon D, Hapsari T. Iodine Consumption and Linear Growth of Children Under Five Years Old in Malabero Coastal Area, Bengkulu City. J Kesehat Masy. 2018;14(1):140–6. </w:t>
      </w:r>
    </w:p>
    <w:p w14:paraId="10DFE24B"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14. </w:t>
      </w:r>
      <w:r w:rsidRPr="00D86844">
        <w:rPr>
          <w:rFonts w:ascii="Times New Roman" w:hAnsi="Times New Roman" w:cs="Times New Roman"/>
          <w:noProof/>
        </w:rPr>
        <w:tab/>
        <w:t xml:space="preserve">Tembakau P, Jember K, Rokhmah D, Moelyaningrum AD, Ma I, Rohmawati N. Sociodemographic Factors Associated with Stunting Cases Among Tobacco Plantation Society in Jember District , Indonesia Faktor Demografi dan Sosial Terkait Kasus Stunting di Masyarakat. 2022;6(1). </w:t>
      </w:r>
    </w:p>
    <w:p w14:paraId="77F91D87"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15. </w:t>
      </w:r>
      <w:r w:rsidRPr="00D86844">
        <w:rPr>
          <w:rFonts w:ascii="Times New Roman" w:hAnsi="Times New Roman" w:cs="Times New Roman"/>
          <w:noProof/>
        </w:rPr>
        <w:tab/>
        <w:t>Fernandes SA, Angelidaki DD, Nüchel J, Pan J, Gollwitzer P, Elkis Y, et al. Spatial and functional separation of mTORC1 signalling in response to different amino acid sources. Nat Cell Biol [Internet]. 2024;26(11):1918–33. Available from: https://doi.org/10.1038/s41556-024-01523-7</w:t>
      </w:r>
    </w:p>
    <w:p w14:paraId="2AEEAC6B"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16. </w:t>
      </w:r>
      <w:r w:rsidRPr="00D86844">
        <w:rPr>
          <w:rFonts w:ascii="Times New Roman" w:hAnsi="Times New Roman" w:cs="Times New Roman"/>
          <w:noProof/>
        </w:rPr>
        <w:tab/>
        <w:t xml:space="preserve">Zhang S, Lin X, Hou Q, Hu Z, Wang Y, Wang Z. Regulation of mTORC1 by amino acids in mammalian cells: A general picture of  recent advances. Anim Nutr (Zhongguo xu mu shou yi xue hui). 2021 Dec;7(4):1009–23. </w:t>
      </w:r>
    </w:p>
    <w:p w14:paraId="21595FC3"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17. </w:t>
      </w:r>
      <w:r w:rsidRPr="00D86844">
        <w:rPr>
          <w:rFonts w:ascii="Times New Roman" w:hAnsi="Times New Roman" w:cs="Times New Roman"/>
          <w:noProof/>
        </w:rPr>
        <w:tab/>
        <w:t xml:space="preserve">Scholar G, Books G. PERAN MINERAL YODIUM TERHADAP STUNTING The role of iodine in stunting Fifin Dian Safitri, Siti Haryati *. 2024;1(2):89–97. </w:t>
      </w:r>
    </w:p>
    <w:p w14:paraId="7CBB7BFA"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18. </w:t>
      </w:r>
      <w:r w:rsidRPr="00D86844">
        <w:rPr>
          <w:rFonts w:ascii="Times New Roman" w:hAnsi="Times New Roman" w:cs="Times New Roman"/>
          <w:noProof/>
        </w:rPr>
        <w:tab/>
        <w:t>Nurcahyani YD, Latifah L, Yunitawati D, Kumorowulan S. Morbidity, nutritional care and utilization of posyandu with stunting in iodine deficiency disorders replete area. AIP Conf Proc [Internet]. 2023 May 16;2683(1):40023. Available from: https://doi.org/10.1063/5.0125253</w:t>
      </w:r>
    </w:p>
    <w:p w14:paraId="3F90123E"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19. </w:t>
      </w:r>
      <w:r w:rsidRPr="00D86844">
        <w:rPr>
          <w:rFonts w:ascii="Times New Roman" w:hAnsi="Times New Roman" w:cs="Times New Roman"/>
          <w:noProof/>
        </w:rPr>
        <w:tab/>
        <w:t xml:space="preserve">Ernawati F, Syauqy A, Arifin AY, Soekatri MYE, Sandjaja S. Micronutrient Deficiencies and Stunting Were Associated with Socioeconomic Status  in Indonesian Children Aged 6-59 Months. Nutrients. 2021 May;13(6). </w:t>
      </w:r>
    </w:p>
    <w:p w14:paraId="1518A812" w14:textId="77777777" w:rsidR="00D86844" w:rsidRPr="00D86844" w:rsidRDefault="00D86844" w:rsidP="00D86844">
      <w:pPr>
        <w:widowControl w:val="0"/>
        <w:autoSpaceDE w:val="0"/>
        <w:autoSpaceDN w:val="0"/>
        <w:adjustRightInd w:val="0"/>
        <w:spacing w:after="0" w:line="360" w:lineRule="auto"/>
        <w:ind w:left="640" w:hanging="640"/>
        <w:jc w:val="both"/>
        <w:rPr>
          <w:rFonts w:ascii="Times New Roman" w:hAnsi="Times New Roman" w:cs="Times New Roman"/>
          <w:noProof/>
        </w:rPr>
      </w:pPr>
      <w:r w:rsidRPr="00D86844">
        <w:rPr>
          <w:rFonts w:ascii="Times New Roman" w:hAnsi="Times New Roman" w:cs="Times New Roman"/>
          <w:noProof/>
        </w:rPr>
        <w:t xml:space="preserve">20. </w:t>
      </w:r>
      <w:r w:rsidRPr="00D86844">
        <w:rPr>
          <w:rFonts w:ascii="Times New Roman" w:hAnsi="Times New Roman" w:cs="Times New Roman"/>
          <w:noProof/>
        </w:rPr>
        <w:tab/>
        <w:t xml:space="preserve">Akseer N, Tasic H, Nnachebe Onah M, Wigle J, Rajakumar R, Sanchez-Hernandez D, et al. Economic costs of childhood stunting to the private sector in low- and  middle-income countries. EClinicalMedicine. 2022 Mar;45:101320. </w:t>
      </w:r>
    </w:p>
    <w:p w14:paraId="08A2310B" w14:textId="42715EAE" w:rsidR="00A80BE2" w:rsidRPr="006E5E16" w:rsidRDefault="000840D0" w:rsidP="00D86844">
      <w:pPr>
        <w:spacing w:after="0" w:line="360" w:lineRule="auto"/>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p w14:paraId="51401C95" w14:textId="77777777" w:rsidR="00EB66BC" w:rsidRPr="00EB66BC" w:rsidRDefault="00EB66BC" w:rsidP="00B2217B">
      <w:pPr>
        <w:spacing w:after="0" w:line="360" w:lineRule="atLeast"/>
        <w:ind w:left="640" w:hanging="640"/>
        <w:rPr>
          <w:rFonts w:ascii="Calibri" w:eastAsia="Times New Roman" w:hAnsi="Calibri" w:cs="Calibri"/>
          <w:color w:val="000000"/>
          <w:sz w:val="24"/>
          <w:szCs w:val="24"/>
        </w:rPr>
      </w:pPr>
      <w:r w:rsidRPr="00EB66BC">
        <w:rPr>
          <w:rFonts w:ascii="Times New Roman" w:eastAsia="Times New Roman" w:hAnsi="Times New Roman" w:cs="Times New Roman"/>
          <w:color w:val="000000"/>
          <w:sz w:val="24"/>
          <w:szCs w:val="24"/>
        </w:rPr>
        <w:t> </w:t>
      </w:r>
    </w:p>
    <w:p w14:paraId="239552B4" w14:textId="77777777" w:rsidR="00E21A9D" w:rsidRDefault="00E21A9D"/>
    <w:sectPr w:rsidR="00E21A9D" w:rsidSect="00EB66BC">
      <w:pgSz w:w="11907" w:h="16839" w:code="9"/>
      <w:pgMar w:top="1418" w:right="1134"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6BC"/>
    <w:rsid w:val="000610DC"/>
    <w:rsid w:val="000840D0"/>
    <w:rsid w:val="00134A73"/>
    <w:rsid w:val="001D4CE3"/>
    <w:rsid w:val="001E7C5C"/>
    <w:rsid w:val="00213ED0"/>
    <w:rsid w:val="002235E5"/>
    <w:rsid w:val="002536AD"/>
    <w:rsid w:val="002F6CA1"/>
    <w:rsid w:val="003346B6"/>
    <w:rsid w:val="0035088E"/>
    <w:rsid w:val="003D6467"/>
    <w:rsid w:val="003D7127"/>
    <w:rsid w:val="003E2937"/>
    <w:rsid w:val="00460FC2"/>
    <w:rsid w:val="00482403"/>
    <w:rsid w:val="005D6709"/>
    <w:rsid w:val="006443CF"/>
    <w:rsid w:val="006E5E16"/>
    <w:rsid w:val="00771A40"/>
    <w:rsid w:val="0077369A"/>
    <w:rsid w:val="007A5886"/>
    <w:rsid w:val="007B0320"/>
    <w:rsid w:val="00893450"/>
    <w:rsid w:val="008E4795"/>
    <w:rsid w:val="00907D72"/>
    <w:rsid w:val="00977168"/>
    <w:rsid w:val="00994E71"/>
    <w:rsid w:val="009E3064"/>
    <w:rsid w:val="00A7169A"/>
    <w:rsid w:val="00A80BE2"/>
    <w:rsid w:val="00B2217B"/>
    <w:rsid w:val="00B9508D"/>
    <w:rsid w:val="00B956A1"/>
    <w:rsid w:val="00C13035"/>
    <w:rsid w:val="00C27039"/>
    <w:rsid w:val="00CC10C4"/>
    <w:rsid w:val="00D4302E"/>
    <w:rsid w:val="00D81884"/>
    <w:rsid w:val="00D84C5E"/>
    <w:rsid w:val="00D86844"/>
    <w:rsid w:val="00DC3CA9"/>
    <w:rsid w:val="00E21A9D"/>
    <w:rsid w:val="00EB66BC"/>
    <w:rsid w:val="00EF3070"/>
    <w:rsid w:val="00F94F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EF60"/>
  <w15:chartTrackingRefBased/>
  <w15:docId w15:val="{B97B12AE-17F4-460D-92CB-17C506EE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E5E16"/>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iPriority w:val="99"/>
    <w:unhideWhenUsed/>
    <w:rsid w:val="003D7127"/>
    <w:pPr>
      <w:spacing w:line="360" w:lineRule="auto"/>
      <w:ind w:firstLine="720"/>
      <w:jc w:val="both"/>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uiPriority w:val="99"/>
    <w:rsid w:val="003D7127"/>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40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DDE62-0C2F-4D82-9E0C-982A5468E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8</Pages>
  <Words>10639</Words>
  <Characters>60648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tysa</dc:creator>
  <cp:keywords/>
  <dc:description/>
  <cp:lastModifiedBy>tysaruningsari06@gmail.com</cp:lastModifiedBy>
  <cp:revision>22</cp:revision>
  <dcterms:created xsi:type="dcterms:W3CDTF">2021-12-12T06:26:00Z</dcterms:created>
  <dcterms:modified xsi:type="dcterms:W3CDTF">2026-02-09T13:39:00Z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c5e025ab-53a1-3bae-9878-90c3c2b07bbf</vt:lpwstr>
  </property>
  <property fmtid="{D5CDD505-2E9C-101B-9397-08002B2CF9AE}" pid="4" name="Mendeley Citation Style_1">
    <vt:lpwstr>http://www.zotero.org/styles/nlm-citation-sequence-superscript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http://www.zotero.org/styles/nlm-citation-sequence-superscript</vt:lpwstr>
  </property>
  <property fmtid="{D5CDD505-2E9C-101B-9397-08002B2CF9AE}" pid="22" name="Mendeley Recent Style Name 8_1">
    <vt:lpwstr>NLM Style Guide (Vancouver): Citing Medicine 2nd edition (citation-sequence, superscript)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