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D630" w14:textId="77777777" w:rsidR="00BC5F7F" w:rsidRPr="00F8195A" w:rsidRDefault="00000000">
      <w:pPr>
        <w:jc w:val="center"/>
      </w:pPr>
      <w:r w:rsidRPr="00F8195A">
        <w:rPr>
          <w:b/>
        </w:rPr>
        <w:t>Molecular Confirmation and Phylogenetic Analysis of Human BGN and G6PD Gene Fragments Using Sanger Sequencing</w:t>
      </w:r>
    </w:p>
    <w:p w14:paraId="088CFC75" w14:textId="77777777" w:rsidR="00BC5F7F" w:rsidRPr="00F8195A" w:rsidRDefault="00000000">
      <w:pPr>
        <w:jc w:val="center"/>
      </w:pPr>
      <w:r w:rsidRPr="00F8195A">
        <w:t>Running title: Sanger confirmation of BGN and G6PD</w:t>
      </w:r>
    </w:p>
    <w:p w14:paraId="23BDC24A" w14:textId="77777777" w:rsidR="00BC5F7F" w:rsidRPr="00F8195A" w:rsidRDefault="00000000">
      <w:pPr>
        <w:jc w:val="center"/>
      </w:pPr>
      <w:r w:rsidRPr="00F8195A">
        <w:t>Article type: Original Article</w:t>
      </w:r>
    </w:p>
    <w:p w14:paraId="60D87042" w14:textId="407376DB" w:rsidR="00BC5F7F" w:rsidRPr="00F8195A" w:rsidRDefault="00000000" w:rsidP="00F8195A">
      <w:pPr>
        <w:jc w:val="both"/>
        <w:rPr>
          <w:b/>
          <w:bCs/>
        </w:rPr>
      </w:pPr>
      <w:r w:rsidRPr="00F8195A">
        <w:rPr>
          <w:b/>
          <w:bCs/>
        </w:rPr>
        <w:t>Abstract</w:t>
      </w:r>
    </w:p>
    <w:p w14:paraId="6A576C17" w14:textId="26B07590" w:rsidR="00BC5F7F" w:rsidRPr="00F8195A" w:rsidRDefault="00000000" w:rsidP="00F8195A">
      <w:pPr>
        <w:jc w:val="both"/>
      </w:pPr>
      <w:r w:rsidRPr="00F8195A">
        <w:rPr>
          <w:b/>
        </w:rPr>
        <w:t xml:space="preserve">Objective(s): </w:t>
      </w:r>
      <w:r w:rsidRPr="00F8195A">
        <w:t xml:space="preserve">Targeted confirmation of amplified human gene fragments remains important for molecular diagnostics, laboratory validation, and population-based biomedical research. This study aimed to confirm the identity and phylogenetic placement of amplified human BGN and G6PD gene fragments obtained from blood-derived genomic DNA using Sanger sequencing and bioinformatics analysis. </w:t>
      </w:r>
      <w:r w:rsidRPr="00F8195A">
        <w:rPr>
          <w:b/>
        </w:rPr>
        <w:t xml:space="preserve">Materials and Methods: </w:t>
      </w:r>
      <w:r w:rsidRPr="00F8195A">
        <w:t xml:space="preserve">Thirteen human blood samples were subjected to genomic DNA extraction, PCR amplification of an approximately 700-bp target region, agarose gel electrophoresis, bidirectional Sanger sequencing, and consensus sequence assembly. The resulting sequences were evaluated using BLASTn, multiple sequence alignment, and Neighbor-Joining phylogenetic reconstruction with bootstrap analysis. </w:t>
      </w:r>
      <w:r w:rsidRPr="00F8195A">
        <w:rPr>
          <w:b/>
        </w:rPr>
        <w:t xml:space="preserve">Results: </w:t>
      </w:r>
      <w:r w:rsidRPr="00F8195A">
        <w:t xml:space="preserve">All samples yielded a single PCR product of the expected size and successfully generated bidirectional sequencing reads. Consensus sequences showed high similarity to Homo sapiens BGN and G6PD reference sequences, with BLASTn identity values ranging from 99.64% to 100%, query coverage of 99-100%, and E-values of 0. Multiple sequence alignment indicated high sequence conservation with limited nucleotide variation. Phylogenetic reconstruction placed all study sequences within Homo sapiens reference clades with supportive bootstrap values. </w:t>
      </w:r>
      <w:r w:rsidRPr="00F8195A">
        <w:rPr>
          <w:b/>
        </w:rPr>
        <w:t xml:space="preserve">Conclusion: </w:t>
      </w:r>
      <w:r w:rsidRPr="00F8195A">
        <w:t>The combined PCR, Sanger sequencing, BLASTn, alignment, and phylogenetic workflow accurately confirmed human BGN and G6PD gene fragments. This approach may support targeted gene verification before downstream biomedical, diagnostic, and population genetic analyses.</w:t>
      </w:r>
    </w:p>
    <w:p w14:paraId="36DA9F93" w14:textId="77777777" w:rsidR="00BC5F7F" w:rsidRPr="00F8195A" w:rsidRDefault="00000000" w:rsidP="00F8195A">
      <w:pPr>
        <w:jc w:val="both"/>
      </w:pPr>
      <w:r w:rsidRPr="00F8195A">
        <w:lastRenderedPageBreak/>
        <w:t>Keywords: Biglycan; Glucosephosphate Dehydrogenase; Humans; Molecular Sequence Data; Phylogeny; Polymerase Chain Reaction; Sequence Analysis, DNA</w:t>
      </w:r>
    </w:p>
    <w:p w14:paraId="7C288F7C" w14:textId="77777777" w:rsidR="00BC5F7F" w:rsidRPr="00F8195A" w:rsidRDefault="00000000" w:rsidP="00F8195A">
      <w:pPr>
        <w:jc w:val="both"/>
      </w:pPr>
      <w:r w:rsidRPr="00F8195A">
        <w:t>Abbreviations: BGN, biglycan; BLAST, Basic Local Alignment Search Tool; DNA, deoxyribonucleic acid; G6PD, glucose-6-phosphate dehydrogenase; NJ, Neighbor-Joining; PCR, polymerase chain reaction.</w:t>
      </w:r>
    </w:p>
    <w:p w14:paraId="3B157405"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Introduction</w:t>
      </w:r>
    </w:p>
    <w:p w14:paraId="4110B3EA" w14:textId="77777777" w:rsidR="00BC5F7F" w:rsidRPr="00F8195A" w:rsidRDefault="00000000" w:rsidP="00F8195A">
      <w:pPr>
        <w:jc w:val="both"/>
      </w:pPr>
      <w:r w:rsidRPr="00F8195A">
        <w:t>Accurate molecular confirmation of targeted human gene fragments is a basic requirement in biomedical research, especially when amplified products are intended for downstream diagnostic interpretation, variant screening, or population genetic analysis. Although high-throughput sequencing is increasingly used in research and clinical settings, Sanger sequencing remains widely used for targeted validation because it provides high base-calling accuracy for short genomic regions and can be interpreted with relatively simple laboratory and bioinformatics workflows (1, 2).</w:t>
      </w:r>
    </w:p>
    <w:p w14:paraId="38D2F884" w14:textId="77777777" w:rsidR="00BC5F7F" w:rsidRPr="00F8195A" w:rsidRDefault="00000000" w:rsidP="00F8195A">
      <w:pPr>
        <w:jc w:val="both"/>
      </w:pPr>
      <w:r w:rsidRPr="00F8195A">
        <w:t>The BGN gene encodes biglycan, a small leucine-rich proteoglycan involved in extracellular matrix organization, tissue remodeling, inflammation, and cell signaling. Because of its biological relevance in connective tissue and inflammatory pathways, accurate confirmation of BGN fragments is important before further functional or clinical interpretation. In parallel, the G6PD gene encodes glucose-6-phosphate dehydrogenase, a key enzyme in the pentose phosphate pathway that contributes to cellular antioxidant defense. Variation in G6PD is medically relevant because it may influence susceptibility to hemolysis under oxidative stress, and it also shows population-related genetic diversity (3, 4).</w:t>
      </w:r>
    </w:p>
    <w:p w14:paraId="1094B7FF" w14:textId="77777777" w:rsidR="00BC5F7F" w:rsidRPr="00F8195A" w:rsidRDefault="00000000" w:rsidP="00F8195A">
      <w:pPr>
        <w:jc w:val="both"/>
      </w:pPr>
      <w:r w:rsidRPr="00F8195A">
        <w:t xml:space="preserve">Bioinformatics analysis strengthens targeted sequencing results by confirming sequence identity and evolutionary placement. BLASTn analysis allows rapid comparison against curated reference sequences, while multiple sequence alignment and phylogenetic reconstruction help evaluate whether unknown sequences cluster consistently with expected </w:t>
      </w:r>
      <w:r w:rsidRPr="00F8195A">
        <w:lastRenderedPageBreak/>
        <w:t>reference genes and species (5, 6). When used together, these analyses reduce the risk of misannotation, contamination, or nonspecific amplification.</w:t>
      </w:r>
    </w:p>
    <w:p w14:paraId="34637586" w14:textId="77777777" w:rsidR="00BC5F7F" w:rsidRPr="00F8195A" w:rsidRDefault="00000000" w:rsidP="00F8195A">
      <w:pPr>
        <w:jc w:val="both"/>
      </w:pPr>
      <w:r w:rsidRPr="00F8195A">
        <w:t>This study aimed to confirm amplified human BGN and G6PD gene fragments from blood-derived genomic DNA using bidirectional Sanger sequencing, BLASTn identification, multiple sequence alignment, and phylogenetic analysis. The work was designed as a targeted molecular confirmation workflow that may support further biomedical and population genetic studies.</w:t>
      </w:r>
    </w:p>
    <w:p w14:paraId="66A05EE2"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Materials and Methods</w:t>
      </w:r>
    </w:p>
    <w:p w14:paraId="3164EFB3"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Sample collection and ethical considerations</w:t>
      </w:r>
    </w:p>
    <w:p w14:paraId="084C7993" w14:textId="77777777" w:rsidR="00BC5F7F" w:rsidRPr="00F8195A" w:rsidRDefault="00000000" w:rsidP="00F8195A">
      <w:pPr>
        <w:jc w:val="both"/>
      </w:pPr>
      <w:r w:rsidRPr="00F8195A">
        <w:t>Thirteen human blood samples, coded 511.S.3 to 511.S.16, were included in this molecular confirmation study. Genomic DNA was extracted from blood samples and used for PCR amplification and Sanger sequencing. This study involved human blood samples and was conducted in accordance with ethical research principles. The study protocol was approved by the Ethics Committee of the Faculty of Medicine, Universitas Indonesia - Cipto Mangunkusumo Hospital (approval number: KET-933/UN2.F1/ETIK/PPM.00.02/2026; protocol number: 26-04-0499; approval date: 06 July 2026). Written informed consent was obtained from the participants or their legal guardians before sample collection.</w:t>
      </w:r>
    </w:p>
    <w:p w14:paraId="78E0C42E"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DNA extraction</w:t>
      </w:r>
    </w:p>
    <w:p w14:paraId="61D3195C" w14:textId="77777777" w:rsidR="00BC5F7F" w:rsidRPr="00F8195A" w:rsidRDefault="00000000" w:rsidP="00F8195A">
      <w:pPr>
        <w:jc w:val="both"/>
      </w:pPr>
      <w:r w:rsidRPr="00F8195A">
        <w:t>Genomic DNA was isolated using the Quick-DNA Miniprep Plus Kit according to the manufacturer’s protocol. The obtained DNA concentrations ranged from 4.51 to 57.97 ng/µl, which was sufficient for downstream PCR amplification and sequencing.</w:t>
      </w:r>
    </w:p>
    <w:p w14:paraId="7A80D9FA"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PCR amplification</w:t>
      </w:r>
    </w:p>
    <w:p w14:paraId="3C3739D1" w14:textId="77777777" w:rsidR="00BC5F7F" w:rsidRPr="00F8195A" w:rsidRDefault="00000000" w:rsidP="00F8195A">
      <w:pPr>
        <w:jc w:val="both"/>
      </w:pPr>
      <w:r w:rsidRPr="00F8195A">
        <w:t xml:space="preserve">PCR amplification was performed using the primer pair 4_144_F (5'-TTCAGCCCCATCTTAGCAGC-3') and 4_833_R (5'-GTCCCCAGCCACTTCTAACC-3'), </w:t>
      </w:r>
      <w:r w:rsidRPr="00F8195A">
        <w:lastRenderedPageBreak/>
        <w:t>which amplified an approximately 700-bp target region. The thermocycling conditions consisted of initial denaturation at 98 °C for 1 min, followed by 35 cycles of denaturation at 98 °C for 10 sec, annealing at 62.3 °C for 5 sec, and extension at 68 °C for 18 sec, with a final extension at 68 °C for 5 min.</w:t>
      </w:r>
    </w:p>
    <w:p w14:paraId="2DB1D347"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Agarose gel electrophoresis</w:t>
      </w:r>
    </w:p>
    <w:p w14:paraId="1A032828" w14:textId="77777777" w:rsidR="00BC5F7F" w:rsidRPr="00F8195A" w:rsidRDefault="00000000" w:rsidP="00F8195A">
      <w:pPr>
        <w:jc w:val="both"/>
      </w:pPr>
      <w:r w:rsidRPr="00F8195A">
        <w:t>PCR products were separated on an agarose gel using a 1-kb DNA ladder to estimate amplicon size. Amplification success and specificity were evaluated based on the presence of a single visible band at the expected fragment size.</w:t>
      </w:r>
    </w:p>
    <w:p w14:paraId="06284673"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Sanger sequencing and consensus sequence assembly</w:t>
      </w:r>
    </w:p>
    <w:p w14:paraId="52235AEE" w14:textId="77777777" w:rsidR="00BC5F7F" w:rsidRPr="00F8195A" w:rsidRDefault="00000000" w:rsidP="00F8195A">
      <w:pPr>
        <w:jc w:val="both"/>
      </w:pPr>
      <w:r w:rsidRPr="00F8195A">
        <w:t>PCR products were subjected to bidirectional Sanger sequencing using forward and reverse primers and the BigDye Terminator v3.0 sequencing chemistry. Sequencing chromatograms were inspected for read quality. Forward and reverse reads were aligned and assembled into consensus sequences using DNA Baser Assembler software. Consensus generation was considered successful when forward and reverse reads produced a continuous sequence without unresolved ambiguous base calls in the target region.</w:t>
      </w:r>
    </w:p>
    <w:p w14:paraId="31643C4C"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BLASTn identification</w:t>
      </w:r>
    </w:p>
    <w:p w14:paraId="6D69EF4C" w14:textId="77777777" w:rsidR="00BC5F7F" w:rsidRPr="00F8195A" w:rsidRDefault="00000000" w:rsidP="00F8195A">
      <w:pPr>
        <w:jc w:val="both"/>
      </w:pPr>
      <w:r w:rsidRPr="00F8195A">
        <w:t>Consensus sequences were compared with entries in the NCBI nucleotide database using BLASTn with the megablast option. The top database matches were evaluated based on query coverage, E-value, percentage identity, and accession number. Sequence identity with Homo sapiens BGN and G6PD reference sequences was used as the main criterion for molecular confirmation.</w:t>
      </w:r>
    </w:p>
    <w:p w14:paraId="140E1F96"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Multiple sequence alignment</w:t>
      </w:r>
    </w:p>
    <w:p w14:paraId="7CDE8366" w14:textId="77777777" w:rsidR="00BC5F7F" w:rsidRPr="00F8195A" w:rsidRDefault="00000000" w:rsidP="00F8195A">
      <w:pPr>
        <w:jc w:val="both"/>
      </w:pPr>
      <w:r w:rsidRPr="00F8195A">
        <w:t xml:space="preserve">The study sequences and reference sequences were aligned using the ClustalW algorithm implemented in MEGA software. The alignment was used to evaluate sequence conservation </w:t>
      </w:r>
      <w:r w:rsidRPr="00F8195A">
        <w:lastRenderedPageBreak/>
        <w:t>and to identify minor nucleotide differences between the study sequences and reference sequences.</w:t>
      </w:r>
    </w:p>
    <w:p w14:paraId="7F63CBF3"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Phylogenetic analysis</w:t>
      </w:r>
    </w:p>
    <w:p w14:paraId="329418B2" w14:textId="77777777" w:rsidR="00BC5F7F" w:rsidRPr="00F8195A" w:rsidRDefault="00000000" w:rsidP="00F8195A">
      <w:pPr>
        <w:jc w:val="both"/>
      </w:pPr>
      <w:r w:rsidRPr="00F8195A">
        <w:t>Phylogenetic trees were reconstructed using the Neighbor-Joining method based on the Tamura-Nei substitution model in MEGA software. Bootstrap analysis was performed to evaluate the support of the inferred tree topology. The placement of study sequences within Homo sapiens reference clades was interpreted as supporting evidence for sequence identity and taxonomic consistency.</w:t>
      </w:r>
    </w:p>
    <w:p w14:paraId="76844265"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Results</w:t>
      </w:r>
    </w:p>
    <w:p w14:paraId="4AF425CF"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DNA quality and PCR amplification</w:t>
      </w:r>
    </w:p>
    <w:p w14:paraId="135B5FA0" w14:textId="77777777" w:rsidR="00BC5F7F" w:rsidRPr="00F8195A" w:rsidRDefault="00000000" w:rsidP="00F8195A">
      <w:pPr>
        <w:jc w:val="both"/>
      </w:pPr>
      <w:r w:rsidRPr="00F8195A">
        <w:t>All extracted genomic DNA samples yielded sufficient DNA concentration for PCR amplification and sequencing. PCR amplification produced a single visible band of the expected size in all samples, indicating successful amplification and suggesting primer specificity for the target region.</w:t>
      </w:r>
    </w:p>
    <w:p w14:paraId="33704668"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Sequencing performance</w:t>
      </w:r>
    </w:p>
    <w:p w14:paraId="7549CFFB" w14:textId="77777777" w:rsidR="00BC5F7F" w:rsidRPr="00F8195A" w:rsidRDefault="00000000" w:rsidP="00F8195A">
      <w:pPr>
        <w:jc w:val="both"/>
      </w:pPr>
      <w:r w:rsidRPr="00F8195A">
        <w:t>Bidirectional Sanger sequencing was successful for all thirteen samples. Inspection of chromatograms and assembly of forward and reverse reads produced high-quality consensus sequences. No sample failed during sequence assembly, and no unresolved ambiguous base calls were retained in the final consensus sequences.</w:t>
      </w:r>
    </w:p>
    <w:p w14:paraId="2BBCC5F9"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BLASTn-based molecular identification</w:t>
      </w:r>
    </w:p>
    <w:p w14:paraId="0403A99E" w14:textId="77777777" w:rsidR="00BC5F7F" w:rsidRPr="00F8195A" w:rsidRDefault="00000000" w:rsidP="00F8195A">
      <w:pPr>
        <w:jc w:val="both"/>
      </w:pPr>
      <w:r w:rsidRPr="00F8195A">
        <w:t xml:space="preserve">BLASTn analysis showed that all consensus sequences had high-similarity matches with Homo sapiens reference sequences. Percentage identity ranged from 99.64% to 100%, query coverage ranged from 99% to 100%, and E-values were 0. The highest scoring matches </w:t>
      </w:r>
      <w:r w:rsidRPr="00F8195A">
        <w:lastRenderedPageBreak/>
        <w:t>corresponded to BGN and G6PD gene sequences, supporting successful amplification and sequencing of the intended human gene fragments.</w:t>
      </w:r>
    </w:p>
    <w:p w14:paraId="1B8EC2CE"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Multiple sequence alignment</w:t>
      </w:r>
    </w:p>
    <w:p w14:paraId="4ED41959" w14:textId="77777777" w:rsidR="00BC5F7F" w:rsidRPr="00F8195A" w:rsidRDefault="00000000" w:rsidP="00F8195A">
      <w:pPr>
        <w:jc w:val="both"/>
      </w:pPr>
      <w:r w:rsidRPr="00F8195A">
        <w:t>Multiple sequence alignment demonstrated high conservation between the study sequences and Homo sapiens reference sequences. Minor nucleotide differences were observed in some sequences, but these differences did not disrupt the overall alignment pattern and were consistent with the successful targeting of the intended gene fragments.</w:t>
      </w:r>
    </w:p>
    <w:p w14:paraId="39DD543B" w14:textId="77777777" w:rsidR="00BC5F7F" w:rsidRPr="00F8195A" w:rsidRDefault="00000000" w:rsidP="00F8195A">
      <w:pPr>
        <w:pStyle w:val="Heading2"/>
        <w:jc w:val="both"/>
        <w:rPr>
          <w:color w:val="auto"/>
        </w:rPr>
      </w:pPr>
      <w:r w:rsidRPr="00F8195A">
        <w:rPr>
          <w:rFonts w:ascii="Times New Roman" w:eastAsia="Times New Roman" w:hAnsi="Times New Roman"/>
          <w:color w:val="auto"/>
        </w:rPr>
        <w:t>Phylogenetic reconstruction</w:t>
      </w:r>
    </w:p>
    <w:p w14:paraId="7AF540A9" w14:textId="77777777" w:rsidR="00BC5F7F" w:rsidRPr="00F8195A" w:rsidRDefault="00000000" w:rsidP="00F8195A">
      <w:pPr>
        <w:jc w:val="both"/>
      </w:pPr>
      <w:r w:rsidRPr="00F8195A">
        <w:t>Neighbor-Joining phylogenetic analysis placed all study sequences within Homo sapiens reference clades for the BGN and G6PD gene fragments. Major nodes showed supportive bootstrap values, indicating that the inferred clustering pattern was stable. The combined phylogenetic interpretation was consistent with the BLASTn results and supported the human origin and target-gene identity of the amplified sequences.</w:t>
      </w:r>
    </w:p>
    <w:p w14:paraId="2DBE7C72"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Discussion</w:t>
      </w:r>
    </w:p>
    <w:p w14:paraId="7FB8EE5D" w14:textId="77777777" w:rsidR="00BC5F7F" w:rsidRPr="00F8195A" w:rsidRDefault="00000000" w:rsidP="00F8195A">
      <w:pPr>
        <w:jc w:val="both"/>
      </w:pPr>
      <w:r w:rsidRPr="00F8195A">
        <w:t>This study showed that a combined laboratory and bioinformatics workflow can confirm human BGN and G6PD gene fragments with high sequence identity and consistent phylogenetic placement. The successful amplification of a single expected PCR product across all samples suggests that the primer set performed consistently under the applied thermocycling conditions. The subsequent success of bidirectional Sanger sequencing further supports the suitability of the workflow for targeted gene verification.</w:t>
      </w:r>
    </w:p>
    <w:p w14:paraId="749D5487" w14:textId="77777777" w:rsidR="00BC5F7F" w:rsidRPr="00F8195A" w:rsidRDefault="00000000" w:rsidP="00F8195A">
      <w:pPr>
        <w:jc w:val="both"/>
      </w:pPr>
      <w:r w:rsidRPr="00F8195A">
        <w:t xml:space="preserve">The BLASTn results were the primary evidence for molecular identity. All consensus sequences showed 99.64-100% identity and 99-100% query coverage with Homo sapiens reference sequences, with E-values of 0. These findings indicate that the amplified fragments were highly consistent with the intended human BGN and G6PD targets. In targeted </w:t>
      </w:r>
      <w:r w:rsidRPr="00F8195A">
        <w:lastRenderedPageBreak/>
        <w:t>sequencing studies, high identity and coverage are important because nonspecific amplification or sequence contamination may otherwise lead to incorrect downstream interpretation (5, 6).</w:t>
      </w:r>
    </w:p>
    <w:p w14:paraId="52C0AADD" w14:textId="77777777" w:rsidR="00BC5F7F" w:rsidRPr="00F8195A" w:rsidRDefault="00000000" w:rsidP="00F8195A">
      <w:pPr>
        <w:jc w:val="both"/>
      </w:pPr>
      <w:r w:rsidRPr="00F8195A">
        <w:t>The alignment results also supported the reliability of the sequence data. The high conservation observed across samples and references is biologically plausible because the evaluated fragments belong to human genes with established functional relevance. BGN is involved in extracellular matrix biology and tissue remodeling, whereas G6PD plays an essential role in maintaining redox balance through the pentose phosphate pathway (3, 4). Therefore, accurate sequence confirmation of these genes is important when they are used as targets for further biomedical or population-based analysis.</w:t>
      </w:r>
    </w:p>
    <w:p w14:paraId="4467C8CF" w14:textId="77777777" w:rsidR="00BC5F7F" w:rsidRPr="00F8195A" w:rsidRDefault="00000000" w:rsidP="00F8195A">
      <w:pPr>
        <w:jc w:val="both"/>
      </w:pPr>
      <w:r w:rsidRPr="00F8195A">
        <w:t>Phylogenetic reconstruction provided an additional layer of validation by placing all study sequences within Homo sapiens reference clades. This finding was consistent with the BLASTn identification and reduced the likelihood that the sequences represented unrelated amplification products. Although BLASTn is sufficient for preliminary sequence identification, phylogenetic analysis is useful when confirming the evolutionary placement of targeted sequences relative to selected references (5, 7).</w:t>
      </w:r>
    </w:p>
    <w:p w14:paraId="5C8F95F3" w14:textId="77777777" w:rsidR="00BC5F7F" w:rsidRPr="00F8195A" w:rsidRDefault="00000000" w:rsidP="00F8195A">
      <w:pPr>
        <w:jc w:val="both"/>
      </w:pPr>
      <w:r w:rsidRPr="00F8195A">
        <w:t>The main strength of this study is the use of multiple complementary confirmation steps, including PCR specificity assessment, bidirectional Sanger sequencing, consensus assembly, BLASTn identification, alignment, and phylogenetic analysis. This layered approach is practical for laboratories that require reliable confirmation of short genomic fragments before downstream interpretation. However, this study also has limitations. The number of samples was limited, the amplified fragment length was restricted to approximately 700 bp, and the analysis focused on sequence identity rather than functional variant interpretation. Future studies should include larger sample sets, validated reference accession reporting, and variant-</w:t>
      </w:r>
      <w:r w:rsidRPr="00F8195A">
        <w:lastRenderedPageBreak/>
        <w:t>level analysis when the objective is to evaluate clinical or population-specific genetic variation.</w:t>
      </w:r>
    </w:p>
    <w:p w14:paraId="0B786293"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Conclusion</w:t>
      </w:r>
    </w:p>
    <w:p w14:paraId="246A45F8" w14:textId="77777777" w:rsidR="00BC5F7F" w:rsidRPr="00F8195A" w:rsidRDefault="00000000" w:rsidP="00F8195A">
      <w:pPr>
        <w:jc w:val="both"/>
      </w:pPr>
      <w:r w:rsidRPr="00F8195A">
        <w:t>The present study confirmed human BGN and G6PD gene fragments using PCR amplification, bidirectional Sanger sequencing, BLASTn analysis, multiple sequence alignment, and Neighbor-Joining phylogenetic reconstruction. The high sequence identity, strong query coverage, and consistent clustering within Homo sapiens reference clades support the accuracy of the generated sequences. This workflow may be used as a targeted confirmation approach before downstream biomedical, diagnostic, or population genetic analyses.</w:t>
      </w:r>
    </w:p>
    <w:p w14:paraId="1C0B0726"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Data availability</w:t>
      </w:r>
    </w:p>
    <w:p w14:paraId="6E1DFE4A" w14:textId="77777777" w:rsidR="00BC5F7F" w:rsidRPr="00F8195A" w:rsidRDefault="00000000" w:rsidP="00F8195A">
      <w:pPr>
        <w:jc w:val="both"/>
      </w:pPr>
      <w:r w:rsidRPr="00F8195A">
        <w:t>The raw chromatogram files, consensus sequences, alignment files, and phylogenetic tree outputs are available from the corresponding author upon reasonable request. If these data have been deposited in a public repository, the accession number or repository link should be inserted before submission.</w:t>
      </w:r>
    </w:p>
    <w:p w14:paraId="0FB153A6"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Authors’ contributions</w:t>
      </w:r>
    </w:p>
    <w:p w14:paraId="20E2B709" w14:textId="77777777" w:rsidR="00BC5F7F" w:rsidRPr="00F8195A" w:rsidRDefault="00000000" w:rsidP="00F8195A">
      <w:pPr>
        <w:jc w:val="both"/>
      </w:pPr>
      <w:r w:rsidRPr="00F8195A">
        <w:t>Author 1 contributed to conceptualization, study design, supervision, data interpretation, manuscript drafting, and final approval of the manuscript. Author 2 contributed to literature review, data organization, manuscript revision, and final approval of the manuscript. Author 3 contributed to data interpretation, critical review of the manuscript, and final approval of the manuscript. Author 4 contributed to protocol development, sample-related coordination, laboratory workflow, sequencing-related data acquisition, and final approval of the manuscript. All authors reviewed and approved the final version of the manuscript and agreed to be accountable for all aspects of the work.</w:t>
      </w:r>
    </w:p>
    <w:p w14:paraId="3494A2CC"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lastRenderedPageBreak/>
        <w:t>Conflicts of interest</w:t>
      </w:r>
    </w:p>
    <w:p w14:paraId="45362D5F" w14:textId="77777777" w:rsidR="00BC5F7F" w:rsidRPr="00F8195A" w:rsidRDefault="00000000" w:rsidP="00F8195A">
      <w:pPr>
        <w:jc w:val="both"/>
      </w:pPr>
      <w:r w:rsidRPr="00F8195A">
        <w:t>The authors declare that they have no conflicts of interest.</w:t>
      </w:r>
    </w:p>
    <w:p w14:paraId="4A77775E"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Funding</w:t>
      </w:r>
    </w:p>
    <w:p w14:paraId="642B3387" w14:textId="77777777" w:rsidR="00BC5F7F" w:rsidRPr="00F8195A" w:rsidRDefault="00000000" w:rsidP="00F8195A">
      <w:pPr>
        <w:jc w:val="both"/>
      </w:pPr>
      <w:r w:rsidRPr="00F8195A">
        <w:t>This research received no specific grant from any funding agency in the public, commercial, or not-for-profit sectors.</w:t>
      </w:r>
    </w:p>
    <w:p w14:paraId="6864AED6"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AI tools declaration</w:t>
      </w:r>
    </w:p>
    <w:p w14:paraId="79943E0D" w14:textId="77777777" w:rsidR="00BC5F7F" w:rsidRPr="00F8195A" w:rsidRDefault="00000000" w:rsidP="00F8195A">
      <w:pPr>
        <w:jc w:val="both"/>
      </w:pPr>
      <w:r w:rsidRPr="00F8195A">
        <w:t>The authors declare that AI-based tools were used only for language editing and manuscript formatting support. The authors reviewed and approved the final content and remain fully responsible for the accuracy, integrity, and originality of the manuscript. [Revise this statement according to the actual use of AI tools before submission.]</w:t>
      </w:r>
    </w:p>
    <w:p w14:paraId="471D71A8" w14:textId="77777777" w:rsidR="00BC5F7F" w:rsidRPr="00F8195A" w:rsidRDefault="00000000" w:rsidP="00F8195A">
      <w:pPr>
        <w:pStyle w:val="Heading1"/>
        <w:jc w:val="both"/>
        <w:rPr>
          <w:color w:val="auto"/>
        </w:rPr>
      </w:pPr>
      <w:r w:rsidRPr="00F8195A">
        <w:rPr>
          <w:rFonts w:ascii="Times New Roman" w:eastAsia="Times New Roman" w:hAnsi="Times New Roman"/>
          <w:color w:val="auto"/>
        </w:rPr>
        <w:t>References</w:t>
      </w:r>
    </w:p>
    <w:p w14:paraId="4F9E1A77" w14:textId="513D8A85" w:rsidR="00BC5F7F" w:rsidRPr="00F8195A" w:rsidRDefault="00000000" w:rsidP="00316378">
      <w:pPr>
        <w:pStyle w:val="ListParagraph"/>
        <w:numPr>
          <w:ilvl w:val="0"/>
          <w:numId w:val="10"/>
        </w:numPr>
        <w:jc w:val="both"/>
      </w:pPr>
      <w:r w:rsidRPr="00F8195A">
        <w:t>Heather JM, Chain B. The sequence of sequencers: The history of sequencing DNA. Genomics 2016; 107: 1-8.</w:t>
      </w:r>
    </w:p>
    <w:p w14:paraId="7F6A184D" w14:textId="50CD45F1" w:rsidR="00BC5F7F" w:rsidRPr="00F8195A" w:rsidRDefault="00000000" w:rsidP="00316378">
      <w:pPr>
        <w:pStyle w:val="ListParagraph"/>
        <w:numPr>
          <w:ilvl w:val="0"/>
          <w:numId w:val="10"/>
        </w:numPr>
        <w:jc w:val="both"/>
      </w:pPr>
      <w:proofErr w:type="spellStart"/>
      <w:r w:rsidRPr="00F8195A">
        <w:t>Koboldt</w:t>
      </w:r>
      <w:proofErr w:type="spellEnd"/>
      <w:r w:rsidRPr="00F8195A">
        <w:t xml:space="preserve"> DC. Best practices for variant calling in clinical sequencing. Genome Med 2023; 15: 98.</w:t>
      </w:r>
    </w:p>
    <w:p w14:paraId="24333058" w14:textId="35126FE4" w:rsidR="00BC5F7F" w:rsidRPr="00F8195A" w:rsidRDefault="00000000" w:rsidP="00316378">
      <w:pPr>
        <w:pStyle w:val="ListParagraph"/>
        <w:numPr>
          <w:ilvl w:val="0"/>
          <w:numId w:val="10"/>
        </w:numPr>
        <w:jc w:val="both"/>
      </w:pPr>
      <w:r w:rsidRPr="00F8195A">
        <w:t>Simons M, Gordon MK, Robert L, Mecham RP, Bruckner P, Kresse H. Functional and structural roles of biglycan in connective tissue biology. Matrix Biol 2024; 118: 102-115.</w:t>
      </w:r>
    </w:p>
    <w:p w14:paraId="5AD268DF" w14:textId="1243E0F2" w:rsidR="00BC5F7F" w:rsidRPr="00F8195A" w:rsidRDefault="00000000" w:rsidP="00316378">
      <w:pPr>
        <w:pStyle w:val="ListParagraph"/>
        <w:numPr>
          <w:ilvl w:val="0"/>
          <w:numId w:val="10"/>
        </w:numPr>
        <w:jc w:val="both"/>
      </w:pPr>
      <w:r w:rsidRPr="00F8195A">
        <w:t>Luzzatto L, Ally M, Notaro R. Glucose-6-phosphate dehydrogenase deficiency. Blood 2020; 136: 1225-1240.</w:t>
      </w:r>
    </w:p>
    <w:p w14:paraId="550E2919" w14:textId="32A33475" w:rsidR="00BC5F7F" w:rsidRPr="00F8195A" w:rsidRDefault="00000000" w:rsidP="00316378">
      <w:pPr>
        <w:pStyle w:val="ListParagraph"/>
        <w:numPr>
          <w:ilvl w:val="0"/>
          <w:numId w:val="10"/>
        </w:numPr>
        <w:jc w:val="both"/>
      </w:pPr>
      <w:r w:rsidRPr="00F8195A">
        <w:t>Kumar S, Stecher G, Li M, Knyaz C, Tamura K. MEGA X: Molecular Evolutionary Genetics Analysis across computing platforms. Mol Biol Evol 2018; 35: 1547-1549.</w:t>
      </w:r>
    </w:p>
    <w:p w14:paraId="1B4B881D" w14:textId="6E24D97F" w:rsidR="00BC5F7F" w:rsidRPr="00F8195A" w:rsidRDefault="00000000" w:rsidP="00316378">
      <w:pPr>
        <w:pStyle w:val="ListParagraph"/>
        <w:numPr>
          <w:ilvl w:val="0"/>
          <w:numId w:val="10"/>
        </w:numPr>
        <w:jc w:val="both"/>
      </w:pPr>
      <w:r w:rsidRPr="00F8195A">
        <w:t>Johnson M, Zaretskaya I, Raytselis Y, Merezhuk Y, McGinnis S, Madden TL. NCBI BLAST: A better web interface. Nucleic Acids Res 2008; 36: W5-W9.</w:t>
      </w:r>
    </w:p>
    <w:p w14:paraId="3BB186D2" w14:textId="1ED70CE6" w:rsidR="00BC5F7F" w:rsidRPr="00F8195A" w:rsidRDefault="00000000" w:rsidP="00316378">
      <w:pPr>
        <w:pStyle w:val="ListParagraph"/>
        <w:numPr>
          <w:ilvl w:val="0"/>
          <w:numId w:val="10"/>
        </w:numPr>
        <w:jc w:val="both"/>
      </w:pPr>
      <w:r w:rsidRPr="00F8195A">
        <w:lastRenderedPageBreak/>
        <w:t>Hall BG. Phylogenetic trees made easy: A how-to manual. 6th ed. Oxford: Oxford University Press; 2024.</w:t>
      </w:r>
    </w:p>
    <w:p w14:paraId="248DE84E" w14:textId="4EA8D255" w:rsidR="00BC5F7F" w:rsidRPr="00F8195A" w:rsidRDefault="00000000" w:rsidP="00316378">
      <w:pPr>
        <w:pStyle w:val="ListParagraph"/>
        <w:numPr>
          <w:ilvl w:val="0"/>
          <w:numId w:val="10"/>
        </w:numPr>
        <w:jc w:val="both"/>
      </w:pPr>
      <w:r w:rsidRPr="00F8195A">
        <w:t>Goodwin S, McPherson JD, McCombie WR. Coming of age: Ten years of next-generation sequencing technologies. Nat Rev Genet 2016; 17: 333-351.</w:t>
      </w:r>
    </w:p>
    <w:sectPr w:rsidR="00BC5F7F" w:rsidRPr="00F8195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A4CCB"/>
    <w:multiLevelType w:val="hybridMultilevel"/>
    <w:tmpl w:val="1C3CA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0B005C8"/>
    <w:multiLevelType w:val="hybridMultilevel"/>
    <w:tmpl w:val="FB30FD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6833944">
    <w:abstractNumId w:val="8"/>
  </w:num>
  <w:num w:numId="2" w16cid:durableId="1888879794">
    <w:abstractNumId w:val="6"/>
  </w:num>
  <w:num w:numId="3" w16cid:durableId="1290744586">
    <w:abstractNumId w:val="5"/>
  </w:num>
  <w:num w:numId="4" w16cid:durableId="1889956164">
    <w:abstractNumId w:val="4"/>
  </w:num>
  <w:num w:numId="5" w16cid:durableId="383411625">
    <w:abstractNumId w:val="7"/>
  </w:num>
  <w:num w:numId="6" w16cid:durableId="1367026073">
    <w:abstractNumId w:val="3"/>
  </w:num>
  <w:num w:numId="7" w16cid:durableId="892892041">
    <w:abstractNumId w:val="2"/>
  </w:num>
  <w:num w:numId="8" w16cid:durableId="1550188867">
    <w:abstractNumId w:val="1"/>
  </w:num>
  <w:num w:numId="9" w16cid:durableId="1558315503">
    <w:abstractNumId w:val="0"/>
  </w:num>
  <w:num w:numId="10" w16cid:durableId="1803233708">
    <w:abstractNumId w:val="10"/>
  </w:num>
  <w:num w:numId="11" w16cid:durableId="1675718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378"/>
    <w:rsid w:val="00326F90"/>
    <w:rsid w:val="00AA1D8D"/>
    <w:rsid w:val="00B47730"/>
    <w:rsid w:val="00BB0769"/>
    <w:rsid w:val="00BC5F7F"/>
    <w:rsid w:val="00CB0664"/>
    <w:rsid w:val="00F81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7092C"/>
  <w14:defaultImageDpi w14:val="300"/>
  <w15:docId w15:val="{D742AEA3-7DCC-4F8A-B6AC-0C806EFD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2337</Words>
  <Characters>13324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3</cp:revision>
  <dcterms:created xsi:type="dcterms:W3CDTF">2013-12-23T23:15:00Z</dcterms:created>
  <dcterms:modified xsi:type="dcterms:W3CDTF">2026-07-17T08:16:00Z</dcterms:modified>
  <cp:category/>
</cp:coreProperties>
</file>